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55A67E78" w14:textId="77777777" w:rsidR="00BD499F" w:rsidRPr="004C23F4" w:rsidRDefault="00667575" w:rsidP="00B40C60">
          <w:pPr>
            <w:pStyle w:val="Heading1"/>
            <w:jc w:val="center"/>
            <w:rPr>
              <w:rFonts w:ascii="Arial" w:hAnsi="Arial" w:cs="Arial"/>
            </w:rPr>
          </w:pPr>
          <w:r>
            <w:rPr>
              <w:rFonts w:ascii="Arial" w:hAnsi="Arial" w:cs="Arial"/>
            </w:rPr>
            <w:t>Benzene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1"/>
        <w:gridCol w:w="5045"/>
      </w:tblGrid>
      <w:tr w:rsidR="00F43AD5" w:rsidRPr="004C23F4" w14:paraId="4434EAA0" w14:textId="77777777" w:rsidTr="00455B15">
        <w:trPr>
          <w:cantSplit/>
          <w:tblHeader/>
        </w:trPr>
        <w:tc>
          <w:tcPr>
            <w:tcW w:w="3981" w:type="dxa"/>
          </w:tcPr>
          <w:p w14:paraId="6F4EACE3" w14:textId="77777777" w:rsidR="00F43AD5" w:rsidRPr="00921DE7" w:rsidRDefault="00CB1CB1" w:rsidP="00B76A41">
            <w:pPr>
              <w:pStyle w:val="Tablerowright"/>
            </w:pPr>
            <w:r w:rsidRPr="00921DE7">
              <w:t>CAS number:</w:t>
            </w:r>
          </w:p>
        </w:tc>
        <w:tc>
          <w:tcPr>
            <w:tcW w:w="5045" w:type="dxa"/>
          </w:tcPr>
          <w:p w14:paraId="384B84DD" w14:textId="77777777" w:rsidR="00F43AD5" w:rsidRPr="00717D45" w:rsidRDefault="00667575" w:rsidP="00B76A41">
            <w:pPr>
              <w:pStyle w:val="Tablefont"/>
            </w:pPr>
            <w:r w:rsidRPr="00667575">
              <w:t>71-43-2</w:t>
            </w:r>
          </w:p>
        </w:tc>
      </w:tr>
      <w:tr w:rsidR="00F43AD5" w:rsidRPr="004C23F4" w14:paraId="6018942B" w14:textId="77777777" w:rsidTr="00455B15">
        <w:trPr>
          <w:cantSplit/>
        </w:trPr>
        <w:tc>
          <w:tcPr>
            <w:tcW w:w="3981" w:type="dxa"/>
          </w:tcPr>
          <w:p w14:paraId="3D19DBE2" w14:textId="77777777" w:rsidR="00F43AD5" w:rsidRPr="00921DE7" w:rsidRDefault="00CB1CB1" w:rsidP="00B76A41">
            <w:pPr>
              <w:pStyle w:val="Tablerowright"/>
            </w:pPr>
            <w:r w:rsidRPr="00921DE7">
              <w:t>Synonyms:</w:t>
            </w:r>
          </w:p>
        </w:tc>
        <w:tc>
          <w:tcPr>
            <w:tcW w:w="5045" w:type="dxa"/>
          </w:tcPr>
          <w:p w14:paraId="24154C30" w14:textId="77777777" w:rsidR="00F43AD5" w:rsidRPr="00717D45" w:rsidRDefault="00965F92" w:rsidP="00B76A41">
            <w:pPr>
              <w:pStyle w:val="Tablefont"/>
            </w:pPr>
            <w:proofErr w:type="spellStart"/>
            <w:r>
              <w:t>Benzol</w:t>
            </w:r>
            <w:proofErr w:type="spellEnd"/>
            <w:r>
              <w:t>, coal naphtha, cyclohexatriene, p</w:t>
            </w:r>
            <w:r w:rsidR="00667575" w:rsidRPr="00667575">
              <w:t>henyl hydride</w:t>
            </w:r>
          </w:p>
        </w:tc>
      </w:tr>
      <w:tr w:rsidR="00F43AD5" w:rsidRPr="004C23F4" w14:paraId="63D91448" w14:textId="77777777" w:rsidTr="00455B15">
        <w:trPr>
          <w:cantSplit/>
        </w:trPr>
        <w:tc>
          <w:tcPr>
            <w:tcW w:w="3981" w:type="dxa"/>
          </w:tcPr>
          <w:p w14:paraId="29F92172" w14:textId="77777777" w:rsidR="00F43AD5" w:rsidRPr="00921DE7" w:rsidRDefault="00CB1CB1" w:rsidP="00B76A41">
            <w:pPr>
              <w:pStyle w:val="Tablerowright"/>
            </w:pPr>
            <w:r w:rsidRPr="00921DE7">
              <w:t>Chemical formula:</w:t>
            </w:r>
          </w:p>
        </w:tc>
        <w:tc>
          <w:tcPr>
            <w:tcW w:w="5045" w:type="dxa"/>
          </w:tcPr>
          <w:p w14:paraId="5584D480" w14:textId="77777777" w:rsidR="00F43AD5" w:rsidRPr="00717D45" w:rsidRDefault="00667575" w:rsidP="00B76A41">
            <w:pPr>
              <w:pStyle w:val="Tablefont"/>
            </w:pPr>
            <w:r w:rsidRPr="00667575">
              <w:t>C</w:t>
            </w:r>
            <w:r w:rsidRPr="00667575">
              <w:rPr>
                <w:vertAlign w:val="subscript"/>
              </w:rPr>
              <w:t>6</w:t>
            </w:r>
            <w:r w:rsidRPr="00667575">
              <w:t>H</w:t>
            </w:r>
            <w:r w:rsidRPr="00667575">
              <w:rPr>
                <w:vertAlign w:val="subscript"/>
              </w:rPr>
              <w:t>6</w:t>
            </w:r>
          </w:p>
        </w:tc>
      </w:tr>
    </w:tbl>
    <w:p w14:paraId="15778FD7" w14:textId="7777777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B34674">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7"/>
        <w:gridCol w:w="5029"/>
      </w:tblGrid>
      <w:tr w:rsidR="002C7AFE" w:rsidRPr="004C23F4" w14:paraId="22D10D49" w14:textId="77777777" w:rsidTr="00610F2E">
        <w:trPr>
          <w:cantSplit/>
          <w:tblHeader/>
        </w:trPr>
        <w:tc>
          <w:tcPr>
            <w:tcW w:w="4077" w:type="dxa"/>
            <w:vAlign w:val="center"/>
          </w:tcPr>
          <w:p w14:paraId="26D5F9B5" w14:textId="77777777" w:rsidR="002C7AFE" w:rsidRPr="002C58FF" w:rsidRDefault="00921DE7" w:rsidP="00921DE7">
            <w:pPr>
              <w:pStyle w:val="Tablerowright"/>
            </w:pPr>
            <w:r>
              <w:t>TWA:</w:t>
            </w:r>
          </w:p>
        </w:tc>
        <w:tc>
          <w:tcPr>
            <w:tcW w:w="5165" w:type="dxa"/>
          </w:tcPr>
          <w:p w14:paraId="79D95CFB" w14:textId="77777777" w:rsidR="002C7AFE" w:rsidRPr="00B34674" w:rsidRDefault="00B34674" w:rsidP="00017C82">
            <w:pPr>
              <w:pStyle w:val="Tablefont"/>
              <w:rPr>
                <w:b/>
              </w:rPr>
            </w:pPr>
            <w:r>
              <w:rPr>
                <w:b/>
              </w:rPr>
              <w:t>0.2 ppm (0.7 mg/m</w:t>
            </w:r>
            <w:r>
              <w:rPr>
                <w:b/>
                <w:vertAlign w:val="superscript"/>
              </w:rPr>
              <w:t>3</w:t>
            </w:r>
            <w:r>
              <w:rPr>
                <w:b/>
              </w:rPr>
              <w:t>)</w:t>
            </w:r>
          </w:p>
        </w:tc>
      </w:tr>
      <w:tr w:rsidR="002C7AFE" w:rsidRPr="004C23F4" w14:paraId="4DF776F8" w14:textId="77777777" w:rsidTr="00921DE7">
        <w:trPr>
          <w:cantSplit/>
        </w:trPr>
        <w:tc>
          <w:tcPr>
            <w:tcW w:w="4077" w:type="dxa"/>
            <w:vAlign w:val="center"/>
          </w:tcPr>
          <w:p w14:paraId="48F765FD" w14:textId="77777777" w:rsidR="002C7AFE" w:rsidRPr="002C58FF" w:rsidRDefault="002C7AFE" w:rsidP="00921DE7">
            <w:pPr>
              <w:pStyle w:val="Tablerowright"/>
            </w:pPr>
            <w:r w:rsidRPr="002C58FF">
              <w:t>STEL</w:t>
            </w:r>
            <w:r w:rsidR="00921DE7">
              <w:t>:</w:t>
            </w:r>
          </w:p>
        </w:tc>
        <w:tc>
          <w:tcPr>
            <w:tcW w:w="5165" w:type="dxa"/>
          </w:tcPr>
          <w:p w14:paraId="561064CA" w14:textId="77777777" w:rsidR="002C7AFE" w:rsidRPr="00EB3D1B" w:rsidRDefault="004B653F" w:rsidP="00017C82">
            <w:pPr>
              <w:pStyle w:val="Tablefont"/>
              <w:rPr>
                <w:b/>
              </w:rPr>
            </w:pPr>
            <w:r>
              <w:rPr>
                <w:b/>
              </w:rPr>
              <w:t>—</w:t>
            </w:r>
          </w:p>
        </w:tc>
      </w:tr>
      <w:tr w:rsidR="002C7AFE" w:rsidRPr="004C23F4" w14:paraId="76E9ADD9" w14:textId="77777777" w:rsidTr="00921DE7">
        <w:trPr>
          <w:cantSplit/>
        </w:trPr>
        <w:tc>
          <w:tcPr>
            <w:tcW w:w="4077" w:type="dxa"/>
            <w:vAlign w:val="center"/>
          </w:tcPr>
          <w:p w14:paraId="299BDCEA" w14:textId="77777777" w:rsidR="002C7AFE" w:rsidRPr="002C58FF" w:rsidRDefault="00921DE7" w:rsidP="00921DE7">
            <w:pPr>
              <w:pStyle w:val="Tablerowright"/>
            </w:pPr>
            <w:r>
              <w:t>Peak limitation:</w:t>
            </w:r>
          </w:p>
        </w:tc>
        <w:tc>
          <w:tcPr>
            <w:tcW w:w="5165" w:type="dxa"/>
          </w:tcPr>
          <w:p w14:paraId="5B76C829" w14:textId="77777777" w:rsidR="002C7AFE" w:rsidRPr="00EB3D1B" w:rsidRDefault="004B653F" w:rsidP="00017C82">
            <w:pPr>
              <w:pStyle w:val="Tablefont"/>
              <w:rPr>
                <w:b/>
              </w:rPr>
            </w:pPr>
            <w:r>
              <w:rPr>
                <w:b/>
              </w:rPr>
              <w:t>—</w:t>
            </w:r>
          </w:p>
        </w:tc>
      </w:tr>
      <w:tr w:rsidR="002C7AFE" w:rsidRPr="004C23F4" w14:paraId="2949007B" w14:textId="77777777" w:rsidTr="00A2073D">
        <w:trPr>
          <w:cantSplit/>
        </w:trPr>
        <w:tc>
          <w:tcPr>
            <w:tcW w:w="4077" w:type="dxa"/>
          </w:tcPr>
          <w:p w14:paraId="7DBF5FAE" w14:textId="77777777" w:rsidR="002C7AFE" w:rsidRPr="002C58FF" w:rsidRDefault="00A2073D" w:rsidP="003241A8">
            <w:pPr>
              <w:pStyle w:val="Tablerowright"/>
            </w:pPr>
            <w:r>
              <w:rPr>
                <w:b w:val="0"/>
                <w:bCs/>
                <w:color w:val="000000" w:themeColor="text1"/>
              </w:rPr>
              <w:tab/>
            </w:r>
            <w:r w:rsidR="00921DE7" w:rsidRPr="003241A8">
              <w:t>Notations</w:t>
            </w:r>
            <w:r w:rsidR="00921DE7">
              <w:t>:</w:t>
            </w:r>
          </w:p>
        </w:tc>
        <w:tc>
          <w:tcPr>
            <w:tcW w:w="5165" w:type="dxa"/>
          </w:tcPr>
          <w:p w14:paraId="31C68E2C" w14:textId="77777777" w:rsidR="002C7AFE" w:rsidRPr="00EB3D1B" w:rsidRDefault="00DB48BA" w:rsidP="008A36CF">
            <w:pPr>
              <w:pStyle w:val="Tablefont"/>
              <w:rPr>
                <w:b/>
              </w:rPr>
            </w:pPr>
            <w:proofErr w:type="spellStart"/>
            <w:r w:rsidRPr="00DB48BA">
              <w:rPr>
                <w:b/>
              </w:rPr>
              <w:t>Carc</w:t>
            </w:r>
            <w:proofErr w:type="spellEnd"/>
            <w:r w:rsidRPr="00DB48BA">
              <w:rPr>
                <w:b/>
              </w:rPr>
              <w:t>. 1A</w:t>
            </w:r>
            <w:r w:rsidR="00703CCD">
              <w:rPr>
                <w:b/>
              </w:rPr>
              <w:t>,</w:t>
            </w:r>
            <w:r>
              <w:rPr>
                <w:b/>
              </w:rPr>
              <w:t xml:space="preserve"> Sk.</w:t>
            </w:r>
          </w:p>
        </w:tc>
      </w:tr>
      <w:tr w:rsidR="002C7AFE" w:rsidRPr="004C23F4" w14:paraId="596A04AB" w14:textId="77777777" w:rsidTr="00921DE7">
        <w:trPr>
          <w:cantSplit/>
        </w:trPr>
        <w:tc>
          <w:tcPr>
            <w:tcW w:w="4077" w:type="dxa"/>
            <w:vAlign w:val="center"/>
          </w:tcPr>
          <w:p w14:paraId="696AEF41" w14:textId="71466942" w:rsidR="00F10C97" w:rsidRPr="002C58FF" w:rsidRDefault="00921DE7" w:rsidP="006809E1">
            <w:pPr>
              <w:pStyle w:val="Tablerowright"/>
            </w:pPr>
            <w:r>
              <w:t>IDLH:</w:t>
            </w:r>
          </w:p>
        </w:tc>
        <w:tc>
          <w:tcPr>
            <w:tcW w:w="5165" w:type="dxa"/>
          </w:tcPr>
          <w:p w14:paraId="466986ED" w14:textId="77777777" w:rsidR="002C7AFE" w:rsidRPr="00EB3D1B" w:rsidRDefault="00DB48BA" w:rsidP="00017C82">
            <w:pPr>
              <w:pStyle w:val="Tablefont"/>
              <w:rPr>
                <w:b/>
              </w:rPr>
            </w:pPr>
            <w:r>
              <w:rPr>
                <w:b/>
              </w:rPr>
              <w:t>500 ppm</w:t>
            </w:r>
          </w:p>
        </w:tc>
      </w:tr>
      <w:tr w:rsidR="006809E1" w:rsidRPr="004C23F4" w14:paraId="34F0A08E" w14:textId="77777777" w:rsidTr="006809E1">
        <w:trPr>
          <w:cantSplit/>
        </w:trPr>
        <w:tc>
          <w:tcPr>
            <w:tcW w:w="4077" w:type="dxa"/>
          </w:tcPr>
          <w:p w14:paraId="503FE273" w14:textId="012EE68D" w:rsidR="006809E1" w:rsidRDefault="006809E1" w:rsidP="006809E1">
            <w:pPr>
              <w:pStyle w:val="Tablerowright"/>
            </w:pPr>
            <w:r>
              <w:t>Sampling and analysis:</w:t>
            </w:r>
          </w:p>
        </w:tc>
        <w:tc>
          <w:tcPr>
            <w:tcW w:w="5165" w:type="dxa"/>
          </w:tcPr>
          <w:p w14:paraId="3DDF273A" w14:textId="4F82CA2B" w:rsidR="006809E1" w:rsidRPr="006809E1" w:rsidRDefault="006809E1" w:rsidP="00017C82">
            <w:pPr>
              <w:pStyle w:val="Tablefont"/>
            </w:pPr>
            <w:r w:rsidRPr="006809E1">
              <w:t xml:space="preserve">The recommended value is readily quantifiable through currently available sampling and analysis techniques. </w:t>
            </w:r>
          </w:p>
        </w:tc>
      </w:tr>
    </w:tbl>
    <w:p w14:paraId="5341F467" w14:textId="77777777" w:rsidR="00CB1CB1" w:rsidRPr="003365A5" w:rsidRDefault="00F10C97" w:rsidP="003365A5">
      <w:pPr>
        <w:pStyle w:val="Heading2"/>
      </w:pPr>
      <w:r>
        <w:t>Recommendation and basis for workplace exposure standard</w:t>
      </w:r>
    </w:p>
    <w:p w14:paraId="2449FCEB" w14:textId="08EA7270" w:rsidR="006639B4" w:rsidRPr="004C23F4" w:rsidRDefault="00703CCD" w:rsidP="000C139A">
      <w:pPr>
        <w:rPr>
          <w:rFonts w:cs="Arial"/>
        </w:rPr>
      </w:pPr>
      <w:r>
        <w:rPr>
          <w:rFonts w:cs="Arial"/>
        </w:rPr>
        <w:t>A</w:t>
      </w:r>
      <w:r w:rsidR="0091482F" w:rsidRPr="00665545">
        <w:rPr>
          <w:rFonts w:cs="Arial"/>
        </w:rPr>
        <w:t xml:space="preserve"> </w:t>
      </w:r>
      <w:r w:rsidR="00B34674" w:rsidRPr="00665545">
        <w:rPr>
          <w:rFonts w:cs="Arial"/>
        </w:rPr>
        <w:t>TWA</w:t>
      </w:r>
      <w:r w:rsidR="0091482F" w:rsidRPr="00665545">
        <w:rPr>
          <w:rFonts w:cs="Arial"/>
        </w:rPr>
        <w:t xml:space="preserve"> of </w:t>
      </w:r>
      <w:r w:rsidR="0091482F" w:rsidRPr="00665545">
        <w:t>0.2 ppm (0.7 mg/m</w:t>
      </w:r>
      <w:r w:rsidR="0091482F" w:rsidRPr="00665545">
        <w:rPr>
          <w:vertAlign w:val="superscript"/>
        </w:rPr>
        <w:t>3</w:t>
      </w:r>
      <w:r w:rsidR="0091482F" w:rsidRPr="00665545">
        <w:t>)</w:t>
      </w:r>
      <w:r w:rsidR="00B34674" w:rsidRPr="00665545">
        <w:rPr>
          <w:rFonts w:cs="Arial"/>
        </w:rPr>
        <w:t xml:space="preserve"> </w:t>
      </w:r>
      <w:proofErr w:type="gramStart"/>
      <w:r w:rsidR="00B34674" w:rsidRPr="00665545">
        <w:rPr>
          <w:rFonts w:cs="Arial"/>
        </w:rPr>
        <w:t xml:space="preserve">is </w:t>
      </w:r>
      <w:r w:rsidR="0091482F" w:rsidRPr="00665545">
        <w:rPr>
          <w:rFonts w:cs="Arial"/>
        </w:rPr>
        <w:t>recommended</w:t>
      </w:r>
      <w:proofErr w:type="gramEnd"/>
      <w:r w:rsidR="0091482F" w:rsidRPr="00665545">
        <w:rPr>
          <w:rFonts w:cs="Arial"/>
        </w:rPr>
        <w:t xml:space="preserve"> to </w:t>
      </w:r>
      <w:r w:rsidR="004B653F">
        <w:rPr>
          <w:rFonts w:cs="Arial"/>
        </w:rPr>
        <w:t>reduce</w:t>
      </w:r>
      <w:r w:rsidR="00D239C0" w:rsidRPr="00665545">
        <w:rPr>
          <w:rFonts w:cs="Arial"/>
        </w:rPr>
        <w:t xml:space="preserve"> the risk of leukaemia and other adverse effects </w:t>
      </w:r>
      <w:r w:rsidR="006B6912">
        <w:rPr>
          <w:rFonts w:cs="Arial"/>
        </w:rPr>
        <w:t>in exposed workers</w:t>
      </w:r>
      <w:r w:rsidR="00B34674" w:rsidRPr="00665545">
        <w:rPr>
          <w:rFonts w:cs="Arial"/>
        </w:rPr>
        <w:t>.</w:t>
      </w:r>
    </w:p>
    <w:p w14:paraId="4578939F" w14:textId="77777777" w:rsidR="00C7155E" w:rsidRPr="004C23F4" w:rsidRDefault="00F10C97" w:rsidP="003365A5">
      <w:pPr>
        <w:pStyle w:val="Heading2"/>
      </w:pPr>
      <w:r>
        <w:t>Discussion and conclusions</w:t>
      </w:r>
    </w:p>
    <w:p w14:paraId="3DC402D8" w14:textId="41BA8375" w:rsidR="006639B4" w:rsidRDefault="002C1D25" w:rsidP="006639B4">
      <w:pPr>
        <w:rPr>
          <w:rFonts w:cs="Arial"/>
        </w:rPr>
      </w:pPr>
      <w:r>
        <w:rPr>
          <w:rFonts w:cs="Arial"/>
        </w:rPr>
        <w:t xml:space="preserve">Benzene is a known human carcinogen </w:t>
      </w:r>
      <w:r w:rsidR="009A7465">
        <w:rPr>
          <w:rFonts w:cs="Arial"/>
        </w:rPr>
        <w:t>with</w:t>
      </w:r>
      <w:r>
        <w:rPr>
          <w:rFonts w:cs="Arial"/>
        </w:rPr>
        <w:t xml:space="preserve"> evidence presented in various epidemiological studies</w:t>
      </w:r>
      <w:r w:rsidR="005F348C">
        <w:rPr>
          <w:rFonts w:cs="Arial"/>
        </w:rPr>
        <w:t xml:space="preserve"> in occupational setting</w:t>
      </w:r>
      <w:r w:rsidR="006B6912">
        <w:rPr>
          <w:rFonts w:cs="Arial"/>
        </w:rPr>
        <w:t>s</w:t>
      </w:r>
      <w:r w:rsidR="004B653F">
        <w:rPr>
          <w:rFonts w:cs="Arial"/>
        </w:rPr>
        <w:t xml:space="preserve"> and</w:t>
      </w:r>
      <w:r w:rsidR="005F348C">
        <w:rPr>
          <w:rFonts w:cs="Arial"/>
        </w:rPr>
        <w:t xml:space="preserve"> supported by experimental animal studies of both oral and inhalation routes. Exposure to benzene at the workplace is associated with increased risk of leukaemia, anaplastic anaemia and changes in hematologic parameters (ACGIH, 2018; HCTON, 2014). </w:t>
      </w:r>
    </w:p>
    <w:p w14:paraId="23ADE845" w14:textId="511846D5" w:rsidR="000B7B89" w:rsidRDefault="000B7B89" w:rsidP="006639B4">
      <w:pPr>
        <w:rPr>
          <w:rFonts w:cs="Arial"/>
        </w:rPr>
      </w:pPr>
      <w:r>
        <w:rPr>
          <w:rFonts w:cs="Arial"/>
        </w:rPr>
        <w:t xml:space="preserve">The evidence suggests </w:t>
      </w:r>
      <w:r w:rsidRPr="00E3605B">
        <w:t>an indirect genotoxic mode of action</w:t>
      </w:r>
      <w:r>
        <w:t xml:space="preserve"> </w:t>
      </w:r>
      <w:r w:rsidRPr="008A4CA5">
        <w:rPr>
          <w:i/>
        </w:rPr>
        <w:t>via</w:t>
      </w:r>
      <w:r>
        <w:t xml:space="preserve"> chromosomal aberrations in haematopoietic cells </w:t>
      </w:r>
      <w:r w:rsidR="00B27884">
        <w:t xml:space="preserve">as the key mechanism </w:t>
      </w:r>
      <w:r>
        <w:t xml:space="preserve">in the development of leukaemia. </w:t>
      </w:r>
      <w:r w:rsidR="00B27884">
        <w:t>Therefore, it is considered that</w:t>
      </w:r>
      <w:r>
        <w:t xml:space="preserve"> </w:t>
      </w:r>
      <w:r w:rsidR="00B27884">
        <w:t xml:space="preserve">a </w:t>
      </w:r>
      <w:r>
        <w:t xml:space="preserve">threshold </w:t>
      </w:r>
      <w:r w:rsidR="00B27884" w:rsidRPr="00126A7C">
        <w:t>concentration likely exist</w:t>
      </w:r>
      <w:r w:rsidR="0091482F" w:rsidRPr="00126A7C">
        <w:t>s</w:t>
      </w:r>
      <w:r w:rsidR="00B27884" w:rsidRPr="00126A7C">
        <w:t xml:space="preserve"> </w:t>
      </w:r>
      <w:r w:rsidR="009A7465">
        <w:t>(ECHA, 2018; HCTON, 2014</w:t>
      </w:r>
      <w:r w:rsidR="00D239C0">
        <w:t>).</w:t>
      </w:r>
    </w:p>
    <w:p w14:paraId="61B463B3" w14:textId="4C4E5C48" w:rsidR="005F348C" w:rsidRPr="004C23F4" w:rsidRDefault="00561984" w:rsidP="006639B4">
      <w:pPr>
        <w:rPr>
          <w:rFonts w:cs="Arial"/>
        </w:rPr>
      </w:pPr>
      <w:r>
        <w:rPr>
          <w:rFonts w:cs="Arial"/>
        </w:rPr>
        <w:t>There are a</w:t>
      </w:r>
      <w:r w:rsidR="000B7B89">
        <w:rPr>
          <w:rFonts w:cs="Arial"/>
        </w:rPr>
        <w:t xml:space="preserve"> </w:t>
      </w:r>
      <w:r w:rsidR="00335A29" w:rsidRPr="00335A29">
        <w:rPr>
          <w:rFonts w:cs="Arial"/>
        </w:rPr>
        <w:t xml:space="preserve">range of </w:t>
      </w:r>
      <w:r w:rsidR="00335A29">
        <w:rPr>
          <w:rFonts w:cs="Arial"/>
        </w:rPr>
        <w:t xml:space="preserve">LOAEL (0.5 </w:t>
      </w:r>
      <w:r w:rsidR="000B7B89">
        <w:rPr>
          <w:rFonts w:cs="Arial"/>
        </w:rPr>
        <w:t>ppm to 1 ppm</w:t>
      </w:r>
      <w:r w:rsidR="00335A29" w:rsidRPr="00335A29">
        <w:rPr>
          <w:rFonts w:cs="Arial"/>
        </w:rPr>
        <w:t>)</w:t>
      </w:r>
      <w:r w:rsidR="000B7B89">
        <w:rPr>
          <w:rFonts w:cs="Arial"/>
        </w:rPr>
        <w:t xml:space="preserve"> and NOAEL (0.6 ppm to 0.9 ppm)</w:t>
      </w:r>
      <w:r w:rsidR="004A0BBA">
        <w:rPr>
          <w:rFonts w:cs="Arial"/>
        </w:rPr>
        <w:t xml:space="preserve"> for critical effects </w:t>
      </w:r>
      <w:r>
        <w:rPr>
          <w:rFonts w:cs="Arial"/>
        </w:rPr>
        <w:t xml:space="preserve">of </w:t>
      </w:r>
      <w:proofErr w:type="spellStart"/>
      <w:r w:rsidR="00335A29" w:rsidRPr="00335A29">
        <w:rPr>
          <w:rFonts w:cs="Arial"/>
        </w:rPr>
        <w:t>haematotoxicity</w:t>
      </w:r>
      <w:proofErr w:type="spellEnd"/>
      <w:r w:rsidR="00335A29" w:rsidRPr="00335A29">
        <w:rPr>
          <w:rFonts w:cs="Arial"/>
        </w:rPr>
        <w:t xml:space="preserve">, </w:t>
      </w:r>
      <w:proofErr w:type="spellStart"/>
      <w:r w:rsidR="00335A29" w:rsidRPr="00335A29">
        <w:rPr>
          <w:rFonts w:cs="Arial"/>
        </w:rPr>
        <w:t>genotoxicity</w:t>
      </w:r>
      <w:proofErr w:type="spellEnd"/>
      <w:r w:rsidR="00335A29" w:rsidRPr="00335A29">
        <w:rPr>
          <w:rFonts w:cs="Arial"/>
        </w:rPr>
        <w:t xml:space="preserve"> and carcinogenicity</w:t>
      </w:r>
      <w:r w:rsidR="00C84254">
        <w:rPr>
          <w:rFonts w:cs="Arial"/>
        </w:rPr>
        <w:t xml:space="preserve"> in</w:t>
      </w:r>
      <w:r>
        <w:rPr>
          <w:rFonts w:cs="Arial"/>
        </w:rPr>
        <w:t xml:space="preserve"> exposed</w:t>
      </w:r>
      <w:r w:rsidR="00C84254">
        <w:rPr>
          <w:rFonts w:cs="Arial"/>
        </w:rPr>
        <w:t xml:space="preserve"> workers</w:t>
      </w:r>
      <w:r>
        <w:rPr>
          <w:rFonts w:cs="Arial"/>
        </w:rPr>
        <w:t xml:space="preserve"> </w:t>
      </w:r>
      <w:r w:rsidR="00941649">
        <w:rPr>
          <w:rFonts w:cs="Arial"/>
        </w:rPr>
        <w:t>(HCTON, 2014</w:t>
      </w:r>
      <w:r w:rsidR="009A7465">
        <w:rPr>
          <w:rFonts w:cs="Arial"/>
        </w:rPr>
        <w:t>; SCOEL, 1991</w:t>
      </w:r>
      <w:r w:rsidR="00941649">
        <w:rPr>
          <w:rFonts w:cs="Arial"/>
        </w:rPr>
        <w:t xml:space="preserve">). </w:t>
      </w:r>
      <w:r>
        <w:rPr>
          <w:rFonts w:cs="Arial"/>
        </w:rPr>
        <w:t xml:space="preserve">To account for uncertainties associated with LOAEL and NOAEL ranges, a factor of </w:t>
      </w:r>
      <w:r w:rsidR="00657D2C">
        <w:rPr>
          <w:rFonts w:cs="Arial"/>
        </w:rPr>
        <w:t xml:space="preserve">three </w:t>
      </w:r>
      <w:proofErr w:type="gramStart"/>
      <w:r>
        <w:rPr>
          <w:rFonts w:cs="Arial"/>
        </w:rPr>
        <w:t>was applied</w:t>
      </w:r>
      <w:proofErr w:type="gramEnd"/>
      <w:r>
        <w:rPr>
          <w:rFonts w:cs="Arial"/>
        </w:rPr>
        <w:t xml:space="preserve"> to the lowest value to derive a TWA of 0.2 ppm (rounding down</w:t>
      </w:r>
      <w:r w:rsidR="003B2D51">
        <w:rPr>
          <w:rFonts w:cs="Arial"/>
        </w:rPr>
        <w:t xml:space="preserve">; </w:t>
      </w:r>
      <w:r w:rsidR="003B2D51" w:rsidRPr="00455B15">
        <w:rPr>
          <w:bCs/>
        </w:rPr>
        <w:t>0.7 mg/m</w:t>
      </w:r>
      <w:r w:rsidR="003B2D51" w:rsidRPr="00455B15">
        <w:rPr>
          <w:bCs/>
          <w:vertAlign w:val="superscript"/>
        </w:rPr>
        <w:t>3</w:t>
      </w:r>
      <w:r w:rsidRPr="003B2D51">
        <w:rPr>
          <w:rFonts w:cs="Arial"/>
          <w:bCs/>
        </w:rPr>
        <w:t>)</w:t>
      </w:r>
      <w:r>
        <w:rPr>
          <w:rFonts w:cs="Arial"/>
        </w:rPr>
        <w:t xml:space="preserve">. </w:t>
      </w:r>
      <w:r w:rsidR="00B34674">
        <w:rPr>
          <w:rFonts w:cs="Arial"/>
        </w:rPr>
        <w:t xml:space="preserve">This value </w:t>
      </w:r>
      <w:proofErr w:type="gramStart"/>
      <w:r w:rsidR="00B34674">
        <w:rPr>
          <w:rFonts w:cs="Arial"/>
        </w:rPr>
        <w:t>is considered</w:t>
      </w:r>
      <w:proofErr w:type="gramEnd"/>
      <w:r w:rsidR="00B34674">
        <w:rPr>
          <w:rFonts w:cs="Arial"/>
        </w:rPr>
        <w:t xml:space="preserve"> to reduce the risk of leukaemia and other adverse effects associated with exposure to benzene at the workplace</w:t>
      </w:r>
      <w:r w:rsidR="00DB4CD9">
        <w:rPr>
          <w:rFonts w:cs="Arial"/>
        </w:rPr>
        <w:t xml:space="preserve"> (ECHA, 2018</w:t>
      </w:r>
      <w:r w:rsidR="009A7465">
        <w:rPr>
          <w:rFonts w:cs="Arial"/>
        </w:rPr>
        <w:t>; HCTON, 2014</w:t>
      </w:r>
      <w:r w:rsidR="00DB4CD9">
        <w:rPr>
          <w:rFonts w:cs="Arial"/>
        </w:rPr>
        <w:t>)</w:t>
      </w:r>
      <w:r w:rsidR="00D239C0">
        <w:rPr>
          <w:rFonts w:cs="Arial"/>
        </w:rPr>
        <w:t>.</w:t>
      </w:r>
    </w:p>
    <w:p w14:paraId="6061B28D" w14:textId="77777777" w:rsidR="004529F0" w:rsidRPr="004C23F4" w:rsidRDefault="004529F0" w:rsidP="004529F0">
      <w:pPr>
        <w:pStyle w:val="Heading2"/>
      </w:pPr>
      <w:r>
        <w:t>Recommendation for notations</w:t>
      </w:r>
    </w:p>
    <w:p w14:paraId="1F0BB3FA" w14:textId="77777777" w:rsidR="00B34674" w:rsidRPr="00011ADB" w:rsidRDefault="00B34674" w:rsidP="00B34674">
      <w:pPr>
        <w:rPr>
          <w:rFonts w:cs="Arial"/>
        </w:rPr>
      </w:pPr>
      <w:r>
        <w:rPr>
          <w:rFonts w:cs="Arial"/>
        </w:rPr>
        <w:t>C</w:t>
      </w:r>
      <w:r w:rsidRPr="00011ADB">
        <w:rPr>
          <w:rFonts w:cs="Arial"/>
        </w:rPr>
        <w:t xml:space="preserve">lassified as a </w:t>
      </w:r>
      <w:r w:rsidR="00AF63B5">
        <w:rPr>
          <w:rFonts w:cs="Arial"/>
        </w:rPr>
        <w:t xml:space="preserve">category 1A </w:t>
      </w:r>
      <w:r w:rsidRPr="00011ADB">
        <w:rPr>
          <w:rFonts w:cs="Arial"/>
        </w:rPr>
        <w:t>carcinogen according to the Globally Harmonized System of Classification and Labelling of Chemicals (GHS).</w:t>
      </w:r>
    </w:p>
    <w:p w14:paraId="1F042EC0" w14:textId="32473D89" w:rsidR="00B34674" w:rsidRPr="00011ADB" w:rsidRDefault="00B34674" w:rsidP="00B34674">
      <w:pPr>
        <w:rPr>
          <w:rFonts w:cs="Arial"/>
        </w:rPr>
      </w:pPr>
      <w:r>
        <w:rPr>
          <w:rFonts w:cs="Arial"/>
        </w:rPr>
        <w:t>Not c</w:t>
      </w:r>
      <w:r w:rsidRPr="00011ADB">
        <w:rPr>
          <w:rFonts w:cs="Arial"/>
        </w:rPr>
        <w:t>lassified as a skin</w:t>
      </w:r>
      <w:r w:rsidR="00B465FC">
        <w:rPr>
          <w:rFonts w:cs="Arial"/>
        </w:rPr>
        <w:t xml:space="preserve"> sensitiser</w:t>
      </w:r>
      <w:r w:rsidRPr="00011ADB">
        <w:rPr>
          <w:rFonts w:cs="Arial"/>
        </w:rPr>
        <w:t xml:space="preserve"> or respiratory sensitiser according to the GHS</w:t>
      </w:r>
      <w:r w:rsidR="009A7465">
        <w:rPr>
          <w:rFonts w:cs="Arial"/>
        </w:rPr>
        <w:t>.</w:t>
      </w:r>
    </w:p>
    <w:p w14:paraId="7E8246AD" w14:textId="77777777" w:rsidR="004529F0" w:rsidRPr="004C23F4" w:rsidRDefault="00424326" w:rsidP="004529F0">
      <w:pPr>
        <w:rPr>
          <w:rFonts w:cs="Arial"/>
        </w:rPr>
      </w:pPr>
      <w:r>
        <w:rPr>
          <w:rFonts w:cs="Arial"/>
        </w:rPr>
        <w:t xml:space="preserve">A skin notation </w:t>
      </w:r>
      <w:proofErr w:type="gramStart"/>
      <w:r>
        <w:rPr>
          <w:rFonts w:cs="Arial"/>
        </w:rPr>
        <w:t xml:space="preserve">is </w:t>
      </w:r>
      <w:r w:rsidR="00B465FC">
        <w:rPr>
          <w:rFonts w:cs="Arial"/>
        </w:rPr>
        <w:t>recommended</w:t>
      </w:r>
      <w:proofErr w:type="gramEnd"/>
      <w:r w:rsidR="00B465FC">
        <w:rPr>
          <w:rFonts w:cs="Arial"/>
        </w:rPr>
        <w:t xml:space="preserve"> </w:t>
      </w:r>
      <w:r>
        <w:rPr>
          <w:rFonts w:cs="Arial"/>
        </w:rPr>
        <w:t>based on</w:t>
      </w:r>
      <w:r w:rsidR="00AE329E">
        <w:rPr>
          <w:rFonts w:cs="Arial"/>
        </w:rPr>
        <w:t xml:space="preserve"> </w:t>
      </w:r>
      <w:r w:rsidR="004A0BBA">
        <w:rPr>
          <w:rFonts w:cs="Arial"/>
        </w:rPr>
        <w:t>the</w:t>
      </w:r>
      <w:r>
        <w:rPr>
          <w:rFonts w:cs="Arial"/>
        </w:rPr>
        <w:t xml:space="preserve"> evidence for the potential significant contribution of dermal absorption to total dose</w:t>
      </w:r>
      <w:r w:rsidR="004A0BBA">
        <w:rPr>
          <w:rFonts w:cs="Arial"/>
        </w:rPr>
        <w:t xml:space="preserve">. </w:t>
      </w:r>
    </w:p>
    <w:p w14:paraId="7946EB43" w14:textId="4AB457C8"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30BC6712"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46CAEF96"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6D976067" w14:textId="77777777" w:rsidTr="00DE26E8">
        <w:trPr>
          <w:gridAfter w:val="1"/>
          <w:wAfter w:w="8" w:type="pct"/>
          <w:cantSplit/>
          <w:trHeight w:val="393"/>
          <w:tblHeader/>
        </w:trPr>
        <w:tc>
          <w:tcPr>
            <w:tcW w:w="4992" w:type="pct"/>
            <w:shd w:val="clear" w:color="auto" w:fill="BFBFBF" w:themeFill="background1" w:themeFillShade="BF"/>
            <w:vAlign w:val="center"/>
          </w:tcPr>
          <w:p w14:paraId="7256235B"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18DBAD76" w14:textId="77777777" w:rsidTr="00DE26E8">
        <w:trPr>
          <w:cantSplit/>
        </w:trPr>
        <w:tc>
          <w:tcPr>
            <w:tcW w:w="5000" w:type="pct"/>
            <w:gridSpan w:val="2"/>
            <w:shd w:val="clear" w:color="auto" w:fill="F2F2F2" w:themeFill="background1" w:themeFillShade="F2"/>
          </w:tcPr>
          <w:p w14:paraId="635A437B"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87237A">
                  <w:t>2003</w:t>
                </w:r>
              </w:sdtContent>
            </w:sdt>
            <w:r w:rsidRPr="003365A5">
              <w:tab/>
            </w:r>
            <w:r>
              <w:tab/>
            </w:r>
            <w:sdt>
              <w:sdtPr>
                <w:alias w:val="SWA WES"/>
                <w:tag w:val="SWA WES"/>
                <w:id w:val="857077202"/>
                <w:placeholder>
                  <w:docPart w:val="81CFEC2FDBC5451289F394E66D92D1A0"/>
                </w:placeholder>
              </w:sdtPr>
              <w:sdtEndPr/>
              <w:sdtContent>
                <w:r w:rsidR="0087237A">
                  <w:t>TWA: 1 ppm (3.2 mg/m</w:t>
                </w:r>
                <w:r w:rsidR="0087237A">
                  <w:rPr>
                    <w:vertAlign w:val="superscript"/>
                  </w:rPr>
                  <w:t>3</w:t>
                </w:r>
                <w:r w:rsidR="0087237A">
                  <w:t>)</w:t>
                </w:r>
              </w:sdtContent>
            </w:sdt>
          </w:p>
        </w:tc>
      </w:tr>
      <w:tr w:rsidR="00C978F0" w:rsidRPr="00DA352E" w14:paraId="412DAAC0" w14:textId="77777777" w:rsidTr="00DE26E8">
        <w:trPr>
          <w:gridAfter w:val="1"/>
          <w:wAfter w:w="8" w:type="pct"/>
          <w:cantSplit/>
        </w:trPr>
        <w:tc>
          <w:tcPr>
            <w:tcW w:w="4992" w:type="pct"/>
          </w:tcPr>
          <w:p w14:paraId="3E9A514C" w14:textId="77777777" w:rsidR="00C978F0" w:rsidRPr="00DA352E" w:rsidRDefault="00C978F0" w:rsidP="003365A5">
            <w:pPr>
              <w:pStyle w:val="Tabletextprimarysource"/>
            </w:pPr>
          </w:p>
        </w:tc>
      </w:tr>
      <w:tr w:rsidR="00C978F0" w:rsidRPr="00DA352E" w14:paraId="5D6CEFBA" w14:textId="77777777" w:rsidTr="00DE26E8">
        <w:trPr>
          <w:gridAfter w:val="1"/>
          <w:wAfter w:w="8" w:type="pct"/>
          <w:cantSplit/>
        </w:trPr>
        <w:tc>
          <w:tcPr>
            <w:tcW w:w="4992" w:type="pct"/>
            <w:shd w:val="clear" w:color="auto" w:fill="F2F2F2" w:themeFill="background1" w:themeFillShade="F2"/>
          </w:tcPr>
          <w:p w14:paraId="0FFC4EEF"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87237A">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87237A">
                  <w:t>TLV-TWA: 0.5 ppm (1.6 mg/m</w:t>
                </w:r>
                <w:r w:rsidR="0087237A">
                  <w:rPr>
                    <w:vertAlign w:val="superscript"/>
                  </w:rPr>
                  <w:t>3</w:t>
                </w:r>
                <w:r w:rsidR="0087237A">
                  <w:t>); TLV-STEL: 2.5 ppm (8 mg/m</w:t>
                </w:r>
                <w:r w:rsidR="0087237A">
                  <w:rPr>
                    <w:vertAlign w:val="superscript"/>
                  </w:rPr>
                  <w:t>3</w:t>
                </w:r>
                <w:r w:rsidR="0087237A">
                  <w:t xml:space="preserve">) </w:t>
                </w:r>
              </w:sdtContent>
            </w:sdt>
          </w:p>
        </w:tc>
      </w:tr>
      <w:tr w:rsidR="00C978F0" w:rsidRPr="00DA352E" w14:paraId="4AA304F3" w14:textId="77777777" w:rsidTr="00DE26E8">
        <w:trPr>
          <w:gridAfter w:val="1"/>
          <w:wAfter w:w="8" w:type="pct"/>
          <w:cantSplit/>
        </w:trPr>
        <w:tc>
          <w:tcPr>
            <w:tcW w:w="4992" w:type="pct"/>
          </w:tcPr>
          <w:p w14:paraId="3735A8A8" w14:textId="77777777" w:rsidR="00C978F0" w:rsidRDefault="008A076D" w:rsidP="003365A5">
            <w:pPr>
              <w:pStyle w:val="Tabletextprimarysource"/>
            </w:pPr>
            <w:r>
              <w:t>TLV-TWA and TLV-STEL</w:t>
            </w:r>
            <w:r w:rsidR="0046560F">
              <w:t xml:space="preserve"> </w:t>
            </w:r>
            <w:r w:rsidR="00146032">
              <w:t xml:space="preserve">recommended </w:t>
            </w:r>
            <w:proofErr w:type="gramStart"/>
            <w:r w:rsidR="00146032">
              <w:t>to reduce</w:t>
            </w:r>
            <w:proofErr w:type="gramEnd"/>
            <w:r w:rsidR="00146032">
              <w:t xml:space="preserve"> the risk of leukaemia in exposed workers.</w:t>
            </w:r>
          </w:p>
          <w:p w14:paraId="20941910" w14:textId="77777777" w:rsidR="008A4CA5" w:rsidRDefault="008A4CA5" w:rsidP="003365A5">
            <w:pPr>
              <w:pStyle w:val="Tabletextprimarysource"/>
            </w:pPr>
          </w:p>
          <w:p w14:paraId="6C924118" w14:textId="77777777" w:rsidR="00146032" w:rsidRDefault="00146032" w:rsidP="003365A5">
            <w:pPr>
              <w:pStyle w:val="Tabletextprimarysource"/>
            </w:pPr>
            <w:r>
              <w:t>Summary of data:</w:t>
            </w:r>
          </w:p>
          <w:p w14:paraId="41D81E18" w14:textId="77777777" w:rsidR="00146032" w:rsidRDefault="00146032" w:rsidP="003365A5">
            <w:pPr>
              <w:pStyle w:val="Tabletextprimarysource"/>
            </w:pPr>
            <w:r>
              <w:t>Human</w:t>
            </w:r>
            <w:r w:rsidR="0047294D">
              <w:t xml:space="preserve"> data</w:t>
            </w:r>
            <w:r>
              <w:t>:</w:t>
            </w:r>
          </w:p>
          <w:p w14:paraId="1B07599C" w14:textId="77777777" w:rsidR="000A63CA" w:rsidRDefault="000A63CA" w:rsidP="00703CCD">
            <w:pPr>
              <w:pStyle w:val="ListBullet"/>
              <w:numPr>
                <w:ilvl w:val="0"/>
                <w:numId w:val="0"/>
              </w:numPr>
              <w:ind w:left="22"/>
            </w:pPr>
            <w:r>
              <w:t xml:space="preserve">Critical adverse effects include </w:t>
            </w:r>
            <w:r w:rsidR="007B2D73">
              <w:t xml:space="preserve">changes in </w:t>
            </w:r>
            <w:proofErr w:type="spellStart"/>
            <w:r w:rsidR="00665545" w:rsidRPr="00CE172F">
              <w:t>h</w:t>
            </w:r>
            <w:r w:rsidR="00665545">
              <w:t>a</w:t>
            </w:r>
            <w:r w:rsidR="00665545" w:rsidRPr="00CE172F">
              <w:t>ematolo</w:t>
            </w:r>
            <w:r w:rsidR="00665545">
              <w:t>gic</w:t>
            </w:r>
            <w:proofErr w:type="spellEnd"/>
            <w:r w:rsidR="007B2D73">
              <w:t xml:space="preserve"> parameters, anaplastic anaemia and leukaemia</w:t>
            </w:r>
            <w:r w:rsidR="005F348C">
              <w:t>.</w:t>
            </w:r>
          </w:p>
          <w:p w14:paraId="040575D1" w14:textId="77777777" w:rsidR="00146032" w:rsidRDefault="00146032" w:rsidP="00CF2AC4">
            <w:pPr>
              <w:pStyle w:val="ListBullet"/>
              <w:numPr>
                <w:ilvl w:val="0"/>
                <w:numId w:val="5"/>
              </w:numPr>
              <w:spacing w:before="0" w:after="80"/>
              <w:ind w:left="714" w:hanging="357"/>
              <w:contextualSpacing w:val="0"/>
            </w:pPr>
            <w:r>
              <w:t>Reported human fatality after exposure to 20,000 ppm for 5</w:t>
            </w:r>
            <w:r w:rsidR="00315A27">
              <w:t>–</w:t>
            </w:r>
            <w:r w:rsidR="00665545">
              <w:t>10 min</w:t>
            </w:r>
          </w:p>
          <w:p w14:paraId="6085729E" w14:textId="77777777" w:rsidR="00967575" w:rsidRDefault="00CE172F" w:rsidP="00CF2AC4">
            <w:pPr>
              <w:pStyle w:val="ListBullet"/>
              <w:numPr>
                <w:ilvl w:val="0"/>
                <w:numId w:val="5"/>
              </w:numPr>
              <w:spacing w:before="0" w:after="80"/>
              <w:ind w:left="714" w:hanging="357"/>
              <w:contextualSpacing w:val="0"/>
            </w:pPr>
            <w:r>
              <w:t>A study of 459 workers at a rubber production plant reported a s</w:t>
            </w:r>
            <w:r w:rsidR="00967575">
              <w:t xml:space="preserve">ignificant correlation between </w:t>
            </w:r>
            <w:proofErr w:type="spellStart"/>
            <w:r w:rsidR="00967575">
              <w:t>h</w:t>
            </w:r>
            <w:r w:rsidR="00665545">
              <w:t>a</w:t>
            </w:r>
            <w:r w:rsidR="00967575">
              <w:t>ematologic</w:t>
            </w:r>
            <w:proofErr w:type="spellEnd"/>
            <w:r w:rsidR="00967575">
              <w:t xml:space="preserve"> parameters (numbers of large lymphocytes, white and red cell counts, and haemoglobin) and est</w:t>
            </w:r>
            <w:r>
              <w:t>imated exposure concentrations</w:t>
            </w:r>
            <w:r w:rsidR="00967575">
              <w:t xml:space="preserve"> </w:t>
            </w:r>
            <w:r w:rsidR="005F348C">
              <w:t>(</w:t>
            </w:r>
            <w:proofErr w:type="spellStart"/>
            <w:r w:rsidR="005F348C">
              <w:t>Pliofilm</w:t>
            </w:r>
            <w:proofErr w:type="spellEnd"/>
            <w:r w:rsidR="005F348C">
              <w:t xml:space="preserve"> study)</w:t>
            </w:r>
          </w:p>
          <w:p w14:paraId="7A8B113B" w14:textId="77777777" w:rsidR="00967575" w:rsidRDefault="00D42B95" w:rsidP="008A4CA5">
            <w:pPr>
              <w:pStyle w:val="ListBullet"/>
              <w:numPr>
                <w:ilvl w:val="0"/>
                <w:numId w:val="2"/>
              </w:numPr>
              <w:spacing w:before="0" w:after="80"/>
              <w:ind w:left="1151" w:hanging="357"/>
              <w:contextualSpacing w:val="0"/>
            </w:pPr>
            <w:r>
              <w:t>p</w:t>
            </w:r>
            <w:r w:rsidR="002B2C9E">
              <w:t>ossible inaccuracies in</w:t>
            </w:r>
            <w:r w:rsidR="00967575">
              <w:t xml:space="preserve"> haematological data </w:t>
            </w:r>
            <w:r>
              <w:t>were noted</w:t>
            </w:r>
          </w:p>
          <w:p w14:paraId="4420EB9C" w14:textId="4BCB759B" w:rsidR="007B2D73" w:rsidRDefault="00F47B54" w:rsidP="00CF2AC4">
            <w:pPr>
              <w:pStyle w:val="ListBullet"/>
              <w:numPr>
                <w:ilvl w:val="0"/>
                <w:numId w:val="5"/>
              </w:numPr>
              <w:spacing w:before="0" w:after="80"/>
              <w:ind w:left="714" w:hanging="357"/>
              <w:contextualSpacing w:val="0"/>
            </w:pPr>
            <w:r>
              <w:t>E</w:t>
            </w:r>
            <w:r w:rsidR="00967575">
              <w:t>stimated 0.3</w:t>
            </w:r>
            <w:r w:rsidR="005278DC">
              <w:t>–</w:t>
            </w:r>
            <w:r w:rsidR="00967575">
              <w:t xml:space="preserve">0.5 additional leukaemia deaths per 1,000 related to a cumulative exposure </w:t>
            </w:r>
            <w:r w:rsidR="00967575" w:rsidRPr="00F316BC">
              <w:t>of 45 ppm</w:t>
            </w:r>
            <w:r w:rsidR="004C4B4B">
              <w:t>-</w:t>
            </w:r>
            <w:proofErr w:type="spellStart"/>
            <w:r w:rsidR="003B2D51" w:rsidRPr="00F316BC">
              <w:t>y</w:t>
            </w:r>
            <w:r w:rsidR="003B2D51">
              <w:t>r</w:t>
            </w:r>
            <w:proofErr w:type="spellEnd"/>
          </w:p>
          <w:p w14:paraId="3DFB9E28" w14:textId="1E7F542C" w:rsidR="00967575" w:rsidRDefault="007B6887" w:rsidP="008A4CA5">
            <w:pPr>
              <w:pStyle w:val="ListBullet"/>
              <w:spacing w:before="0" w:after="80"/>
              <w:ind w:left="714" w:hanging="357"/>
              <w:contextualSpacing w:val="0"/>
            </w:pPr>
            <w:r>
              <w:t>E</w:t>
            </w:r>
            <w:r w:rsidR="00967575">
              <w:t xml:space="preserve">xposure </w:t>
            </w:r>
            <w:r>
              <w:rPr>
                <w:rFonts w:cs="Arial"/>
              </w:rPr>
              <w:t>≥</w:t>
            </w:r>
            <w:r w:rsidR="00967575">
              <w:t>1 ppm</w:t>
            </w:r>
            <w:r>
              <w:t xml:space="preserve"> </w:t>
            </w:r>
            <w:r w:rsidR="00967575">
              <w:t>over a</w:t>
            </w:r>
            <w:r w:rsidR="00665545">
              <w:t xml:space="preserve"> working lifetime resulted</w:t>
            </w:r>
            <w:r>
              <w:t xml:space="preserve"> in </w:t>
            </w:r>
            <w:r w:rsidR="00967575">
              <w:t xml:space="preserve">excess </w:t>
            </w:r>
            <w:r>
              <w:t>leukaemia</w:t>
            </w:r>
            <w:r w:rsidR="00967575">
              <w:t xml:space="preserve"> mortality</w:t>
            </w:r>
          </w:p>
          <w:p w14:paraId="78EF403E" w14:textId="77777777" w:rsidR="00146032" w:rsidRDefault="00F47B54" w:rsidP="008A4CA5">
            <w:pPr>
              <w:pStyle w:val="ListBullet"/>
              <w:spacing w:before="0" w:after="80"/>
              <w:ind w:left="714" w:hanging="357"/>
              <w:contextualSpacing w:val="0"/>
            </w:pPr>
            <w:r>
              <w:t>D</w:t>
            </w:r>
            <w:r w:rsidR="0047294D">
              <w:t xml:space="preserve">eath from leukaemia resulting from occupational exposure to 0.5 ppm </w:t>
            </w:r>
            <w:r>
              <w:t>suggested to be</w:t>
            </w:r>
            <w:r w:rsidR="0047294D">
              <w:t xml:space="preserve"> no different from a worker who is not exposed</w:t>
            </w:r>
          </w:p>
          <w:p w14:paraId="0D8070F4" w14:textId="77777777" w:rsidR="00531C79" w:rsidRDefault="004C4B4B" w:rsidP="008A4CA5">
            <w:pPr>
              <w:pStyle w:val="ListBullet"/>
              <w:spacing w:before="0" w:after="80"/>
              <w:ind w:left="714" w:hanging="357"/>
              <w:contextualSpacing w:val="0"/>
            </w:pPr>
            <w:r>
              <w:t>TLV-STEL</w:t>
            </w:r>
            <w:r w:rsidR="00531C79">
              <w:t xml:space="preserve"> recommended based on a dose</w:t>
            </w:r>
            <w:r w:rsidR="00D42B95">
              <w:t xml:space="preserve"> </w:t>
            </w:r>
            <w:r w:rsidR="00531C79">
              <w:t>rate</w:t>
            </w:r>
            <w:r w:rsidR="00D42B95">
              <w:t xml:space="preserve"> </w:t>
            </w:r>
            <w:r w:rsidR="00531C79">
              <w:t xml:space="preserve">dependant hypothesis </w:t>
            </w:r>
            <w:r w:rsidR="00887D82">
              <w:t>suggesting</w:t>
            </w:r>
            <w:r w:rsidR="00531C79">
              <w:t xml:space="preserve"> a threshold dose to target cells is required before bone marrow toxicity occurs</w:t>
            </w:r>
          </w:p>
          <w:p w14:paraId="1379FFCF" w14:textId="77777777" w:rsidR="00887D82" w:rsidRDefault="00F47B54" w:rsidP="008A4CA5">
            <w:pPr>
              <w:pStyle w:val="ListBullet"/>
              <w:spacing w:before="0" w:after="80"/>
              <w:ind w:left="714" w:hanging="357"/>
              <w:contextualSpacing w:val="0"/>
            </w:pPr>
            <w:r>
              <w:t>D</w:t>
            </w:r>
            <w:r w:rsidR="00887D82">
              <w:t xml:space="preserve">irect dermal contact </w:t>
            </w:r>
            <w:r w:rsidR="00CF2D3C">
              <w:t xml:space="preserve">combined with the dose received from body surface exposure to </w:t>
            </w:r>
            <w:r w:rsidR="00887D82">
              <w:t xml:space="preserve">airborne benzene may contribute </w:t>
            </w:r>
            <w:r w:rsidR="002B2C9E">
              <w:t xml:space="preserve">a substantial fraction to </w:t>
            </w:r>
            <w:r w:rsidR="00887D82">
              <w:t>total dose</w:t>
            </w:r>
          </w:p>
          <w:p w14:paraId="4A576065" w14:textId="77777777" w:rsidR="00C450BC" w:rsidRDefault="00F47B54" w:rsidP="00703CCD">
            <w:pPr>
              <w:pStyle w:val="ListBullet"/>
              <w:ind w:left="720"/>
            </w:pPr>
            <w:r>
              <w:t>P</w:t>
            </w:r>
            <w:r w:rsidR="00862236">
              <w:t>otential</w:t>
            </w:r>
            <w:r w:rsidR="00335A29">
              <w:t xml:space="preserve"> of</w:t>
            </w:r>
            <w:r w:rsidR="00703CCD">
              <w:t xml:space="preserve"> 20</w:t>
            </w:r>
            <w:r w:rsidR="005278DC">
              <w:t>–</w:t>
            </w:r>
            <w:r w:rsidR="00862236">
              <w:t>40% of total exposure due to skin absorption based on scenario of</w:t>
            </w:r>
            <w:r w:rsidR="00C450BC">
              <w:t xml:space="preserve"> direct contact combined </w:t>
            </w:r>
            <w:r w:rsidR="00862236">
              <w:t>with</w:t>
            </w:r>
            <w:r w:rsidR="00C450BC">
              <w:t xml:space="preserve"> </w:t>
            </w:r>
            <w:r w:rsidR="00862236">
              <w:t>skin</w:t>
            </w:r>
            <w:r w:rsidR="00C450BC">
              <w:t xml:space="preserve"> surface exposure to air</w:t>
            </w:r>
            <w:r w:rsidR="00335A29">
              <w:t>borne concentration</w:t>
            </w:r>
            <w:r w:rsidR="004B653F">
              <w:t>.</w:t>
            </w:r>
          </w:p>
          <w:p w14:paraId="1519E560" w14:textId="77777777" w:rsidR="004B653F" w:rsidRDefault="004B653F" w:rsidP="00703CCD">
            <w:pPr>
              <w:pStyle w:val="ListBullet"/>
              <w:numPr>
                <w:ilvl w:val="0"/>
                <w:numId w:val="0"/>
              </w:numPr>
              <w:ind w:left="360" w:hanging="360"/>
            </w:pPr>
          </w:p>
          <w:p w14:paraId="1D814FD2" w14:textId="77777777" w:rsidR="00887D82" w:rsidRDefault="00887D82" w:rsidP="00703CCD">
            <w:pPr>
              <w:pStyle w:val="ListBullet"/>
              <w:numPr>
                <w:ilvl w:val="0"/>
                <w:numId w:val="0"/>
              </w:numPr>
              <w:ind w:left="360" w:hanging="360"/>
            </w:pPr>
            <w:r>
              <w:t>Animal data:</w:t>
            </w:r>
          </w:p>
          <w:p w14:paraId="04DFEAC2" w14:textId="77777777" w:rsidR="00887D82" w:rsidRDefault="006F0AEA" w:rsidP="008A4CA5">
            <w:pPr>
              <w:pStyle w:val="ListBullet"/>
              <w:spacing w:before="0" w:after="80"/>
              <w:ind w:left="714" w:hanging="357"/>
              <w:contextualSpacing w:val="0"/>
            </w:pPr>
            <w:r>
              <w:t>Study in rodents reported h</w:t>
            </w:r>
            <w:r w:rsidR="00665545">
              <w:t>a</w:t>
            </w:r>
            <w:r>
              <w:t>ematopoie</w:t>
            </w:r>
            <w:r w:rsidR="00665545">
              <w:t>tic depression at 103 ppm (5</w:t>
            </w:r>
            <w:r w:rsidR="004B653F">
              <w:t xml:space="preserve"> </w:t>
            </w:r>
            <w:r w:rsidR="00665545">
              <w:t>d</w:t>
            </w:r>
            <w:r>
              <w:t>)</w:t>
            </w:r>
          </w:p>
          <w:p w14:paraId="1D3DC22F" w14:textId="404387F3" w:rsidR="006F0AEA" w:rsidRDefault="006F0AEA" w:rsidP="008A4CA5">
            <w:pPr>
              <w:pStyle w:val="ListBullet"/>
              <w:spacing w:before="0" w:after="80"/>
              <w:ind w:left="714" w:hanging="357"/>
              <w:contextualSpacing w:val="0"/>
            </w:pPr>
            <w:r>
              <w:t xml:space="preserve">Studies </w:t>
            </w:r>
            <w:r w:rsidR="008A4CA5">
              <w:t>i</w:t>
            </w:r>
            <w:r>
              <w:t>n mice report</w:t>
            </w:r>
            <w:r w:rsidR="00665545">
              <w:t>ed</w:t>
            </w:r>
            <w:r>
              <w:t xml:space="preserve"> reduced bone marrow cellularity </w:t>
            </w:r>
            <w:r>
              <w:rPr>
                <w:rFonts w:cs="Arial"/>
              </w:rPr>
              <w:t>≥</w:t>
            </w:r>
            <w:r w:rsidR="00703CCD">
              <w:t>100 ppm (6 h</w:t>
            </w:r>
            <w:r>
              <w:t>/d; 5</w:t>
            </w:r>
            <w:r w:rsidR="00CF2D3C">
              <w:t xml:space="preserve"> </w:t>
            </w:r>
            <w:r>
              <w:t>d/</w:t>
            </w:r>
            <w:proofErr w:type="spellStart"/>
            <w:r>
              <w:t>wk</w:t>
            </w:r>
            <w:proofErr w:type="spellEnd"/>
            <w:r>
              <w:t xml:space="preserve"> for </w:t>
            </w:r>
            <w:r w:rsidR="004B653F">
              <w:t>2 </w:t>
            </w:r>
            <w:proofErr w:type="spellStart"/>
            <w:r>
              <w:t>wk</w:t>
            </w:r>
            <w:proofErr w:type="spellEnd"/>
            <w:r>
              <w:t>)</w:t>
            </w:r>
          </w:p>
          <w:p w14:paraId="654F5745" w14:textId="77777777" w:rsidR="006F0AEA" w:rsidRDefault="00703CCD" w:rsidP="00703CCD">
            <w:pPr>
              <w:pStyle w:val="ListBullet"/>
              <w:ind w:left="720"/>
            </w:pPr>
            <w:r>
              <w:t>Mice exposed to 300 ppm for 6</w:t>
            </w:r>
            <w:r w:rsidR="00CF2D3C">
              <w:t xml:space="preserve"> </w:t>
            </w:r>
            <w:r>
              <w:t>h</w:t>
            </w:r>
            <w:r w:rsidR="006F0AEA">
              <w:t>/d, 5</w:t>
            </w:r>
            <w:r w:rsidR="00CF2D3C">
              <w:t xml:space="preserve"> </w:t>
            </w:r>
            <w:r w:rsidR="006F0AEA">
              <w:t>d/</w:t>
            </w:r>
            <w:proofErr w:type="spellStart"/>
            <w:r w:rsidR="006F0AEA">
              <w:t>wk</w:t>
            </w:r>
            <w:proofErr w:type="spellEnd"/>
            <w:r w:rsidR="006F0AEA">
              <w:t xml:space="preserve"> for life developed </w:t>
            </w:r>
            <w:proofErr w:type="spellStart"/>
            <w:r w:rsidR="006F0AEA">
              <w:t>myelogenous</w:t>
            </w:r>
            <w:proofErr w:type="spellEnd"/>
            <w:r w:rsidR="006F0AEA">
              <w:t xml:space="preserve"> </w:t>
            </w:r>
            <w:r w:rsidR="004149C6">
              <w:t>leukaemia</w:t>
            </w:r>
            <w:r w:rsidR="00332B18">
              <w:t xml:space="preserve"> (2</w:t>
            </w:r>
            <w:r w:rsidR="004B653F">
              <w:t>/</w:t>
            </w:r>
            <w:r w:rsidR="00332B18">
              <w:t>40 in the high dose group)</w:t>
            </w:r>
            <w:r w:rsidR="004B653F">
              <w:t>.</w:t>
            </w:r>
            <w:r w:rsidR="00332B18">
              <w:t xml:space="preserve"> </w:t>
            </w:r>
          </w:p>
          <w:p w14:paraId="2FD3D5DF" w14:textId="77777777" w:rsidR="004B653F" w:rsidRDefault="004B653F" w:rsidP="00703CCD">
            <w:pPr>
              <w:pStyle w:val="ListBullet"/>
              <w:numPr>
                <w:ilvl w:val="0"/>
                <w:numId w:val="0"/>
              </w:numPr>
              <w:ind w:left="360" w:hanging="360"/>
            </w:pPr>
          </w:p>
          <w:p w14:paraId="6CC0A3C0" w14:textId="77777777" w:rsidR="001152D0" w:rsidRDefault="004149C6" w:rsidP="00703CCD">
            <w:pPr>
              <w:pStyle w:val="ListBullet"/>
              <w:numPr>
                <w:ilvl w:val="0"/>
                <w:numId w:val="0"/>
              </w:numPr>
              <w:ind w:left="360" w:hanging="360"/>
            </w:pPr>
            <w:proofErr w:type="spellStart"/>
            <w:r>
              <w:t>Genotoxicity</w:t>
            </w:r>
            <w:proofErr w:type="spellEnd"/>
            <w:r>
              <w:t>:</w:t>
            </w:r>
          </w:p>
          <w:p w14:paraId="3556F17D" w14:textId="77777777" w:rsidR="004149C6" w:rsidRDefault="004B653F" w:rsidP="008A4CA5">
            <w:pPr>
              <w:pStyle w:val="ListBullet"/>
              <w:spacing w:before="0" w:after="80"/>
              <w:ind w:left="714" w:hanging="357"/>
              <w:contextualSpacing w:val="0"/>
            </w:pPr>
            <w:r>
              <w:t xml:space="preserve">Demonstrated </w:t>
            </w:r>
            <w:r w:rsidR="000049D6">
              <w:t>to cause chromosomal aberrations in animals and humans</w:t>
            </w:r>
          </w:p>
          <w:p w14:paraId="637B223F" w14:textId="77777777" w:rsidR="000049D6" w:rsidRPr="00DA352E" w:rsidRDefault="000049D6" w:rsidP="008A4CA5">
            <w:pPr>
              <w:pStyle w:val="ListBullet"/>
              <w:spacing w:before="0" w:after="80"/>
              <w:ind w:left="714" w:hanging="357"/>
              <w:contextualSpacing w:val="0"/>
            </w:pPr>
            <w:r>
              <w:rPr>
                <w:i/>
              </w:rPr>
              <w:t>I</w:t>
            </w:r>
            <w:r w:rsidRPr="000049D6">
              <w:rPr>
                <w:i/>
              </w:rPr>
              <w:t>n vivo</w:t>
            </w:r>
            <w:r>
              <w:t xml:space="preserve"> and </w:t>
            </w:r>
            <w:r w:rsidRPr="000049D6">
              <w:rPr>
                <w:i/>
              </w:rPr>
              <w:t>in vitro</w:t>
            </w:r>
            <w:r>
              <w:t xml:space="preserve"> assays report induction of </w:t>
            </w:r>
            <w:proofErr w:type="spellStart"/>
            <w:r>
              <w:t>clastogenesis</w:t>
            </w:r>
            <w:proofErr w:type="spellEnd"/>
            <w:r>
              <w:t xml:space="preserve">, SCE and micronuclei </w:t>
            </w:r>
          </w:p>
          <w:p w14:paraId="05DDC2ED" w14:textId="77777777" w:rsidR="000049D6" w:rsidRDefault="000049D6" w:rsidP="008A4CA5">
            <w:pPr>
              <w:pStyle w:val="ListBullet"/>
              <w:spacing w:before="0" w:after="80"/>
              <w:ind w:left="714" w:hanging="357"/>
              <w:contextualSpacing w:val="0"/>
            </w:pPr>
            <w:r>
              <w:t>Induces aneuploidy in dividing cells</w:t>
            </w:r>
          </w:p>
          <w:p w14:paraId="278BB120" w14:textId="77777777" w:rsidR="000049D6" w:rsidRDefault="000049D6" w:rsidP="00703CCD">
            <w:pPr>
              <w:pStyle w:val="ListBullet"/>
              <w:ind w:left="720"/>
            </w:pPr>
            <w:r>
              <w:t xml:space="preserve">Failed to induce point mutations in </w:t>
            </w:r>
            <w:proofErr w:type="spellStart"/>
            <w:r>
              <w:t>genotoxicity</w:t>
            </w:r>
            <w:proofErr w:type="spellEnd"/>
            <w:r>
              <w:t xml:space="preserve"> test systems</w:t>
            </w:r>
            <w:r w:rsidR="00665545">
              <w:t>.</w:t>
            </w:r>
          </w:p>
          <w:p w14:paraId="3516E6DA" w14:textId="77777777" w:rsidR="005278DC" w:rsidRPr="00DA352E" w:rsidRDefault="005278DC" w:rsidP="005278DC">
            <w:pPr>
              <w:pStyle w:val="ListBullet"/>
              <w:numPr>
                <w:ilvl w:val="0"/>
                <w:numId w:val="0"/>
              </w:numPr>
              <w:ind w:left="720"/>
            </w:pPr>
          </w:p>
        </w:tc>
      </w:tr>
      <w:tr w:rsidR="00C978F0" w:rsidRPr="00DA352E" w14:paraId="39ED607F" w14:textId="77777777" w:rsidTr="00DE26E8">
        <w:trPr>
          <w:gridAfter w:val="1"/>
          <w:wAfter w:w="8" w:type="pct"/>
          <w:cantSplit/>
        </w:trPr>
        <w:tc>
          <w:tcPr>
            <w:tcW w:w="4992" w:type="pct"/>
            <w:shd w:val="clear" w:color="auto" w:fill="F2F2F2" w:themeFill="background1" w:themeFillShade="F2"/>
          </w:tcPr>
          <w:p w14:paraId="6B01AA41" w14:textId="77777777"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8F5955">
                  <w:t>2018</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8F5955">
                  <w:t>NA</w:t>
                </w:r>
              </w:sdtContent>
            </w:sdt>
          </w:p>
        </w:tc>
      </w:tr>
      <w:tr w:rsidR="00C978F0" w:rsidRPr="00DA352E" w14:paraId="24F3674B" w14:textId="77777777" w:rsidTr="00DE26E8">
        <w:trPr>
          <w:gridAfter w:val="1"/>
          <w:wAfter w:w="8" w:type="pct"/>
          <w:cantSplit/>
        </w:trPr>
        <w:tc>
          <w:tcPr>
            <w:tcW w:w="4992" w:type="pct"/>
          </w:tcPr>
          <w:p w14:paraId="629BBCBB" w14:textId="77777777" w:rsidR="00C978F0" w:rsidRDefault="00820E17" w:rsidP="003365A5">
            <w:pPr>
              <w:pStyle w:val="Tabletextprimarysource"/>
            </w:pPr>
            <w:r>
              <w:t xml:space="preserve">No MAK </w:t>
            </w:r>
            <w:proofErr w:type="gramStart"/>
            <w:r>
              <w:t>assigned</w:t>
            </w:r>
            <w:proofErr w:type="gramEnd"/>
            <w:r>
              <w:t xml:space="preserve"> as there</w:t>
            </w:r>
            <w:r w:rsidR="003C2F22">
              <w:t xml:space="preserve"> is</w:t>
            </w:r>
            <w:r>
              <w:t xml:space="preserve"> sufficient evidence of a human cancer risk associated with exposure</w:t>
            </w:r>
            <w:r w:rsidR="003C2F22">
              <w:t>.</w:t>
            </w:r>
          </w:p>
          <w:p w14:paraId="0BA42E8C" w14:textId="77777777" w:rsidR="003C2F22" w:rsidRDefault="003C2F22" w:rsidP="003365A5">
            <w:pPr>
              <w:pStyle w:val="Tabletextprimarysource"/>
            </w:pPr>
            <w:r>
              <w:t>No further information</w:t>
            </w:r>
            <w:r w:rsidR="00665545">
              <w:t>.</w:t>
            </w:r>
          </w:p>
          <w:p w14:paraId="349A77D1" w14:textId="77777777" w:rsidR="005278DC" w:rsidRPr="00DA352E" w:rsidRDefault="005278DC" w:rsidP="003365A5">
            <w:pPr>
              <w:pStyle w:val="Tabletextprimarysource"/>
            </w:pPr>
          </w:p>
        </w:tc>
      </w:tr>
      <w:tr w:rsidR="00C978F0" w:rsidRPr="00DA352E" w14:paraId="0FF7D601" w14:textId="77777777" w:rsidTr="00DE26E8">
        <w:trPr>
          <w:gridAfter w:val="1"/>
          <w:wAfter w:w="8" w:type="pct"/>
          <w:cantSplit/>
        </w:trPr>
        <w:tc>
          <w:tcPr>
            <w:tcW w:w="4992" w:type="pct"/>
            <w:shd w:val="clear" w:color="auto" w:fill="F2F2F2" w:themeFill="background1" w:themeFillShade="F2"/>
          </w:tcPr>
          <w:p w14:paraId="28CE5DF9"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3C2F22">
                  <w:t>1991</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6B5A8E">
                  <w:t>TWA</w:t>
                </w:r>
                <w:r w:rsidR="00EA18BD">
                  <w:t>: 1 ppm (3.25 mg/m</w:t>
                </w:r>
                <w:r w:rsidR="00EA18BD">
                  <w:rPr>
                    <w:vertAlign w:val="superscript"/>
                  </w:rPr>
                  <w:t>3</w:t>
                </w:r>
                <w:r w:rsidR="00EA18BD">
                  <w:t>)</w:t>
                </w:r>
              </w:sdtContent>
            </w:sdt>
          </w:p>
        </w:tc>
      </w:tr>
      <w:tr w:rsidR="00C978F0" w:rsidRPr="00DA352E" w14:paraId="0EDE32A0" w14:textId="77777777" w:rsidTr="00DE26E8">
        <w:trPr>
          <w:gridAfter w:val="1"/>
          <w:wAfter w:w="8" w:type="pct"/>
          <w:cantSplit/>
        </w:trPr>
        <w:tc>
          <w:tcPr>
            <w:tcW w:w="4992" w:type="pct"/>
          </w:tcPr>
          <w:p w14:paraId="0249F44D" w14:textId="1FA04D84" w:rsidR="008A4CA5" w:rsidRDefault="004B653F" w:rsidP="003365A5">
            <w:pPr>
              <w:pStyle w:val="Tabletextprimarysource"/>
            </w:pPr>
            <w:r>
              <w:t>TWA</w:t>
            </w:r>
            <w:r w:rsidR="00EA18BD">
              <w:t xml:space="preserve"> </w:t>
            </w:r>
            <w:r w:rsidR="00F47B54">
              <w:t xml:space="preserve">recommended </w:t>
            </w:r>
            <w:proofErr w:type="gramStart"/>
            <w:r w:rsidR="00F47B54">
              <w:t xml:space="preserve">to </w:t>
            </w:r>
            <w:r w:rsidR="00EA18BD">
              <w:t>minimise</w:t>
            </w:r>
            <w:proofErr w:type="gramEnd"/>
            <w:r w:rsidR="00EA18BD">
              <w:t xml:space="preserve"> the risk of </w:t>
            </w:r>
            <w:proofErr w:type="spellStart"/>
            <w:r w:rsidR="00EA18BD">
              <w:t>haemat</w:t>
            </w:r>
            <w:r w:rsidR="007F4224">
              <w:t>ot</w:t>
            </w:r>
            <w:r w:rsidR="00EA18BD">
              <w:t>oxic</w:t>
            </w:r>
            <w:proofErr w:type="spellEnd"/>
            <w:r w:rsidR="00EA18BD">
              <w:t xml:space="preserve"> effects, chromosomal damage and leukaemia.</w:t>
            </w:r>
          </w:p>
          <w:p w14:paraId="6A2DDCCD" w14:textId="77777777" w:rsidR="00EA18BD" w:rsidRDefault="00EA18BD" w:rsidP="003365A5">
            <w:pPr>
              <w:pStyle w:val="Tabletextprimarysource"/>
            </w:pPr>
            <w:r>
              <w:t>Summary of additional data:</w:t>
            </w:r>
          </w:p>
          <w:p w14:paraId="7C7C9277" w14:textId="77777777" w:rsidR="00F47B54" w:rsidRDefault="00F47B54" w:rsidP="008A4CA5">
            <w:pPr>
              <w:pStyle w:val="ListBullet"/>
              <w:spacing w:before="0" w:after="80"/>
              <w:ind w:left="714" w:hanging="357"/>
              <w:contextualSpacing w:val="0"/>
            </w:pPr>
            <w:r>
              <w:t xml:space="preserve">Not possible to establish a LOAEL or NOAEL for </w:t>
            </w:r>
            <w:proofErr w:type="spellStart"/>
            <w:r>
              <w:t>haematotoxic</w:t>
            </w:r>
            <w:proofErr w:type="spellEnd"/>
            <w:r>
              <w:t xml:space="preserve"> effects in humans</w:t>
            </w:r>
          </w:p>
          <w:p w14:paraId="520BE8F3" w14:textId="65FF02DF" w:rsidR="00F47B54" w:rsidRDefault="00F47B54" w:rsidP="008A4CA5">
            <w:pPr>
              <w:pStyle w:val="ListBullet"/>
              <w:spacing w:before="0" w:after="80"/>
              <w:ind w:left="714" w:hanging="357"/>
              <w:contextualSpacing w:val="0"/>
            </w:pPr>
            <w:r>
              <w:t>LOAEL: 1–10 ppm (3.2–32 mg/m</w:t>
            </w:r>
            <w:r w:rsidRPr="00EA18BD">
              <w:rPr>
                <w:vertAlign w:val="superscript"/>
              </w:rPr>
              <w:t>3</w:t>
            </w:r>
            <w:r>
              <w:t xml:space="preserve">) </w:t>
            </w:r>
            <w:r w:rsidRPr="005C3DE1">
              <w:t>for chromosomal</w:t>
            </w:r>
            <w:r>
              <w:t xml:space="preserve"> aberrations</w:t>
            </w:r>
            <w:r w:rsidRPr="005C3DE1">
              <w:t xml:space="preserve"> in peripheral lymphocytes</w:t>
            </w:r>
            <w:r>
              <w:t xml:space="preserve"> of exposed workers</w:t>
            </w:r>
          </w:p>
          <w:p w14:paraId="2DF486B9" w14:textId="77777777" w:rsidR="00F47B54" w:rsidRDefault="00F47B54" w:rsidP="008A4CA5">
            <w:pPr>
              <w:pStyle w:val="ListBullet"/>
              <w:spacing w:before="0" w:after="80"/>
              <w:ind w:left="714" w:hanging="357"/>
              <w:contextualSpacing w:val="0"/>
            </w:pPr>
            <w:r>
              <w:t>Skin absorption may contribute to total intake and skin notation is recommended</w:t>
            </w:r>
          </w:p>
          <w:p w14:paraId="18E135E2" w14:textId="77777777" w:rsidR="00EA18BD" w:rsidRDefault="00EA18BD" w:rsidP="008A4CA5">
            <w:pPr>
              <w:pStyle w:val="ListBullet"/>
              <w:spacing w:before="0" w:after="80"/>
              <w:ind w:left="714" w:hanging="357"/>
              <w:contextualSpacing w:val="0"/>
            </w:pPr>
            <w:r>
              <w:t>LOAEL</w:t>
            </w:r>
            <w:r w:rsidR="007F4224">
              <w:t>:</w:t>
            </w:r>
            <w:r w:rsidR="008A4CA5">
              <w:t xml:space="preserve"> </w:t>
            </w:r>
            <w:r>
              <w:t>10 ppm (32 mg/m</w:t>
            </w:r>
            <w:r w:rsidRPr="00EA18BD">
              <w:rPr>
                <w:vertAlign w:val="superscript"/>
              </w:rPr>
              <w:t>3</w:t>
            </w:r>
            <w:r>
              <w:t>)</w:t>
            </w:r>
            <w:r w:rsidR="007F4224">
              <w:t xml:space="preserve"> for</w:t>
            </w:r>
            <w:r>
              <w:t xml:space="preserve"> non-genotoxic effects of haematopoietic system in mice (178 and 70 d)</w:t>
            </w:r>
          </w:p>
          <w:p w14:paraId="12DCEE4E" w14:textId="77777777" w:rsidR="00F47B54" w:rsidRDefault="005C3DE1" w:rsidP="008A4CA5">
            <w:pPr>
              <w:pStyle w:val="ListBullet"/>
              <w:numPr>
                <w:ilvl w:val="0"/>
                <w:numId w:val="0"/>
              </w:numPr>
              <w:spacing w:after="80"/>
              <w:ind w:left="731"/>
              <w:contextualSpacing w:val="0"/>
            </w:pPr>
            <w:r>
              <w:t>L</w:t>
            </w:r>
            <w:r w:rsidR="00EA18BD">
              <w:t>OAEL</w:t>
            </w:r>
            <w:r w:rsidR="007F4224">
              <w:t>:</w:t>
            </w:r>
            <w:r>
              <w:t xml:space="preserve"> 1</w:t>
            </w:r>
            <w:r w:rsidR="005278DC">
              <w:t>–</w:t>
            </w:r>
            <w:r>
              <w:t>10 ppm (3.2</w:t>
            </w:r>
            <w:r w:rsidR="005278DC">
              <w:t>–</w:t>
            </w:r>
            <w:r>
              <w:t>32 mg/m</w:t>
            </w:r>
            <w:r w:rsidRPr="001C3EFF">
              <w:rPr>
                <w:vertAlign w:val="superscript"/>
              </w:rPr>
              <w:t>3</w:t>
            </w:r>
            <w:r>
              <w:t>) for chromosomal damage (induction of SCE and micronuclei) in rats and mice</w:t>
            </w:r>
            <w:r w:rsidR="00F47B54">
              <w:t>.</w:t>
            </w:r>
          </w:p>
          <w:p w14:paraId="40AED996" w14:textId="77777777" w:rsidR="005278DC" w:rsidRPr="00DA352E" w:rsidRDefault="005278DC" w:rsidP="008A4CA5">
            <w:pPr>
              <w:pStyle w:val="ListBullet"/>
              <w:numPr>
                <w:ilvl w:val="0"/>
                <w:numId w:val="0"/>
              </w:numPr>
              <w:ind w:left="731"/>
            </w:pPr>
          </w:p>
        </w:tc>
      </w:tr>
      <w:tr w:rsidR="00DA352E" w:rsidRPr="00DA352E" w14:paraId="704D0C0D" w14:textId="77777777" w:rsidTr="00DE26E8">
        <w:trPr>
          <w:gridAfter w:val="1"/>
          <w:wAfter w:w="8" w:type="pct"/>
          <w:cantSplit/>
        </w:trPr>
        <w:tc>
          <w:tcPr>
            <w:tcW w:w="4992" w:type="pct"/>
            <w:shd w:val="clear" w:color="auto" w:fill="F2F2F2" w:themeFill="background1" w:themeFillShade="F2"/>
          </w:tcPr>
          <w:p w14:paraId="7D48E383" w14:textId="77777777"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5C3DE1">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proofErr w:type="spellStart"/>
                <w:r w:rsidR="005C3DE1">
                  <w:t>NA</w:t>
                </w:r>
                <w:proofErr w:type="spellEnd"/>
              </w:sdtContent>
            </w:sdt>
          </w:p>
        </w:tc>
      </w:tr>
      <w:tr w:rsidR="00DA352E" w:rsidRPr="00DA352E" w14:paraId="296071CC" w14:textId="77777777" w:rsidTr="00DE26E8">
        <w:trPr>
          <w:gridAfter w:val="1"/>
          <w:wAfter w:w="8" w:type="pct"/>
          <w:cantSplit/>
        </w:trPr>
        <w:tc>
          <w:tcPr>
            <w:tcW w:w="4992" w:type="pct"/>
          </w:tcPr>
          <w:p w14:paraId="56D44B7A" w14:textId="1B198266" w:rsidR="00DA352E" w:rsidRPr="00DA352E" w:rsidRDefault="005C3DE1" w:rsidP="003365A5">
            <w:pPr>
              <w:pStyle w:val="Tabletextprimarysource"/>
            </w:pPr>
            <w:r>
              <w:t>No report</w:t>
            </w:r>
            <w:r w:rsidR="009A7465">
              <w:t>.</w:t>
            </w:r>
          </w:p>
        </w:tc>
      </w:tr>
      <w:tr w:rsidR="00DA352E" w:rsidRPr="00DA352E" w14:paraId="65E2EECA" w14:textId="77777777" w:rsidTr="00DE26E8">
        <w:trPr>
          <w:gridAfter w:val="1"/>
          <w:wAfter w:w="8" w:type="pct"/>
          <w:cantSplit/>
        </w:trPr>
        <w:tc>
          <w:tcPr>
            <w:tcW w:w="4992" w:type="pct"/>
            <w:shd w:val="clear" w:color="auto" w:fill="F2F2F2" w:themeFill="background1" w:themeFillShade="F2"/>
          </w:tcPr>
          <w:p w14:paraId="73FA56DA" w14:textId="77777777"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B70BAF">
                  <w:t>2014</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A02DEE">
                  <w:t>TWA: 0.2 ppm (0.7 mg/m</w:t>
                </w:r>
                <w:r w:rsidR="00A02DEE">
                  <w:rPr>
                    <w:vertAlign w:val="superscript"/>
                  </w:rPr>
                  <w:t>3</w:t>
                </w:r>
                <w:r w:rsidR="00A02DEE">
                  <w:t>)</w:t>
                </w:r>
              </w:sdtContent>
            </w:sdt>
          </w:p>
        </w:tc>
      </w:tr>
      <w:tr w:rsidR="00DA352E" w:rsidRPr="00DA352E" w14:paraId="4CED9EBE" w14:textId="77777777" w:rsidTr="00DE26E8">
        <w:trPr>
          <w:gridAfter w:val="1"/>
          <w:wAfter w:w="8" w:type="pct"/>
          <w:cantSplit/>
        </w:trPr>
        <w:tc>
          <w:tcPr>
            <w:tcW w:w="4992" w:type="pct"/>
          </w:tcPr>
          <w:p w14:paraId="0038C3F6" w14:textId="02C13385" w:rsidR="008A4CA5" w:rsidRDefault="00A02DEE" w:rsidP="003365A5">
            <w:pPr>
              <w:pStyle w:val="Tabletextprimarysource"/>
            </w:pPr>
            <w:r>
              <w:t xml:space="preserve">TWA derived from epidemiological studies involving </w:t>
            </w:r>
            <w:r w:rsidR="00EB73F4">
              <w:t xml:space="preserve">worker exposure and associated </w:t>
            </w:r>
            <w:proofErr w:type="spellStart"/>
            <w:r w:rsidR="00EB73F4">
              <w:t>haematotoxicity</w:t>
            </w:r>
            <w:proofErr w:type="spellEnd"/>
            <w:r w:rsidR="00EB73F4">
              <w:t xml:space="preserve">, </w:t>
            </w:r>
            <w:proofErr w:type="spellStart"/>
            <w:r w:rsidR="00EB73F4">
              <w:t>genotoxicity</w:t>
            </w:r>
            <w:proofErr w:type="spellEnd"/>
            <w:r w:rsidR="00EB73F4">
              <w:t xml:space="preserve"> and carcinogenicity.</w:t>
            </w:r>
          </w:p>
          <w:p w14:paraId="1CC27316" w14:textId="77777777" w:rsidR="00F47B54" w:rsidRDefault="00EB73F4" w:rsidP="003365A5">
            <w:pPr>
              <w:pStyle w:val="Tabletextprimarysource"/>
            </w:pPr>
            <w:r>
              <w:t>Summary of additional data:</w:t>
            </w:r>
          </w:p>
          <w:p w14:paraId="6AC5C7BE" w14:textId="77777777" w:rsidR="000B352E" w:rsidRDefault="000B352E" w:rsidP="008A4CA5">
            <w:pPr>
              <w:pStyle w:val="ListBullet"/>
              <w:spacing w:before="0" w:after="80"/>
              <w:ind w:left="714" w:hanging="357"/>
              <w:contextualSpacing w:val="0"/>
            </w:pPr>
            <w:r>
              <w:t>Epidemiologic studies and case stud</w:t>
            </w:r>
            <w:r w:rsidR="00665545">
              <w:t xml:space="preserve">ies provide clear evidence of </w:t>
            </w:r>
            <w:r>
              <w:t>causal association between exposure to benzene and leukaemia</w:t>
            </w:r>
          </w:p>
          <w:p w14:paraId="408CA774" w14:textId="77777777" w:rsidR="00FE28AE" w:rsidRDefault="00665545" w:rsidP="008A4CA5">
            <w:pPr>
              <w:pStyle w:val="ListBullet"/>
              <w:spacing w:before="0" w:after="80"/>
              <w:ind w:left="714" w:hanging="357"/>
              <w:contextualSpacing w:val="0"/>
            </w:pPr>
            <w:r>
              <w:t>TWA</w:t>
            </w:r>
            <w:r w:rsidR="00EB73F4">
              <w:t xml:space="preserve"> </w:t>
            </w:r>
            <w:r w:rsidR="00FE28AE">
              <w:t xml:space="preserve">derived by applying </w:t>
            </w:r>
            <w:r w:rsidR="007F4224">
              <w:t>UF</w:t>
            </w:r>
            <w:r w:rsidR="00FE28AE">
              <w:t xml:space="preserve"> of 3 to</w:t>
            </w:r>
            <w:r w:rsidR="00EB73F4">
              <w:t xml:space="preserve"> </w:t>
            </w:r>
            <w:r w:rsidR="00FE28AE">
              <w:t xml:space="preserve">a </w:t>
            </w:r>
            <w:r w:rsidR="00D11D81">
              <w:t>‘starting point’ of 0.6 ppm (2 mg/m</w:t>
            </w:r>
            <w:r w:rsidR="00D11D81">
              <w:rPr>
                <w:vertAlign w:val="superscript"/>
              </w:rPr>
              <w:t>3</w:t>
            </w:r>
            <w:r w:rsidR="00D11D81">
              <w:t xml:space="preserve">) </w:t>
            </w:r>
          </w:p>
          <w:p w14:paraId="6F00E87A" w14:textId="77777777" w:rsidR="00F47B54" w:rsidRDefault="00FE28AE" w:rsidP="00CF2AC4">
            <w:pPr>
              <w:pStyle w:val="ListBullet"/>
              <w:numPr>
                <w:ilvl w:val="0"/>
                <w:numId w:val="3"/>
              </w:numPr>
              <w:spacing w:before="0" w:after="80"/>
              <w:ind w:left="1151" w:hanging="357"/>
              <w:contextualSpacing w:val="0"/>
            </w:pPr>
            <w:r>
              <w:t>‘</w:t>
            </w:r>
            <w:r w:rsidR="001C3EFF">
              <w:t xml:space="preserve">starting </w:t>
            </w:r>
            <w:r>
              <w:t xml:space="preserve">point’ </w:t>
            </w:r>
            <w:r w:rsidR="00C11EAA">
              <w:t xml:space="preserve">LOAEL </w:t>
            </w:r>
            <w:r w:rsidR="00335A29">
              <w:t>range (0.5</w:t>
            </w:r>
            <w:r w:rsidR="005278DC">
              <w:t>–</w:t>
            </w:r>
            <w:r w:rsidR="00335A29">
              <w:t>1 ppm) and NOAEL (0.6</w:t>
            </w:r>
            <w:r w:rsidR="005278DC">
              <w:t>–</w:t>
            </w:r>
            <w:r w:rsidR="00335A29">
              <w:t xml:space="preserve">0.9 ppm) </w:t>
            </w:r>
            <w:r w:rsidR="00C11EAA">
              <w:t xml:space="preserve">range </w:t>
            </w:r>
            <w:r>
              <w:t xml:space="preserve">from studies on workers and </w:t>
            </w:r>
            <w:proofErr w:type="spellStart"/>
            <w:r>
              <w:t>haematotoxicity</w:t>
            </w:r>
            <w:proofErr w:type="spellEnd"/>
            <w:r>
              <w:t xml:space="preserve">, </w:t>
            </w:r>
            <w:proofErr w:type="spellStart"/>
            <w:r>
              <w:t>genotoxicity</w:t>
            </w:r>
            <w:proofErr w:type="spellEnd"/>
            <w:r>
              <w:t xml:space="preserve"> and carcinogenicity</w:t>
            </w:r>
          </w:p>
          <w:p w14:paraId="10E37A46" w14:textId="77777777" w:rsidR="007F616A" w:rsidRDefault="007F616A" w:rsidP="008A4CA5">
            <w:pPr>
              <w:pStyle w:val="ListBullet"/>
              <w:spacing w:before="0" w:after="80"/>
              <w:ind w:left="714" w:hanging="357"/>
              <w:contextualSpacing w:val="0"/>
            </w:pPr>
            <w:r>
              <w:t>LD</w:t>
            </w:r>
            <w:r>
              <w:rPr>
                <w:vertAlign w:val="subscript"/>
              </w:rPr>
              <w:t>50</w:t>
            </w:r>
            <w:r>
              <w:t xml:space="preserve">: </w:t>
            </w:r>
            <w:r w:rsidRPr="007F616A">
              <w:t>&gt;</w:t>
            </w:r>
            <w:r w:rsidR="003B2D51">
              <w:t xml:space="preserve"> </w:t>
            </w:r>
            <w:r w:rsidRPr="007F616A">
              <w:t xml:space="preserve">8,260 mg/kg </w:t>
            </w:r>
            <w:r>
              <w:t>(rabbit</w:t>
            </w:r>
            <w:r w:rsidR="00665545">
              <w:t>, dermal</w:t>
            </w:r>
            <w:r>
              <w:t>)</w:t>
            </w:r>
          </w:p>
          <w:p w14:paraId="01D67CEA" w14:textId="06E0D9B7" w:rsidR="007C07DC" w:rsidRDefault="002C1D25" w:rsidP="008A4CA5">
            <w:pPr>
              <w:pStyle w:val="ListBullet"/>
              <w:spacing w:before="0" w:after="80"/>
              <w:ind w:left="714" w:hanging="357"/>
              <w:contextualSpacing w:val="0"/>
            </w:pPr>
            <w:r>
              <w:t xml:space="preserve">A skin notation </w:t>
            </w:r>
            <w:r w:rsidR="00665545">
              <w:t>recommended</w:t>
            </w:r>
            <w:r>
              <w:t xml:space="preserve"> based on</w:t>
            </w:r>
            <w:r w:rsidR="007C07DC">
              <w:t xml:space="preserve"> </w:t>
            </w:r>
            <w:r>
              <w:t>a</w:t>
            </w:r>
            <w:r w:rsidR="007F616A">
              <w:t xml:space="preserve"> </w:t>
            </w:r>
            <w:r>
              <w:t>calculated</w:t>
            </w:r>
            <w:r w:rsidR="003B2D51">
              <w:t xml:space="preserve"> critical absorption value (</w:t>
            </w:r>
            <w:r w:rsidR="007F616A">
              <w:t>CAV</w:t>
            </w:r>
            <w:r w:rsidR="003B2D51">
              <w:t>)</w:t>
            </w:r>
            <w:r w:rsidR="007F616A">
              <w:t xml:space="preserve"> </w:t>
            </w:r>
            <w:r>
              <w:t xml:space="preserve">exceeding </w:t>
            </w:r>
            <w:r w:rsidR="00424326">
              <w:t>the,</w:t>
            </w:r>
            <w:r w:rsidR="008A076D">
              <w:t xml:space="preserve"> </w:t>
            </w:r>
            <w:r w:rsidR="00424326">
              <w:t>’</w:t>
            </w:r>
            <w:r>
              <w:t>criteria threshold value</w:t>
            </w:r>
            <w:r w:rsidR="008A076D">
              <w:t>’</w:t>
            </w:r>
            <w:r>
              <w:t xml:space="preserve"> of</w:t>
            </w:r>
            <w:r w:rsidR="007F616A">
              <w:t xml:space="preserve"> 0.35 </w:t>
            </w:r>
            <w:r w:rsidR="007F616A">
              <w:rPr>
                <w:rFonts w:cs="Arial"/>
              </w:rPr>
              <w:t>µg/cm</w:t>
            </w:r>
            <w:r w:rsidR="007F616A">
              <w:rPr>
                <w:rFonts w:cs="Arial"/>
                <w:vertAlign w:val="superscript"/>
              </w:rPr>
              <w:t>2</w:t>
            </w:r>
            <w:r>
              <w:rPr>
                <w:rFonts w:cs="Arial"/>
              </w:rPr>
              <w:t>/</w:t>
            </w:r>
            <w:r w:rsidR="00665545">
              <w:rPr>
                <w:rFonts w:cs="Arial"/>
              </w:rPr>
              <w:t>h</w:t>
            </w:r>
          </w:p>
          <w:p w14:paraId="1C82DA4D" w14:textId="77777777" w:rsidR="007F616A" w:rsidRDefault="007F616A" w:rsidP="00CF2AC4">
            <w:pPr>
              <w:pStyle w:val="ListBullet"/>
              <w:numPr>
                <w:ilvl w:val="0"/>
                <w:numId w:val="4"/>
              </w:numPr>
              <w:spacing w:before="0" w:after="80"/>
              <w:ind w:left="1151" w:hanging="357"/>
              <w:contextualSpacing w:val="0"/>
            </w:pPr>
            <w:r>
              <w:t>C</w:t>
            </w:r>
            <w:r w:rsidR="002C1D25">
              <w:t>AV for benzene calculated at</w:t>
            </w:r>
            <w:r>
              <w:t xml:space="preserve"> 200</w:t>
            </w:r>
            <w:r w:rsidR="005278DC">
              <w:t>–</w:t>
            </w:r>
            <w:r>
              <w:t xml:space="preserve">400 </w:t>
            </w:r>
            <w:r>
              <w:rPr>
                <w:rFonts w:cs="Arial"/>
              </w:rPr>
              <w:t>µg/cm</w:t>
            </w:r>
            <w:r>
              <w:rPr>
                <w:rFonts w:cs="Arial"/>
                <w:vertAlign w:val="superscript"/>
              </w:rPr>
              <w:t>2</w:t>
            </w:r>
            <w:r w:rsidR="002C1D25">
              <w:rPr>
                <w:rFonts w:cs="Arial"/>
              </w:rPr>
              <w:t>/</w:t>
            </w:r>
            <w:r w:rsidR="00665545">
              <w:rPr>
                <w:rFonts w:cs="Arial"/>
              </w:rPr>
              <w:t>h</w:t>
            </w:r>
          </w:p>
          <w:p w14:paraId="62FD85C7" w14:textId="77777777" w:rsidR="007C07DC" w:rsidRDefault="007C07DC" w:rsidP="008A4CA5">
            <w:pPr>
              <w:pStyle w:val="ListBullet"/>
              <w:spacing w:before="0" w:after="80"/>
              <w:ind w:left="714" w:hanging="357"/>
              <w:contextualSpacing w:val="0"/>
            </w:pPr>
            <w:r>
              <w:t>Predominantly negative results in bacterial mutagenicity assays</w:t>
            </w:r>
          </w:p>
          <w:p w14:paraId="330210EA" w14:textId="77777777" w:rsidR="007C07DC" w:rsidRDefault="00665545" w:rsidP="008A4CA5">
            <w:pPr>
              <w:pStyle w:val="ListBullet"/>
              <w:spacing w:before="0" w:after="80"/>
              <w:ind w:left="714" w:hanging="357"/>
              <w:contextualSpacing w:val="0"/>
            </w:pPr>
            <w:r>
              <w:t>Positive</w:t>
            </w:r>
            <w:r w:rsidR="007C07DC">
              <w:t xml:space="preserve"> </w:t>
            </w:r>
            <w:r w:rsidR="007C07DC">
              <w:rPr>
                <w:i/>
              </w:rPr>
              <w:t xml:space="preserve">in vivo </w:t>
            </w:r>
            <w:r w:rsidR="007C07DC">
              <w:t>chromosomal aberration assays and micronucleus tests</w:t>
            </w:r>
          </w:p>
          <w:p w14:paraId="714FB0E1" w14:textId="77777777" w:rsidR="007C07DC" w:rsidRDefault="007C07DC" w:rsidP="008A4CA5">
            <w:pPr>
              <w:pStyle w:val="ListBullet"/>
              <w:spacing w:before="0" w:after="80"/>
              <w:ind w:left="714" w:hanging="357"/>
              <w:contextualSpacing w:val="0"/>
            </w:pPr>
            <w:r>
              <w:t xml:space="preserve">Carcinogenicity likely </w:t>
            </w:r>
            <w:r w:rsidR="000B352E">
              <w:t>through chromosomal aberrations</w:t>
            </w:r>
          </w:p>
          <w:p w14:paraId="194199B5" w14:textId="77777777" w:rsidR="00EB73F4" w:rsidRDefault="007F4224" w:rsidP="008A4CA5">
            <w:pPr>
              <w:pStyle w:val="ListBullet"/>
              <w:ind w:left="720"/>
            </w:pPr>
            <w:r>
              <w:t>W</w:t>
            </w:r>
            <w:r w:rsidR="00E3605B" w:rsidRPr="00E3605B">
              <w:t xml:space="preserve">eight of evidence </w:t>
            </w:r>
            <w:r w:rsidR="007F616A">
              <w:t>suggests</w:t>
            </w:r>
            <w:r w:rsidR="00E3605B" w:rsidRPr="00E3605B">
              <w:t xml:space="preserve"> indirect genotoxic mode of action</w:t>
            </w:r>
            <w:r w:rsidR="00E3605B">
              <w:t>.</w:t>
            </w:r>
          </w:p>
          <w:p w14:paraId="04B272E0" w14:textId="77777777" w:rsidR="00F47B54" w:rsidRPr="00DA352E" w:rsidRDefault="00F47B54" w:rsidP="008A4CA5">
            <w:pPr>
              <w:pStyle w:val="ListBullet"/>
              <w:numPr>
                <w:ilvl w:val="0"/>
                <w:numId w:val="0"/>
              </w:numPr>
              <w:ind w:left="720"/>
            </w:pPr>
          </w:p>
        </w:tc>
      </w:tr>
    </w:tbl>
    <w:p w14:paraId="52EFAEAC"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95"/>
        <w:gridCol w:w="423"/>
        <w:gridCol w:w="661"/>
        <w:gridCol w:w="6447"/>
      </w:tblGrid>
      <w:tr w:rsidR="004966BF" w:rsidRPr="00263255" w14:paraId="7DEEDA53" w14:textId="77777777" w:rsidTr="00C76E74">
        <w:trPr>
          <w:cantSplit/>
          <w:trHeight w:val="393"/>
          <w:tblHeader/>
        </w:trPr>
        <w:tc>
          <w:tcPr>
            <w:tcW w:w="1495" w:type="dxa"/>
            <w:shd w:val="clear" w:color="auto" w:fill="BFBFBF" w:themeFill="background1" w:themeFillShade="BF"/>
            <w:vAlign w:val="center"/>
          </w:tcPr>
          <w:p w14:paraId="500CD98B" w14:textId="77777777" w:rsidR="004966BF" w:rsidRPr="00263255" w:rsidRDefault="004966BF" w:rsidP="00263255">
            <w:pPr>
              <w:pStyle w:val="Tableheader"/>
            </w:pPr>
            <w:r w:rsidRPr="00263255">
              <w:t>Source</w:t>
            </w:r>
          </w:p>
        </w:tc>
        <w:tc>
          <w:tcPr>
            <w:tcW w:w="423" w:type="dxa"/>
            <w:shd w:val="clear" w:color="auto" w:fill="BFBFBF" w:themeFill="background1" w:themeFillShade="BF"/>
            <w:vAlign w:val="center"/>
          </w:tcPr>
          <w:p w14:paraId="18029A44" w14:textId="77777777" w:rsidR="004966BF" w:rsidRPr="00263255" w:rsidRDefault="004966BF" w:rsidP="00263255">
            <w:pPr>
              <w:pStyle w:val="Tableheader"/>
            </w:pPr>
          </w:p>
        </w:tc>
        <w:tc>
          <w:tcPr>
            <w:tcW w:w="661" w:type="dxa"/>
            <w:shd w:val="clear" w:color="auto" w:fill="BFBFBF" w:themeFill="background1" w:themeFillShade="BF"/>
            <w:vAlign w:val="center"/>
          </w:tcPr>
          <w:p w14:paraId="36E4E457" w14:textId="77777777" w:rsidR="004966BF" w:rsidRPr="00263255" w:rsidRDefault="004966BF" w:rsidP="00263255">
            <w:pPr>
              <w:pStyle w:val="Tableheader"/>
            </w:pPr>
            <w:r>
              <w:t>Year</w:t>
            </w:r>
          </w:p>
        </w:tc>
        <w:tc>
          <w:tcPr>
            <w:tcW w:w="6447" w:type="dxa"/>
            <w:shd w:val="clear" w:color="auto" w:fill="BFBFBF" w:themeFill="background1" w:themeFillShade="BF"/>
            <w:vAlign w:val="center"/>
          </w:tcPr>
          <w:p w14:paraId="0618BBF2" w14:textId="77777777" w:rsidR="004966BF" w:rsidRPr="00263255" w:rsidRDefault="004966BF" w:rsidP="00263255">
            <w:pPr>
              <w:pStyle w:val="Tableheader"/>
            </w:pPr>
            <w:r>
              <w:t>Additional information</w:t>
            </w:r>
          </w:p>
        </w:tc>
      </w:tr>
      <w:tr w:rsidR="004966BF" w:rsidRPr="004C23F4" w14:paraId="5BACEBEC" w14:textId="77777777" w:rsidTr="00C76E74">
        <w:trPr>
          <w:cantSplit/>
        </w:trPr>
        <w:tc>
          <w:tcPr>
            <w:tcW w:w="1495" w:type="dxa"/>
          </w:tcPr>
          <w:p w14:paraId="4F3A90D2" w14:textId="77777777" w:rsidR="004966BF" w:rsidRPr="004C23F4" w:rsidRDefault="004966BF" w:rsidP="00224EE2">
            <w:pPr>
              <w:pStyle w:val="Tablefont"/>
            </w:pPr>
            <w:r>
              <w:t>NICNAS</w:t>
            </w:r>
          </w:p>
        </w:tc>
        <w:tc>
          <w:tcPr>
            <w:tcW w:w="423" w:type="dxa"/>
          </w:tcPr>
          <w:p w14:paraId="14D2AD12" w14:textId="77777777" w:rsidR="004966BF" w:rsidRPr="00CE617F" w:rsidRDefault="003A7452"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7F616A">
                  <w:rPr>
                    <w:rStyle w:val="checkbox"/>
                  </w:rPr>
                  <w:t></w:t>
                </w:r>
              </w:sdtContent>
            </w:sdt>
          </w:p>
        </w:tc>
        <w:tc>
          <w:tcPr>
            <w:tcW w:w="661" w:type="dxa"/>
          </w:tcPr>
          <w:p w14:paraId="71464AC7" w14:textId="77777777" w:rsidR="004966BF" w:rsidRPr="004C23F4" w:rsidRDefault="007F616A" w:rsidP="00717D45">
            <w:pPr>
              <w:pStyle w:val="Tablefont"/>
              <w:rPr>
                <w:rStyle w:val="checkbox"/>
                <w:rFonts w:ascii="Arial" w:hAnsi="Arial" w:cs="Arial"/>
              </w:rPr>
            </w:pPr>
            <w:r>
              <w:rPr>
                <w:rStyle w:val="checkbox"/>
                <w:rFonts w:ascii="Arial" w:hAnsi="Arial" w:cs="Arial"/>
              </w:rPr>
              <w:t>2001</w:t>
            </w:r>
          </w:p>
        </w:tc>
        <w:tc>
          <w:tcPr>
            <w:tcW w:w="6447" w:type="dxa"/>
          </w:tcPr>
          <w:p w14:paraId="30AF99D2" w14:textId="77777777" w:rsidR="004966BF" w:rsidRPr="004C23F4" w:rsidRDefault="00DB48BA" w:rsidP="007F616A">
            <w:pPr>
              <w:pStyle w:val="ListBullet"/>
              <w:rPr>
                <w:rStyle w:val="checkbox"/>
                <w:rFonts w:ascii="Arial" w:hAnsi="Arial" w:cs="Arial"/>
              </w:rPr>
            </w:pPr>
            <w:r>
              <w:rPr>
                <w:rStyle w:val="checkbox"/>
                <w:rFonts w:ascii="Arial" w:hAnsi="Arial" w:cs="Arial"/>
              </w:rPr>
              <w:t>Dermal absorption rate reported at</w:t>
            </w:r>
            <w:r w:rsidR="007F616A" w:rsidRPr="007F616A">
              <w:rPr>
                <w:rStyle w:val="checkbox"/>
                <w:rFonts w:ascii="Arial" w:hAnsi="Arial" w:cs="Arial"/>
              </w:rPr>
              <w:t xml:space="preserve"> 0.4 mg/cm</w:t>
            </w:r>
            <w:r w:rsidR="007F616A" w:rsidRPr="002C1D25">
              <w:rPr>
                <w:rStyle w:val="checkbox"/>
                <w:rFonts w:ascii="Arial" w:hAnsi="Arial" w:cs="Arial"/>
                <w:vertAlign w:val="superscript"/>
              </w:rPr>
              <w:t>2</w:t>
            </w:r>
            <w:r w:rsidR="007F616A" w:rsidRPr="007F616A">
              <w:rPr>
                <w:rStyle w:val="checkbox"/>
                <w:rFonts w:ascii="Arial" w:hAnsi="Arial" w:cs="Arial"/>
              </w:rPr>
              <w:t>/h</w:t>
            </w:r>
            <w:r w:rsidR="007F4224">
              <w:rPr>
                <w:rStyle w:val="checkbox"/>
                <w:rFonts w:ascii="Arial" w:hAnsi="Arial" w:cs="Arial"/>
              </w:rPr>
              <w:t>.</w:t>
            </w:r>
            <w:r w:rsidR="007F616A" w:rsidRPr="007F616A">
              <w:rPr>
                <w:rStyle w:val="checkbox"/>
                <w:rFonts w:ascii="Arial" w:hAnsi="Arial" w:cs="Arial"/>
              </w:rPr>
              <w:t xml:space="preserve"> </w:t>
            </w:r>
          </w:p>
        </w:tc>
      </w:tr>
      <w:tr w:rsidR="004966BF" w:rsidRPr="004C23F4" w14:paraId="40D5745B" w14:textId="77777777" w:rsidTr="00C76E74">
        <w:trPr>
          <w:cantSplit/>
        </w:trPr>
        <w:tc>
          <w:tcPr>
            <w:tcW w:w="1495" w:type="dxa"/>
          </w:tcPr>
          <w:p w14:paraId="13E3A663" w14:textId="77777777" w:rsidR="004966BF" w:rsidRPr="004C23F4" w:rsidRDefault="004966BF" w:rsidP="00224EE2">
            <w:pPr>
              <w:pStyle w:val="Tablefont"/>
            </w:pPr>
            <w:r>
              <w:t>US EPA</w:t>
            </w:r>
          </w:p>
        </w:tc>
        <w:tc>
          <w:tcPr>
            <w:tcW w:w="423" w:type="dxa"/>
          </w:tcPr>
          <w:p w14:paraId="1F72DBCA" w14:textId="77777777" w:rsidR="004966BF" w:rsidRPr="00CE617F" w:rsidRDefault="003A7452" w:rsidP="00AB43C4">
            <w:pPr>
              <w:spacing w:before="40"/>
              <w:jc w:val="center"/>
              <w:rPr>
                <w:rStyle w:val="checkbox"/>
              </w:rPr>
            </w:pPr>
            <w:sdt>
              <w:sdtPr>
                <w:rPr>
                  <w:rStyle w:val="checkbox"/>
                </w:rPr>
                <w:id w:val="1015498594"/>
                <w:placeholder>
                  <w:docPart w:val="CFFDE270CB50461B826B0194984892C5"/>
                </w:placeholder>
                <w:dropDownList>
                  <w:listItem w:displayText="" w:value=""/>
                  <w:listItem w:displayText="" w:value=""/>
                  <w:listItem w:displayText="" w:value=""/>
                </w:dropDownList>
              </w:sdtPr>
              <w:sdtEndPr>
                <w:rPr>
                  <w:rStyle w:val="checkbox"/>
                </w:rPr>
              </w:sdtEndPr>
              <w:sdtContent>
                <w:r w:rsidR="005F348C">
                  <w:rPr>
                    <w:rStyle w:val="checkbox"/>
                  </w:rPr>
                  <w:t></w:t>
                </w:r>
              </w:sdtContent>
            </w:sdt>
          </w:p>
        </w:tc>
        <w:tc>
          <w:tcPr>
            <w:tcW w:w="661" w:type="dxa"/>
          </w:tcPr>
          <w:p w14:paraId="1466943A" w14:textId="77777777" w:rsidR="004966BF" w:rsidRPr="004C23F4" w:rsidRDefault="005F348C" w:rsidP="00717D45">
            <w:pPr>
              <w:pStyle w:val="Tablefont"/>
              <w:rPr>
                <w:rStyle w:val="checkbox"/>
                <w:rFonts w:ascii="Arial" w:hAnsi="Arial" w:cs="Arial"/>
              </w:rPr>
            </w:pPr>
            <w:r>
              <w:rPr>
                <w:rStyle w:val="checkbox"/>
                <w:rFonts w:ascii="Arial" w:hAnsi="Arial" w:cs="Arial"/>
              </w:rPr>
              <w:t>2003</w:t>
            </w:r>
          </w:p>
        </w:tc>
        <w:tc>
          <w:tcPr>
            <w:tcW w:w="6447" w:type="dxa"/>
          </w:tcPr>
          <w:p w14:paraId="3E511F41" w14:textId="77777777" w:rsidR="004966BF" w:rsidRDefault="00704CAD" w:rsidP="005F348C">
            <w:pPr>
              <w:pStyle w:val="ListBullet"/>
              <w:rPr>
                <w:rStyle w:val="checkbox"/>
                <w:rFonts w:ascii="Arial" w:hAnsi="Arial" w:cs="Arial"/>
              </w:rPr>
            </w:pPr>
            <w:r>
              <w:rPr>
                <w:rStyle w:val="checkbox"/>
                <w:rFonts w:ascii="Arial" w:hAnsi="Arial" w:cs="Arial"/>
              </w:rPr>
              <w:t>Unit risk calculation analysis (bas</w:t>
            </w:r>
            <w:r w:rsidR="001F7AE1">
              <w:rPr>
                <w:rStyle w:val="checkbox"/>
                <w:rFonts w:ascii="Arial" w:hAnsi="Arial" w:cs="Arial"/>
              </w:rPr>
              <w:t xml:space="preserve">ed on </w:t>
            </w:r>
            <w:proofErr w:type="spellStart"/>
            <w:r w:rsidR="001F7AE1">
              <w:rPr>
                <w:rStyle w:val="checkbox"/>
                <w:rFonts w:ascii="Arial" w:hAnsi="Arial" w:cs="Arial"/>
              </w:rPr>
              <w:t>Pliofilm</w:t>
            </w:r>
            <w:proofErr w:type="spellEnd"/>
            <w:r w:rsidR="001F7AE1">
              <w:rPr>
                <w:rStyle w:val="checkbox"/>
                <w:rFonts w:ascii="Arial" w:hAnsi="Arial" w:cs="Arial"/>
              </w:rPr>
              <w:t xml:space="preserve"> data) considered</w:t>
            </w:r>
            <w:r>
              <w:rPr>
                <w:rStyle w:val="checkbox"/>
                <w:rFonts w:ascii="Arial" w:hAnsi="Arial" w:cs="Arial"/>
              </w:rPr>
              <w:t xml:space="preserve"> different combinations of factors concerning the extrapolation model used and choice of exposure estimates</w:t>
            </w:r>
          </w:p>
          <w:p w14:paraId="4928E491" w14:textId="77777777" w:rsidR="00704CAD" w:rsidRPr="00561984" w:rsidRDefault="00704CAD" w:rsidP="001C3EFF">
            <w:pPr>
              <w:pStyle w:val="ListBullet"/>
              <w:rPr>
                <w:rStyle w:val="checkbox"/>
                <w:rFonts w:ascii="Arial" w:hAnsi="Arial" w:cs="Arial"/>
              </w:rPr>
            </w:pPr>
            <w:r>
              <w:rPr>
                <w:rStyle w:val="checkbox"/>
                <w:rFonts w:ascii="Arial" w:hAnsi="Arial" w:cs="Arial"/>
              </w:rPr>
              <w:t xml:space="preserve">Unit risk estimates for </w:t>
            </w:r>
            <w:proofErr w:type="gramStart"/>
            <w:r>
              <w:rPr>
                <w:rStyle w:val="checkbox"/>
                <w:rFonts w:ascii="Arial" w:hAnsi="Arial" w:cs="Arial"/>
              </w:rPr>
              <w:t>1 ppm</w:t>
            </w:r>
            <w:proofErr w:type="gramEnd"/>
            <w:r>
              <w:rPr>
                <w:rStyle w:val="checkbox"/>
                <w:rFonts w:ascii="Arial" w:hAnsi="Arial" w:cs="Arial"/>
              </w:rPr>
              <w:t xml:space="preserve"> (3.2 mg/m</w:t>
            </w:r>
            <w:r>
              <w:rPr>
                <w:rStyle w:val="checkbox"/>
                <w:rFonts w:ascii="Arial" w:hAnsi="Arial" w:cs="Arial"/>
                <w:vertAlign w:val="superscript"/>
              </w:rPr>
              <w:t>3</w:t>
            </w:r>
            <w:r>
              <w:rPr>
                <w:rStyle w:val="checkbox"/>
                <w:rFonts w:ascii="Arial" w:hAnsi="Arial" w:cs="Arial"/>
              </w:rPr>
              <w:t xml:space="preserve">) range from </w:t>
            </w:r>
            <w:r w:rsidRPr="001C3EFF">
              <w:rPr>
                <w:rStyle w:val="checkbox"/>
                <w:rFonts w:ascii="Arial" w:hAnsi="Arial" w:cs="Arial"/>
              </w:rPr>
              <w:t>8.6 x 10</w:t>
            </w:r>
            <w:r w:rsidRPr="001C3EFF">
              <w:rPr>
                <w:rStyle w:val="checkbox"/>
                <w:rFonts w:ascii="Arial" w:hAnsi="Arial" w:cs="Arial"/>
                <w:vertAlign w:val="superscript"/>
              </w:rPr>
              <w:t xml:space="preserve">-5 </w:t>
            </w:r>
            <w:r w:rsidR="005278DC" w:rsidRPr="001C3EFF">
              <w:rPr>
                <w:rStyle w:val="checkbox"/>
                <w:rFonts w:ascii="Arial" w:hAnsi="Arial" w:cs="Arial"/>
              </w:rPr>
              <w:t>–</w:t>
            </w:r>
            <w:r w:rsidRPr="00561984">
              <w:rPr>
                <w:rStyle w:val="checkbox"/>
                <w:rFonts w:ascii="Arial" w:hAnsi="Arial" w:cs="Arial"/>
              </w:rPr>
              <w:t>2.5 x 10</w:t>
            </w:r>
            <w:r w:rsidRPr="00561984">
              <w:rPr>
                <w:rStyle w:val="checkbox"/>
                <w:rFonts w:ascii="Arial" w:hAnsi="Arial" w:cs="Arial"/>
                <w:vertAlign w:val="superscript"/>
              </w:rPr>
              <w:t>-2</w:t>
            </w:r>
            <w:r w:rsidR="007F4224" w:rsidRPr="00561984">
              <w:rPr>
                <w:rStyle w:val="checkbox"/>
                <w:rFonts w:ascii="Arial" w:hAnsi="Arial" w:cs="Arial"/>
              </w:rPr>
              <w:t>.</w:t>
            </w:r>
          </w:p>
        </w:tc>
      </w:tr>
      <w:tr w:rsidR="004966BF" w:rsidRPr="004C23F4" w14:paraId="227163F3" w14:textId="77777777" w:rsidTr="00C76E74">
        <w:trPr>
          <w:cantSplit/>
        </w:trPr>
        <w:tc>
          <w:tcPr>
            <w:tcW w:w="1495" w:type="dxa"/>
          </w:tcPr>
          <w:p w14:paraId="57DD8D31" w14:textId="77777777" w:rsidR="004966BF" w:rsidRPr="004C23F4" w:rsidRDefault="004966BF" w:rsidP="00224EE2">
            <w:pPr>
              <w:pStyle w:val="Tablefont"/>
            </w:pPr>
            <w:r>
              <w:lastRenderedPageBreak/>
              <w:t>ECHA</w:t>
            </w:r>
          </w:p>
        </w:tc>
        <w:tc>
          <w:tcPr>
            <w:tcW w:w="423" w:type="dxa"/>
          </w:tcPr>
          <w:p w14:paraId="697E6B3D" w14:textId="77777777" w:rsidR="004966BF" w:rsidRPr="00CE617F" w:rsidRDefault="003A7452"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3D42C6">
                  <w:rPr>
                    <w:rStyle w:val="checkbox"/>
                  </w:rPr>
                  <w:t></w:t>
                </w:r>
              </w:sdtContent>
            </w:sdt>
          </w:p>
        </w:tc>
        <w:tc>
          <w:tcPr>
            <w:tcW w:w="661" w:type="dxa"/>
          </w:tcPr>
          <w:p w14:paraId="31E4E637" w14:textId="77777777" w:rsidR="004966BF" w:rsidRPr="004C23F4" w:rsidRDefault="003D42C6" w:rsidP="00717D45">
            <w:pPr>
              <w:pStyle w:val="Tablefont"/>
              <w:rPr>
                <w:rStyle w:val="checkbox"/>
                <w:rFonts w:ascii="Arial" w:hAnsi="Arial" w:cs="Arial"/>
              </w:rPr>
            </w:pPr>
            <w:r>
              <w:rPr>
                <w:rStyle w:val="checkbox"/>
                <w:rFonts w:ascii="Arial" w:hAnsi="Arial" w:cs="Arial"/>
              </w:rPr>
              <w:t>2018</w:t>
            </w:r>
          </w:p>
        </w:tc>
        <w:tc>
          <w:tcPr>
            <w:tcW w:w="6447" w:type="dxa"/>
          </w:tcPr>
          <w:p w14:paraId="3560AAC4" w14:textId="77777777" w:rsidR="004966BF" w:rsidRPr="00C76E74" w:rsidRDefault="009B4227" w:rsidP="00C76E74">
            <w:pPr>
              <w:pStyle w:val="ListBullet"/>
              <w:rPr>
                <w:rStyle w:val="checkbox"/>
                <w:rFonts w:ascii="Arial" w:hAnsi="Arial" w:cs="Arial"/>
              </w:rPr>
            </w:pPr>
            <w:r>
              <w:rPr>
                <w:rStyle w:val="checkbox"/>
                <w:rFonts w:ascii="Arial" w:hAnsi="Arial" w:cs="Arial"/>
              </w:rPr>
              <w:t>Concluded a</w:t>
            </w:r>
            <w:r w:rsidR="003D42C6" w:rsidRPr="003D42C6">
              <w:rPr>
                <w:rStyle w:val="checkbox"/>
                <w:rFonts w:ascii="Arial" w:hAnsi="Arial" w:cs="Arial"/>
              </w:rPr>
              <w:t xml:space="preserve"> threshold</w:t>
            </w:r>
            <w:r w:rsidR="00C76E74">
              <w:rPr>
                <w:rStyle w:val="checkbox"/>
                <w:rFonts w:ascii="Arial" w:hAnsi="Arial" w:cs="Arial"/>
              </w:rPr>
              <w:t xml:space="preserve"> </w:t>
            </w:r>
            <w:r w:rsidRPr="00C76E74">
              <w:rPr>
                <w:rStyle w:val="checkbox"/>
                <w:rFonts w:ascii="Arial" w:hAnsi="Arial" w:cs="Arial"/>
              </w:rPr>
              <w:t>mode of action</w:t>
            </w:r>
            <w:r w:rsidR="003D42C6" w:rsidRPr="00C76E74">
              <w:rPr>
                <w:rStyle w:val="checkbox"/>
                <w:rFonts w:ascii="Arial" w:hAnsi="Arial" w:cs="Arial"/>
              </w:rPr>
              <w:t xml:space="preserve"> for chromosomal damage (</w:t>
            </w:r>
            <w:proofErr w:type="spellStart"/>
            <w:r w:rsidR="003D42C6" w:rsidRPr="00C76E74">
              <w:rPr>
                <w:rStyle w:val="checkbox"/>
                <w:rFonts w:ascii="Arial" w:hAnsi="Arial" w:cs="Arial"/>
              </w:rPr>
              <w:t>aneugenicity</w:t>
            </w:r>
            <w:proofErr w:type="spellEnd"/>
            <w:r w:rsidR="003D42C6" w:rsidRPr="00C76E74">
              <w:rPr>
                <w:rStyle w:val="checkbox"/>
                <w:rFonts w:ascii="Arial" w:hAnsi="Arial" w:cs="Arial"/>
              </w:rPr>
              <w:t xml:space="preserve"> and </w:t>
            </w:r>
            <w:proofErr w:type="spellStart"/>
            <w:r w:rsidR="003D42C6" w:rsidRPr="00C76E74">
              <w:rPr>
                <w:rStyle w:val="checkbox"/>
                <w:rFonts w:ascii="Arial" w:hAnsi="Arial" w:cs="Arial"/>
              </w:rPr>
              <w:t>clastogenicity</w:t>
            </w:r>
            <w:proofErr w:type="spellEnd"/>
            <w:r w:rsidR="003D42C6" w:rsidRPr="00C76E74">
              <w:rPr>
                <w:rStyle w:val="checkbox"/>
                <w:rFonts w:ascii="Arial" w:hAnsi="Arial" w:cs="Arial"/>
              </w:rPr>
              <w:t>) in workers</w:t>
            </w:r>
          </w:p>
          <w:p w14:paraId="5883F26D" w14:textId="77777777" w:rsidR="002C1D25" w:rsidRDefault="00D56670" w:rsidP="00D56670">
            <w:pPr>
              <w:pStyle w:val="ListBullet"/>
              <w:rPr>
                <w:rStyle w:val="checkbox"/>
                <w:rFonts w:ascii="Arial" w:hAnsi="Arial" w:cs="Arial"/>
              </w:rPr>
            </w:pPr>
            <w:r>
              <w:rPr>
                <w:rStyle w:val="checkbox"/>
                <w:rFonts w:ascii="Arial" w:hAnsi="Arial" w:cs="Arial"/>
              </w:rPr>
              <w:t>D</w:t>
            </w:r>
            <w:r w:rsidR="001F7AE1">
              <w:rPr>
                <w:rStyle w:val="checkbox"/>
                <w:rFonts w:ascii="Arial" w:hAnsi="Arial" w:cs="Arial"/>
              </w:rPr>
              <w:t>erived</w:t>
            </w:r>
            <w:r w:rsidRPr="00D56670">
              <w:rPr>
                <w:rStyle w:val="checkbox"/>
                <w:rFonts w:ascii="Arial" w:hAnsi="Arial" w:cs="Arial"/>
              </w:rPr>
              <w:t xml:space="preserve"> </w:t>
            </w:r>
            <w:r w:rsidR="00C76E74">
              <w:rPr>
                <w:rStyle w:val="checkbox"/>
                <w:rFonts w:ascii="Arial" w:hAnsi="Arial" w:cs="Arial"/>
              </w:rPr>
              <w:t xml:space="preserve">TWA </w:t>
            </w:r>
            <w:r w:rsidR="001F7AE1">
              <w:rPr>
                <w:rStyle w:val="checkbox"/>
                <w:rFonts w:ascii="Arial" w:hAnsi="Arial" w:cs="Arial"/>
              </w:rPr>
              <w:t>OEL</w:t>
            </w:r>
            <w:r w:rsidRPr="00D56670">
              <w:rPr>
                <w:rStyle w:val="checkbox"/>
                <w:rFonts w:ascii="Arial" w:hAnsi="Arial" w:cs="Arial"/>
              </w:rPr>
              <w:t xml:space="preserve"> of 0.05 ppm for chromosomal</w:t>
            </w:r>
            <w:r>
              <w:rPr>
                <w:rStyle w:val="checkbox"/>
                <w:rFonts w:ascii="Arial" w:hAnsi="Arial" w:cs="Arial"/>
              </w:rPr>
              <w:t xml:space="preserve"> </w:t>
            </w:r>
            <w:r w:rsidRPr="00D56670">
              <w:rPr>
                <w:rStyle w:val="checkbox"/>
                <w:rFonts w:ascii="Arial" w:hAnsi="Arial" w:cs="Arial"/>
              </w:rPr>
              <w:t>damage in bone marrow</w:t>
            </w:r>
            <w:r>
              <w:rPr>
                <w:rStyle w:val="checkbox"/>
                <w:rFonts w:ascii="Arial" w:hAnsi="Arial" w:cs="Arial"/>
              </w:rPr>
              <w:t xml:space="preserve"> </w:t>
            </w:r>
          </w:p>
          <w:p w14:paraId="58F8158A" w14:textId="77777777" w:rsidR="003D42C6" w:rsidRDefault="001F7AE1" w:rsidP="00D56670">
            <w:pPr>
              <w:pStyle w:val="ListBullet"/>
              <w:rPr>
                <w:rStyle w:val="checkbox"/>
                <w:rFonts w:ascii="Arial" w:hAnsi="Arial" w:cs="Arial"/>
              </w:rPr>
            </w:pPr>
            <w:r>
              <w:rPr>
                <w:rStyle w:val="checkbox"/>
                <w:rFonts w:ascii="Arial" w:hAnsi="Arial" w:cs="Arial"/>
              </w:rPr>
              <w:t>OEL</w:t>
            </w:r>
            <w:r w:rsidR="002C1D25">
              <w:rPr>
                <w:rStyle w:val="checkbox"/>
                <w:rFonts w:ascii="Arial" w:hAnsi="Arial" w:cs="Arial"/>
              </w:rPr>
              <w:t xml:space="preserve"> b</w:t>
            </w:r>
            <w:r w:rsidR="00D56670">
              <w:rPr>
                <w:rStyle w:val="checkbox"/>
                <w:rFonts w:ascii="Arial" w:hAnsi="Arial" w:cs="Arial"/>
              </w:rPr>
              <w:t xml:space="preserve">ased on a </w:t>
            </w:r>
            <w:r w:rsidR="003D42C6" w:rsidRPr="00D56670">
              <w:rPr>
                <w:rStyle w:val="checkbox"/>
                <w:rFonts w:ascii="Arial" w:hAnsi="Arial" w:cs="Arial"/>
              </w:rPr>
              <w:t xml:space="preserve">LOAEC of 1 ppm </w:t>
            </w:r>
            <w:r w:rsidR="005C32C7">
              <w:rPr>
                <w:rStyle w:val="checkbox"/>
                <w:rFonts w:ascii="Arial" w:hAnsi="Arial" w:cs="Arial"/>
              </w:rPr>
              <w:t>(</w:t>
            </w:r>
            <w:r w:rsidR="003D42C6" w:rsidRPr="00D56670">
              <w:rPr>
                <w:rStyle w:val="checkbox"/>
                <w:rFonts w:ascii="Arial" w:hAnsi="Arial" w:cs="Arial"/>
              </w:rPr>
              <w:t>for chromosomal damage in pe</w:t>
            </w:r>
            <w:r w:rsidR="005C32C7">
              <w:rPr>
                <w:rStyle w:val="checkbox"/>
                <w:rFonts w:ascii="Arial" w:hAnsi="Arial" w:cs="Arial"/>
              </w:rPr>
              <w:t>ripheral lymphocytes of workers) and the application of uncertainty factors of 2 (</w:t>
            </w:r>
            <w:proofErr w:type="spellStart"/>
            <w:r w:rsidR="005C32C7">
              <w:rPr>
                <w:rStyle w:val="checkbox"/>
                <w:rFonts w:ascii="Arial" w:hAnsi="Arial" w:cs="Arial"/>
              </w:rPr>
              <w:t>intraspecies</w:t>
            </w:r>
            <w:proofErr w:type="spellEnd"/>
            <w:r w:rsidR="005C32C7">
              <w:rPr>
                <w:rStyle w:val="checkbox"/>
                <w:rFonts w:ascii="Arial" w:hAnsi="Arial" w:cs="Arial"/>
              </w:rPr>
              <w:t>) and 10 (ECHA guidance for LOAC to NOAEC</w:t>
            </w:r>
            <w:r w:rsidR="002C1D25">
              <w:rPr>
                <w:rStyle w:val="checkbox"/>
                <w:rFonts w:ascii="Arial" w:hAnsi="Arial" w:cs="Arial"/>
              </w:rPr>
              <w:t xml:space="preserve"> conversion</w:t>
            </w:r>
            <w:r w:rsidR="005C32C7">
              <w:rPr>
                <w:rStyle w:val="checkbox"/>
                <w:rFonts w:ascii="Arial" w:hAnsi="Arial" w:cs="Arial"/>
              </w:rPr>
              <w:t>)</w:t>
            </w:r>
          </w:p>
          <w:p w14:paraId="405F3616" w14:textId="77777777" w:rsidR="00C76E74" w:rsidRPr="00010F13" w:rsidRDefault="001F7AE1" w:rsidP="00D56670">
            <w:pPr>
              <w:pStyle w:val="ListBullet"/>
              <w:rPr>
                <w:rFonts w:cs="Arial"/>
              </w:rPr>
            </w:pPr>
            <w:r>
              <w:t>P</w:t>
            </w:r>
            <w:r w:rsidR="00C76E74">
              <w:t xml:space="preserve">roposed OEL is considered to be associated with no significant residual cancer risk and </w:t>
            </w:r>
            <w:r w:rsidR="00010F13">
              <w:t>prevent</w:t>
            </w:r>
            <w:r>
              <w:t>ion of</w:t>
            </w:r>
            <w:r w:rsidR="00010F13">
              <w:t xml:space="preserve"> other adverse effects</w:t>
            </w:r>
          </w:p>
          <w:p w14:paraId="1FAAB380" w14:textId="77777777" w:rsidR="00010F13" w:rsidRPr="00010F13" w:rsidRDefault="00010F13" w:rsidP="00D56670">
            <w:pPr>
              <w:pStyle w:val="ListBullet"/>
              <w:rPr>
                <w:rFonts w:cs="Arial"/>
              </w:rPr>
            </w:pPr>
            <w:r>
              <w:t>No STEL</w:t>
            </w:r>
          </w:p>
          <w:p w14:paraId="72B4F03E" w14:textId="77777777" w:rsidR="00010F13" w:rsidRPr="00D56670" w:rsidRDefault="00010F13" w:rsidP="00D56670">
            <w:pPr>
              <w:pStyle w:val="ListBullet"/>
              <w:rPr>
                <w:rStyle w:val="checkbox"/>
                <w:rFonts w:ascii="Arial" w:hAnsi="Arial" w:cs="Arial"/>
              </w:rPr>
            </w:pPr>
            <w:r>
              <w:t>Skin notation warranted</w:t>
            </w:r>
            <w:r w:rsidR="00C11EAA">
              <w:t>.</w:t>
            </w:r>
          </w:p>
        </w:tc>
      </w:tr>
    </w:tbl>
    <w:bookmarkEnd w:id="0"/>
    <w:p w14:paraId="73142AA1"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2FECA652" w14:textId="77777777" w:rsidTr="001F7AE1">
        <w:trPr>
          <w:trHeight w:val="454"/>
          <w:tblHeader/>
        </w:trPr>
        <w:tc>
          <w:tcPr>
            <w:tcW w:w="6603" w:type="dxa"/>
            <w:vAlign w:val="center"/>
          </w:tcPr>
          <w:p w14:paraId="67B45C05"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0D3B1DA3" w14:textId="77777777" w:rsidR="002E0D61" w:rsidRDefault="00C76E74" w:rsidP="00C3091E">
                <w:pPr>
                  <w:pStyle w:val="Tablefont"/>
                  <w:keepNext/>
                  <w:keepLines/>
                  <w:spacing w:before="40" w:after="40"/>
                </w:pPr>
                <w:r>
                  <w:t>No</w:t>
                </w:r>
              </w:p>
            </w:tc>
          </w:sdtContent>
        </w:sdt>
      </w:tr>
      <w:tr w:rsidR="009A7465" w14:paraId="3ED7BAEF" w14:textId="77777777" w:rsidTr="00EE6397">
        <w:trPr>
          <w:trHeight w:val="454"/>
        </w:trPr>
        <w:sdt>
          <w:sdtPr>
            <w:rPr>
              <w:b/>
            </w:rPr>
            <w:id w:val="1830936485"/>
            <w:placeholder>
              <w:docPart w:val="A5DF8B57C62A4A318DD9F85FF9823B8B"/>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5D9BD8C4" w14:textId="4256BF93" w:rsidR="009A7465" w:rsidRDefault="009A7465" w:rsidP="008A36CF">
                <w:pPr>
                  <w:pStyle w:val="Tablefont"/>
                  <w:keepNext/>
                  <w:keepLines/>
                  <w:spacing w:before="40" w:after="40"/>
                </w:pPr>
                <w:r>
                  <w:rPr>
                    <w:b/>
                  </w:rPr>
                  <w:t>The chemical is not a non-threshold based genotoxic carcinogen.</w:t>
                </w:r>
              </w:p>
            </w:tc>
          </w:sdtContent>
        </w:sdt>
      </w:tr>
    </w:tbl>
    <w:bookmarkEnd w:id="1"/>
    <w:p w14:paraId="752B3398"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50793241" w14:textId="77777777" w:rsidTr="00812887">
        <w:trPr>
          <w:cantSplit/>
          <w:tblHeader/>
        </w:trPr>
        <w:tc>
          <w:tcPr>
            <w:tcW w:w="3227" w:type="dxa"/>
            <w:shd w:val="clear" w:color="auto" w:fill="BFBFBF" w:themeFill="background1" w:themeFillShade="BF"/>
            <w:vAlign w:val="center"/>
          </w:tcPr>
          <w:p w14:paraId="15674715" w14:textId="77777777"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14:paraId="361EA3A8" w14:textId="77777777" w:rsidR="00687890" w:rsidRPr="004C23F4" w:rsidRDefault="00687890" w:rsidP="00F4402E">
            <w:pPr>
              <w:pStyle w:val="Tableheader"/>
              <w:tabs>
                <w:tab w:val="right" w:pos="5272"/>
              </w:tabs>
            </w:pPr>
            <w:r w:rsidRPr="004C23F4">
              <w:t>Notations</w:t>
            </w:r>
            <w:r w:rsidR="003A2B94">
              <w:tab/>
            </w:r>
          </w:p>
        </w:tc>
      </w:tr>
      <w:tr w:rsidR="00687890" w:rsidRPr="004C23F4" w14:paraId="147A1988" w14:textId="77777777" w:rsidTr="00812887">
        <w:trPr>
          <w:cantSplit/>
        </w:trPr>
        <w:tc>
          <w:tcPr>
            <w:tcW w:w="3227" w:type="dxa"/>
          </w:tcPr>
          <w:p w14:paraId="5489D9BA" w14:textId="77777777" w:rsidR="004079B4" w:rsidRPr="004C23F4" w:rsidRDefault="00084513" w:rsidP="00F4402E">
            <w:pPr>
              <w:pStyle w:val="Tablefont"/>
            </w:pPr>
            <w:r w:rsidRPr="004C23F4">
              <w:t>SWA</w:t>
            </w:r>
          </w:p>
        </w:tc>
        <w:tc>
          <w:tcPr>
            <w:tcW w:w="6015" w:type="dxa"/>
          </w:tcPr>
          <w:p w14:paraId="4772A6E9" w14:textId="77777777" w:rsidR="00687890" w:rsidRPr="00DD2F9B" w:rsidRDefault="0087237A" w:rsidP="00DD2F9B">
            <w:pPr>
              <w:pStyle w:val="Tablefont"/>
            </w:pPr>
            <w:proofErr w:type="spellStart"/>
            <w:r w:rsidRPr="0087237A">
              <w:t>Carc</w:t>
            </w:r>
            <w:proofErr w:type="spellEnd"/>
            <w:r w:rsidRPr="0087237A">
              <w:t>. 1A</w:t>
            </w:r>
          </w:p>
        </w:tc>
      </w:tr>
      <w:tr w:rsidR="007925F0" w:rsidRPr="004C23F4" w14:paraId="5D39EB15" w14:textId="77777777" w:rsidTr="00812887">
        <w:trPr>
          <w:cantSplit/>
        </w:trPr>
        <w:tc>
          <w:tcPr>
            <w:tcW w:w="3227" w:type="dxa"/>
          </w:tcPr>
          <w:p w14:paraId="2B322490" w14:textId="77777777" w:rsidR="004079B4" w:rsidRPr="004C23F4" w:rsidRDefault="007925F0" w:rsidP="00F4402E">
            <w:pPr>
              <w:pStyle w:val="Tablefont"/>
            </w:pPr>
            <w:r>
              <w:t>HCIS</w:t>
            </w:r>
          </w:p>
        </w:tc>
        <w:tc>
          <w:tcPr>
            <w:tcW w:w="6015" w:type="dxa"/>
          </w:tcPr>
          <w:p w14:paraId="3DB17DF5" w14:textId="77777777" w:rsidR="007925F0" w:rsidRPr="00DD2F9B" w:rsidRDefault="0087237A" w:rsidP="00DD2F9B">
            <w:pPr>
              <w:pStyle w:val="Tablefont"/>
            </w:pPr>
            <w:r w:rsidRPr="0087237A">
              <w:t>Carcinogenicity – category 1A</w:t>
            </w:r>
          </w:p>
        </w:tc>
      </w:tr>
      <w:tr w:rsidR="00AF483F" w:rsidRPr="004C23F4" w14:paraId="76CE24DF" w14:textId="77777777" w:rsidTr="00812887">
        <w:trPr>
          <w:cantSplit/>
        </w:trPr>
        <w:tc>
          <w:tcPr>
            <w:tcW w:w="3227" w:type="dxa"/>
          </w:tcPr>
          <w:p w14:paraId="11FC5E9F" w14:textId="77777777" w:rsidR="00AF483F" w:rsidRPr="004C23F4" w:rsidRDefault="00AF483F" w:rsidP="00F4402E">
            <w:pPr>
              <w:pStyle w:val="Tablefont"/>
            </w:pPr>
            <w:r>
              <w:t>NICNAS</w:t>
            </w:r>
          </w:p>
        </w:tc>
        <w:tc>
          <w:tcPr>
            <w:tcW w:w="6015" w:type="dxa"/>
          </w:tcPr>
          <w:p w14:paraId="19C6B302" w14:textId="77777777" w:rsidR="00AF483F" w:rsidRPr="00DD2F9B" w:rsidRDefault="008A4CA5" w:rsidP="00DD2F9B">
            <w:pPr>
              <w:pStyle w:val="Tablefont"/>
            </w:pPr>
            <w:r w:rsidRPr="0087237A">
              <w:t>Carcinogenicity – category 1A</w:t>
            </w:r>
          </w:p>
        </w:tc>
      </w:tr>
      <w:tr w:rsidR="00687890" w:rsidRPr="004C23F4" w14:paraId="17C1CFA8" w14:textId="77777777" w:rsidTr="00812887">
        <w:trPr>
          <w:cantSplit/>
        </w:trPr>
        <w:tc>
          <w:tcPr>
            <w:tcW w:w="3227" w:type="dxa"/>
          </w:tcPr>
          <w:p w14:paraId="5D697459" w14:textId="77777777" w:rsidR="004079B4" w:rsidRPr="004C23F4" w:rsidRDefault="00687890" w:rsidP="00F4402E">
            <w:pPr>
              <w:pStyle w:val="Tablefont"/>
            </w:pPr>
            <w:r w:rsidRPr="004C23F4">
              <w:t>EU Annex</w:t>
            </w:r>
          </w:p>
        </w:tc>
        <w:tc>
          <w:tcPr>
            <w:tcW w:w="6015" w:type="dxa"/>
          </w:tcPr>
          <w:p w14:paraId="31A1658E" w14:textId="77777777" w:rsidR="00687890" w:rsidRPr="00DD2F9B" w:rsidRDefault="00FF303B" w:rsidP="00DD2F9B">
            <w:pPr>
              <w:pStyle w:val="Tablefont"/>
            </w:pPr>
            <w:r>
              <w:t>Carcinogenicity – category 1A</w:t>
            </w:r>
          </w:p>
        </w:tc>
      </w:tr>
      <w:tr w:rsidR="00E41A26" w:rsidRPr="004C23F4" w14:paraId="4B2AE83A" w14:textId="77777777" w:rsidTr="00812887">
        <w:trPr>
          <w:cantSplit/>
        </w:trPr>
        <w:tc>
          <w:tcPr>
            <w:tcW w:w="3227" w:type="dxa"/>
          </w:tcPr>
          <w:p w14:paraId="0148160F" w14:textId="77777777" w:rsidR="00E41A26" w:rsidRDefault="00E41A26" w:rsidP="00F4402E">
            <w:pPr>
              <w:pStyle w:val="Tablefont"/>
            </w:pPr>
            <w:r>
              <w:t>ECHA</w:t>
            </w:r>
          </w:p>
        </w:tc>
        <w:tc>
          <w:tcPr>
            <w:tcW w:w="6015" w:type="dxa"/>
          </w:tcPr>
          <w:p w14:paraId="4582EF80" w14:textId="77777777" w:rsidR="00E41A26" w:rsidRPr="00DD2F9B" w:rsidRDefault="00FF303B" w:rsidP="00DD2F9B">
            <w:pPr>
              <w:pStyle w:val="Tablefont"/>
            </w:pPr>
            <w:r>
              <w:t>Carcinogenicity – category 1A</w:t>
            </w:r>
          </w:p>
        </w:tc>
      </w:tr>
      <w:tr w:rsidR="002E0D61" w:rsidRPr="004C23F4" w14:paraId="456FA872" w14:textId="77777777" w:rsidTr="00812887">
        <w:trPr>
          <w:cantSplit/>
        </w:trPr>
        <w:tc>
          <w:tcPr>
            <w:tcW w:w="3227" w:type="dxa"/>
          </w:tcPr>
          <w:p w14:paraId="481BDF7F" w14:textId="77777777" w:rsidR="004079B4" w:rsidRPr="004C23F4" w:rsidRDefault="002E0D61" w:rsidP="00F4402E">
            <w:pPr>
              <w:pStyle w:val="Tablefont"/>
            </w:pPr>
            <w:r>
              <w:t>ACGIH</w:t>
            </w:r>
          </w:p>
        </w:tc>
        <w:tc>
          <w:tcPr>
            <w:tcW w:w="6015" w:type="dxa"/>
          </w:tcPr>
          <w:p w14:paraId="7059F096" w14:textId="77777777" w:rsidR="002E0D61" w:rsidRPr="00DD2F9B" w:rsidRDefault="0087237A" w:rsidP="00DD2F9B">
            <w:pPr>
              <w:pStyle w:val="Tablefont"/>
            </w:pPr>
            <w:r w:rsidRPr="0087237A">
              <w:t>Carcinogenicity –</w:t>
            </w:r>
            <w:r>
              <w:t xml:space="preserve"> </w:t>
            </w:r>
            <w:r w:rsidRPr="0087237A">
              <w:t>1A</w:t>
            </w:r>
            <w:r w:rsidR="002B2C9E">
              <w:t xml:space="preserve">; Skin </w:t>
            </w:r>
          </w:p>
        </w:tc>
      </w:tr>
      <w:tr w:rsidR="002E0D61" w:rsidRPr="004C23F4" w14:paraId="02C1A4E3" w14:textId="77777777" w:rsidTr="00812887">
        <w:trPr>
          <w:cantSplit/>
        </w:trPr>
        <w:tc>
          <w:tcPr>
            <w:tcW w:w="3227" w:type="dxa"/>
          </w:tcPr>
          <w:p w14:paraId="679E044A" w14:textId="77777777" w:rsidR="004079B4" w:rsidRPr="004C23F4" w:rsidRDefault="002E0D61" w:rsidP="00F4402E">
            <w:pPr>
              <w:pStyle w:val="Tablefont"/>
            </w:pPr>
            <w:r>
              <w:t>DFG</w:t>
            </w:r>
          </w:p>
        </w:tc>
        <w:tc>
          <w:tcPr>
            <w:tcW w:w="6015" w:type="dxa"/>
          </w:tcPr>
          <w:p w14:paraId="341773C9" w14:textId="77777777" w:rsidR="002E0D61" w:rsidRPr="00DD2F9B" w:rsidRDefault="008F5955" w:rsidP="00DD2F9B">
            <w:pPr>
              <w:pStyle w:val="Tablefont"/>
            </w:pPr>
            <w:r w:rsidRPr="008F5955">
              <w:t>Carcinogenicity – 1</w:t>
            </w:r>
            <w:r>
              <w:t xml:space="preserve">; </w:t>
            </w:r>
            <w:r w:rsidRPr="008F5955">
              <w:t>H (skin)</w:t>
            </w:r>
          </w:p>
        </w:tc>
      </w:tr>
      <w:tr w:rsidR="002E0D61" w:rsidRPr="004C23F4" w14:paraId="10DD28E8" w14:textId="77777777" w:rsidTr="00812887">
        <w:trPr>
          <w:cantSplit/>
        </w:trPr>
        <w:tc>
          <w:tcPr>
            <w:tcW w:w="3227" w:type="dxa"/>
          </w:tcPr>
          <w:p w14:paraId="59DF5B26" w14:textId="77777777" w:rsidR="004079B4" w:rsidRPr="004C23F4" w:rsidRDefault="002E0D61" w:rsidP="00F4402E">
            <w:pPr>
              <w:pStyle w:val="Tablefont"/>
            </w:pPr>
            <w:r>
              <w:t>SCOEL</w:t>
            </w:r>
          </w:p>
        </w:tc>
        <w:tc>
          <w:tcPr>
            <w:tcW w:w="6015" w:type="dxa"/>
          </w:tcPr>
          <w:p w14:paraId="68B8B3F8" w14:textId="77777777" w:rsidR="002E0D61" w:rsidRPr="00DD2F9B" w:rsidRDefault="00010F13" w:rsidP="00DD2F9B">
            <w:pPr>
              <w:pStyle w:val="Tablefont"/>
            </w:pPr>
            <w:r w:rsidRPr="00010F13">
              <w:t>Carcinogenicity – A</w:t>
            </w:r>
          </w:p>
        </w:tc>
      </w:tr>
      <w:tr w:rsidR="002E0D61" w:rsidRPr="004C23F4" w14:paraId="39437B60" w14:textId="77777777" w:rsidTr="00812887">
        <w:trPr>
          <w:cantSplit/>
        </w:trPr>
        <w:tc>
          <w:tcPr>
            <w:tcW w:w="3227" w:type="dxa"/>
          </w:tcPr>
          <w:p w14:paraId="0F7710C5" w14:textId="77777777" w:rsidR="004079B4" w:rsidRDefault="002E0D61" w:rsidP="00F4402E">
            <w:pPr>
              <w:pStyle w:val="Tablefont"/>
            </w:pPr>
            <w:r>
              <w:t>HCOTN</w:t>
            </w:r>
          </w:p>
        </w:tc>
        <w:tc>
          <w:tcPr>
            <w:tcW w:w="6015" w:type="dxa"/>
          </w:tcPr>
          <w:p w14:paraId="65CB09CA" w14:textId="77777777" w:rsidR="002E0D61" w:rsidRPr="00DD2F9B" w:rsidRDefault="00010F13" w:rsidP="00DD2F9B">
            <w:pPr>
              <w:pStyle w:val="Tablefont"/>
            </w:pPr>
            <w:r w:rsidRPr="00010F13">
              <w:t>Carcinogenicity – category 1A</w:t>
            </w:r>
            <w:r>
              <w:t>; Skin</w:t>
            </w:r>
          </w:p>
        </w:tc>
      </w:tr>
      <w:tr w:rsidR="00386093" w:rsidRPr="004C23F4" w14:paraId="5CE28784" w14:textId="77777777" w:rsidTr="00812887">
        <w:trPr>
          <w:cantSplit/>
        </w:trPr>
        <w:tc>
          <w:tcPr>
            <w:tcW w:w="3227" w:type="dxa"/>
          </w:tcPr>
          <w:p w14:paraId="6CE0E86A" w14:textId="77777777" w:rsidR="004079B4" w:rsidRDefault="00386093" w:rsidP="00F4402E">
            <w:pPr>
              <w:pStyle w:val="Tablefont"/>
            </w:pPr>
            <w:r>
              <w:t>IARC</w:t>
            </w:r>
          </w:p>
        </w:tc>
        <w:tc>
          <w:tcPr>
            <w:tcW w:w="6015" w:type="dxa"/>
          </w:tcPr>
          <w:p w14:paraId="0B4122D9" w14:textId="77777777" w:rsidR="00386093" w:rsidRPr="00DD2F9B" w:rsidRDefault="001F7AE1" w:rsidP="00DD2F9B">
            <w:pPr>
              <w:pStyle w:val="Tablefont"/>
            </w:pPr>
            <w:r>
              <w:t>Carcinogenicity – Group 1</w:t>
            </w:r>
          </w:p>
        </w:tc>
      </w:tr>
      <w:tr w:rsidR="00386093" w:rsidRPr="004C23F4" w14:paraId="1917B206" w14:textId="77777777" w:rsidTr="00812887">
        <w:trPr>
          <w:cantSplit/>
        </w:trPr>
        <w:tc>
          <w:tcPr>
            <w:tcW w:w="3227" w:type="dxa"/>
          </w:tcPr>
          <w:p w14:paraId="7975C4FE" w14:textId="77777777" w:rsidR="004079B4" w:rsidRDefault="00386093" w:rsidP="00F4402E">
            <w:pPr>
              <w:pStyle w:val="Tablefont"/>
              <w:keepNext/>
            </w:pPr>
            <w:r>
              <w:t>US NIOSH</w:t>
            </w:r>
          </w:p>
        </w:tc>
        <w:tc>
          <w:tcPr>
            <w:tcW w:w="6015" w:type="dxa"/>
          </w:tcPr>
          <w:p w14:paraId="36132FA6" w14:textId="77777777" w:rsidR="00386093" w:rsidRPr="00DD2F9B" w:rsidRDefault="008A4CA5" w:rsidP="00D87570">
            <w:pPr>
              <w:pStyle w:val="Tablefont"/>
              <w:keepNext/>
            </w:pPr>
            <w:r>
              <w:t>—</w:t>
            </w:r>
          </w:p>
        </w:tc>
      </w:tr>
    </w:tbl>
    <w:bookmarkEnd w:id="2"/>
    <w:p w14:paraId="3D1544EE"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74023380"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7FFC217A" w14:textId="77777777" w:rsidTr="003A7452">
        <w:trPr>
          <w:tblHeader/>
        </w:trPr>
        <w:tc>
          <w:tcPr>
            <w:tcW w:w="5000" w:type="pct"/>
            <w:shd w:val="clear" w:color="auto" w:fill="BFBFBF" w:themeFill="background1" w:themeFillShade="BF"/>
            <w:vAlign w:val="center"/>
          </w:tcPr>
          <w:p w14:paraId="137EBBED" w14:textId="77777777" w:rsidR="00932DCE" w:rsidRPr="004C23F4" w:rsidRDefault="00932DCE" w:rsidP="00F4402E">
            <w:pPr>
              <w:pStyle w:val="Tableheader"/>
              <w:keepNext/>
              <w:tabs>
                <w:tab w:val="right" w:pos="8800"/>
              </w:tabs>
            </w:pPr>
            <w:bookmarkStart w:id="3" w:name="SkinNot"/>
            <w:r>
              <w:t>Calculation</w:t>
            </w:r>
            <w:bookmarkStart w:id="4" w:name="_GoBack"/>
            <w:bookmarkEnd w:id="4"/>
            <w:r w:rsidR="00177CA1">
              <w:tab/>
            </w:r>
          </w:p>
        </w:tc>
      </w:tr>
      <w:tr w:rsidR="00932DCE" w:rsidRPr="004C23F4" w14:paraId="310259C2" w14:textId="77777777" w:rsidTr="003A7452">
        <w:tc>
          <w:tcPr>
            <w:tcW w:w="5000" w:type="pct"/>
            <w:vAlign w:val="center"/>
          </w:tcPr>
          <w:tbl>
            <w:tblPr>
              <w:tblW w:w="8760" w:type="dxa"/>
              <w:tblLook w:val="04A0" w:firstRow="1" w:lastRow="0" w:firstColumn="1" w:lastColumn="0" w:noHBand="0" w:noVBand="1"/>
            </w:tblPr>
            <w:tblGrid>
              <w:gridCol w:w="3314"/>
              <w:gridCol w:w="976"/>
              <w:gridCol w:w="976"/>
              <w:gridCol w:w="1747"/>
              <w:gridCol w:w="1747"/>
            </w:tblGrid>
            <w:tr w:rsidR="00DB48BA" w:rsidRPr="00DB48BA" w14:paraId="14E7E0D7" w14:textId="77777777" w:rsidTr="00DB48BA">
              <w:trPr>
                <w:trHeight w:val="342"/>
              </w:trPr>
              <w:tc>
                <w:tcPr>
                  <w:tcW w:w="3314" w:type="dxa"/>
                  <w:tcBorders>
                    <w:top w:val="nil"/>
                    <w:left w:val="nil"/>
                    <w:bottom w:val="nil"/>
                    <w:right w:val="nil"/>
                  </w:tcBorders>
                  <w:shd w:val="clear" w:color="000000" w:fill="C5D9F1"/>
                  <w:noWrap/>
                  <w:vAlign w:val="center"/>
                  <w:hideMark/>
                </w:tcPr>
                <w:p w14:paraId="069D2FDF" w14:textId="77777777" w:rsidR="00DB48BA" w:rsidRPr="00DB48BA" w:rsidRDefault="00DB48BA" w:rsidP="00DB48BA">
                  <w:pPr>
                    <w:spacing w:after="0" w:line="240" w:lineRule="auto"/>
                    <w:jc w:val="right"/>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Adverse effects in human case study:</w:t>
                  </w:r>
                </w:p>
              </w:tc>
              <w:tc>
                <w:tcPr>
                  <w:tcW w:w="976" w:type="dxa"/>
                  <w:tcBorders>
                    <w:top w:val="nil"/>
                    <w:left w:val="nil"/>
                    <w:bottom w:val="nil"/>
                    <w:right w:val="nil"/>
                  </w:tcBorders>
                  <w:shd w:val="clear" w:color="000000" w:fill="C5D9F1"/>
                  <w:noWrap/>
                  <w:vAlign w:val="center"/>
                  <w:hideMark/>
                </w:tcPr>
                <w:p w14:paraId="57423CE0" w14:textId="77777777" w:rsidR="00DB48BA" w:rsidRPr="00DB48BA" w:rsidRDefault="00DB48BA" w:rsidP="00DB48BA">
                  <w:pPr>
                    <w:spacing w:after="0" w:line="240" w:lineRule="auto"/>
                    <w:jc w:val="center"/>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2326466D" w14:textId="77777777" w:rsidR="00DB48BA" w:rsidRPr="00DB48BA" w:rsidRDefault="00DB48BA" w:rsidP="00DB48BA">
                  <w:pPr>
                    <w:spacing w:after="0" w:line="240" w:lineRule="auto"/>
                    <w:rPr>
                      <w:rFonts w:ascii="Segoe UI" w:eastAsia="Times New Roman" w:hAnsi="Segoe UI" w:cs="Segoe UI"/>
                      <w:color w:val="C5D9F1"/>
                      <w:sz w:val="18"/>
                      <w:szCs w:val="18"/>
                      <w:lang w:eastAsia="en-AU"/>
                    </w:rPr>
                  </w:pPr>
                  <w:r w:rsidRPr="00DB48BA">
                    <w:rPr>
                      <w:rFonts w:ascii="Segoe UI" w:eastAsia="Times New Roman" w:hAnsi="Segoe UI" w:cs="Segoe UI"/>
                      <w:color w:val="C5D9F1"/>
                      <w:sz w:val="18"/>
                      <w:szCs w:val="18"/>
                      <w:lang w:eastAsia="en-AU"/>
                    </w:rPr>
                    <w:t> </w:t>
                  </w:r>
                </w:p>
              </w:tc>
              <w:tc>
                <w:tcPr>
                  <w:tcW w:w="1747" w:type="dxa"/>
                  <w:tcBorders>
                    <w:top w:val="nil"/>
                    <w:left w:val="nil"/>
                    <w:bottom w:val="nil"/>
                    <w:right w:val="nil"/>
                  </w:tcBorders>
                  <w:shd w:val="clear" w:color="000000" w:fill="C5D9F1"/>
                  <w:noWrap/>
                  <w:vAlign w:val="center"/>
                  <w:hideMark/>
                </w:tcPr>
                <w:p w14:paraId="0E689067"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5C7879DC"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r>
            <w:tr w:rsidR="00DB48BA" w:rsidRPr="00DB48BA" w14:paraId="7F781730" w14:textId="77777777" w:rsidTr="00DB48BA">
              <w:trPr>
                <w:trHeight w:val="342"/>
              </w:trPr>
              <w:tc>
                <w:tcPr>
                  <w:tcW w:w="3314" w:type="dxa"/>
                  <w:tcBorders>
                    <w:top w:val="nil"/>
                    <w:left w:val="nil"/>
                    <w:bottom w:val="nil"/>
                    <w:right w:val="nil"/>
                  </w:tcBorders>
                  <w:shd w:val="clear" w:color="000000" w:fill="C5D9F1"/>
                  <w:noWrap/>
                  <w:vAlign w:val="center"/>
                  <w:hideMark/>
                </w:tcPr>
                <w:p w14:paraId="1EA94B82" w14:textId="77777777" w:rsidR="00DB48BA" w:rsidRPr="00DB48BA" w:rsidRDefault="00DB48BA" w:rsidP="00DB48BA">
                  <w:pPr>
                    <w:spacing w:after="0" w:line="240" w:lineRule="auto"/>
                    <w:jc w:val="right"/>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Dermal LD</w:t>
                  </w:r>
                  <w:r w:rsidRPr="00DB48BA">
                    <w:rPr>
                      <w:rFonts w:ascii="Segoe UI" w:eastAsia="Times New Roman" w:hAnsi="Segoe UI" w:cs="Segoe UI"/>
                      <w:color w:val="000000"/>
                      <w:sz w:val="18"/>
                      <w:szCs w:val="18"/>
                      <w:vertAlign w:val="subscript"/>
                      <w:lang w:eastAsia="en-AU"/>
                    </w:rPr>
                    <w:t>50</w:t>
                  </w:r>
                  <w:r w:rsidRPr="00DB48BA">
                    <w:rPr>
                      <w:rFonts w:ascii="Segoe UI" w:eastAsia="Times New Roman" w:hAnsi="Segoe UI" w:cs="Segoe UI"/>
                      <w:color w:val="000000"/>
                      <w:sz w:val="18"/>
                      <w:szCs w:val="18"/>
                      <w:lang w:eastAsia="en-AU"/>
                    </w:rPr>
                    <w:t xml:space="preserve"> ≤1000 mg/kg:</w:t>
                  </w:r>
                </w:p>
              </w:tc>
              <w:tc>
                <w:tcPr>
                  <w:tcW w:w="976" w:type="dxa"/>
                  <w:tcBorders>
                    <w:top w:val="nil"/>
                    <w:left w:val="nil"/>
                    <w:bottom w:val="nil"/>
                    <w:right w:val="nil"/>
                  </w:tcBorders>
                  <w:shd w:val="clear" w:color="000000" w:fill="C5D9F1"/>
                  <w:noWrap/>
                  <w:vAlign w:val="center"/>
                  <w:hideMark/>
                </w:tcPr>
                <w:p w14:paraId="5FC284EE" w14:textId="77777777" w:rsidR="00DB48BA" w:rsidRPr="00DB48BA" w:rsidRDefault="00DB48BA" w:rsidP="00DB48BA">
                  <w:pPr>
                    <w:spacing w:after="0" w:line="240" w:lineRule="auto"/>
                    <w:jc w:val="center"/>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44727BF9" w14:textId="77777777" w:rsidR="00DB48BA" w:rsidRPr="00DB48BA" w:rsidRDefault="00DB48BA" w:rsidP="00DB48BA">
                  <w:pPr>
                    <w:spacing w:after="0" w:line="240" w:lineRule="auto"/>
                    <w:rPr>
                      <w:rFonts w:ascii="Segoe UI" w:eastAsia="Times New Roman" w:hAnsi="Segoe UI" w:cs="Segoe UI"/>
                      <w:color w:val="C5D9F1"/>
                      <w:sz w:val="18"/>
                      <w:szCs w:val="18"/>
                      <w:lang w:eastAsia="en-AU"/>
                    </w:rPr>
                  </w:pPr>
                  <w:r w:rsidRPr="00DB48BA">
                    <w:rPr>
                      <w:rFonts w:ascii="Segoe UI" w:eastAsia="Times New Roman" w:hAnsi="Segoe UI" w:cs="Segoe UI"/>
                      <w:color w:val="C5D9F1"/>
                      <w:sz w:val="18"/>
                      <w:szCs w:val="18"/>
                      <w:lang w:eastAsia="en-AU"/>
                    </w:rPr>
                    <w:t> </w:t>
                  </w:r>
                </w:p>
              </w:tc>
              <w:tc>
                <w:tcPr>
                  <w:tcW w:w="1747" w:type="dxa"/>
                  <w:tcBorders>
                    <w:top w:val="nil"/>
                    <w:left w:val="nil"/>
                    <w:bottom w:val="nil"/>
                    <w:right w:val="nil"/>
                  </w:tcBorders>
                  <w:shd w:val="clear" w:color="000000" w:fill="C5D9F1"/>
                  <w:noWrap/>
                  <w:vAlign w:val="center"/>
                  <w:hideMark/>
                </w:tcPr>
                <w:p w14:paraId="770ACD4E"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74731EF8"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r>
            <w:tr w:rsidR="00DB48BA" w:rsidRPr="00DB48BA" w14:paraId="3DC28827" w14:textId="77777777" w:rsidTr="00DB48BA">
              <w:trPr>
                <w:trHeight w:val="342"/>
              </w:trPr>
              <w:tc>
                <w:tcPr>
                  <w:tcW w:w="3314" w:type="dxa"/>
                  <w:tcBorders>
                    <w:top w:val="nil"/>
                    <w:left w:val="nil"/>
                    <w:bottom w:val="nil"/>
                    <w:right w:val="nil"/>
                  </w:tcBorders>
                  <w:shd w:val="clear" w:color="000000" w:fill="C5D9F1"/>
                  <w:noWrap/>
                  <w:vAlign w:val="center"/>
                  <w:hideMark/>
                </w:tcPr>
                <w:p w14:paraId="3D1E7975" w14:textId="77777777" w:rsidR="00DB48BA" w:rsidRPr="00DB48BA" w:rsidRDefault="00DB48BA" w:rsidP="00DB48BA">
                  <w:pPr>
                    <w:spacing w:after="0" w:line="240" w:lineRule="auto"/>
                    <w:jc w:val="right"/>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Dermal repeat-dose NOAEL ≤200 mg/kg:</w:t>
                  </w:r>
                </w:p>
              </w:tc>
              <w:tc>
                <w:tcPr>
                  <w:tcW w:w="976" w:type="dxa"/>
                  <w:tcBorders>
                    <w:top w:val="nil"/>
                    <w:left w:val="nil"/>
                    <w:bottom w:val="nil"/>
                    <w:right w:val="nil"/>
                  </w:tcBorders>
                  <w:shd w:val="clear" w:color="000000" w:fill="C5D9F1"/>
                  <w:noWrap/>
                  <w:vAlign w:val="center"/>
                  <w:hideMark/>
                </w:tcPr>
                <w:p w14:paraId="5526626E" w14:textId="77777777" w:rsidR="00DB48BA" w:rsidRPr="00DB48BA" w:rsidRDefault="00DB48BA" w:rsidP="00DB48BA">
                  <w:pPr>
                    <w:spacing w:after="0" w:line="240" w:lineRule="auto"/>
                    <w:jc w:val="center"/>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3C9B0980" w14:textId="77777777" w:rsidR="00DB48BA" w:rsidRPr="00DB48BA" w:rsidRDefault="00DB48BA" w:rsidP="00DB48BA">
                  <w:pPr>
                    <w:spacing w:after="0" w:line="240" w:lineRule="auto"/>
                    <w:rPr>
                      <w:rFonts w:ascii="Segoe UI" w:eastAsia="Times New Roman" w:hAnsi="Segoe UI" w:cs="Segoe UI"/>
                      <w:color w:val="C5D9F1"/>
                      <w:sz w:val="18"/>
                      <w:szCs w:val="18"/>
                      <w:lang w:eastAsia="en-AU"/>
                    </w:rPr>
                  </w:pPr>
                  <w:r w:rsidRPr="00DB48BA">
                    <w:rPr>
                      <w:rFonts w:ascii="Segoe UI" w:eastAsia="Times New Roman" w:hAnsi="Segoe UI" w:cs="Segoe UI"/>
                      <w:color w:val="C5D9F1"/>
                      <w:sz w:val="18"/>
                      <w:szCs w:val="18"/>
                      <w:lang w:eastAsia="en-AU"/>
                    </w:rPr>
                    <w:t> </w:t>
                  </w:r>
                </w:p>
              </w:tc>
              <w:tc>
                <w:tcPr>
                  <w:tcW w:w="1747" w:type="dxa"/>
                  <w:tcBorders>
                    <w:top w:val="nil"/>
                    <w:left w:val="nil"/>
                    <w:bottom w:val="nil"/>
                    <w:right w:val="nil"/>
                  </w:tcBorders>
                  <w:shd w:val="clear" w:color="000000" w:fill="C5D9F1"/>
                  <w:noWrap/>
                  <w:vAlign w:val="center"/>
                  <w:hideMark/>
                </w:tcPr>
                <w:p w14:paraId="22C850CA"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79D00E53"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r>
            <w:tr w:rsidR="00DB48BA" w:rsidRPr="00DB48BA" w14:paraId="6B33FE39" w14:textId="77777777" w:rsidTr="00DB48BA">
              <w:trPr>
                <w:trHeight w:val="342"/>
              </w:trPr>
              <w:tc>
                <w:tcPr>
                  <w:tcW w:w="3314" w:type="dxa"/>
                  <w:tcBorders>
                    <w:top w:val="nil"/>
                    <w:left w:val="nil"/>
                    <w:bottom w:val="nil"/>
                    <w:right w:val="nil"/>
                  </w:tcBorders>
                  <w:shd w:val="clear" w:color="000000" w:fill="C5D9F1"/>
                  <w:noWrap/>
                  <w:vAlign w:val="center"/>
                  <w:hideMark/>
                </w:tcPr>
                <w:p w14:paraId="6AEE1FB3" w14:textId="77777777" w:rsidR="00DB48BA" w:rsidRPr="00DB48BA" w:rsidRDefault="00DB48BA" w:rsidP="00DB48BA">
                  <w:pPr>
                    <w:spacing w:after="0" w:line="240" w:lineRule="auto"/>
                    <w:jc w:val="right"/>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Dermal LD</w:t>
                  </w:r>
                  <w:r w:rsidRPr="00DB48BA">
                    <w:rPr>
                      <w:rFonts w:ascii="Segoe UI" w:eastAsia="Times New Roman" w:hAnsi="Segoe UI" w:cs="Segoe UI"/>
                      <w:color w:val="000000"/>
                      <w:sz w:val="18"/>
                      <w:szCs w:val="18"/>
                      <w:vertAlign w:val="subscript"/>
                      <w:lang w:eastAsia="en-AU"/>
                    </w:rPr>
                    <w:t>50</w:t>
                  </w:r>
                  <w:r w:rsidRPr="00DB48BA">
                    <w:rPr>
                      <w:rFonts w:ascii="Segoe UI" w:eastAsia="Times New Roman" w:hAnsi="Segoe UI" w:cs="Segoe UI"/>
                      <w:color w:val="000000"/>
                      <w:sz w:val="18"/>
                      <w:szCs w:val="18"/>
                      <w:lang w:eastAsia="en-AU"/>
                    </w:rPr>
                    <w:t>/Inhalation LD</w:t>
                  </w:r>
                  <w:r w:rsidRPr="00DB48BA">
                    <w:rPr>
                      <w:rFonts w:ascii="Segoe UI" w:eastAsia="Times New Roman" w:hAnsi="Segoe UI" w:cs="Segoe UI"/>
                      <w:color w:val="000000"/>
                      <w:sz w:val="18"/>
                      <w:szCs w:val="18"/>
                      <w:vertAlign w:val="subscript"/>
                      <w:lang w:eastAsia="en-AU"/>
                    </w:rPr>
                    <w:t>50</w:t>
                  </w:r>
                  <w:r w:rsidRPr="00DB48BA">
                    <w:rPr>
                      <w:rFonts w:ascii="Segoe UI" w:eastAsia="Times New Roman" w:hAnsi="Segoe UI" w:cs="Segoe UI"/>
                      <w:color w:val="000000"/>
                      <w:sz w:val="18"/>
                      <w:szCs w:val="18"/>
                      <w:lang w:eastAsia="en-AU"/>
                    </w:rPr>
                    <w:t xml:space="preserve"> &lt;10:</w:t>
                  </w:r>
                </w:p>
              </w:tc>
              <w:tc>
                <w:tcPr>
                  <w:tcW w:w="976" w:type="dxa"/>
                  <w:tcBorders>
                    <w:top w:val="nil"/>
                    <w:left w:val="nil"/>
                    <w:bottom w:val="nil"/>
                    <w:right w:val="nil"/>
                  </w:tcBorders>
                  <w:shd w:val="clear" w:color="000000" w:fill="C5D9F1"/>
                  <w:noWrap/>
                  <w:vAlign w:val="center"/>
                  <w:hideMark/>
                </w:tcPr>
                <w:p w14:paraId="4C430692" w14:textId="77777777" w:rsidR="00DB48BA" w:rsidRPr="00DB48BA" w:rsidRDefault="00DB48BA" w:rsidP="00DB48BA">
                  <w:pPr>
                    <w:spacing w:after="0" w:line="240" w:lineRule="auto"/>
                    <w:jc w:val="center"/>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425FE249" w14:textId="77777777" w:rsidR="00DB48BA" w:rsidRPr="00DB48BA" w:rsidRDefault="00DB48BA" w:rsidP="00DB48BA">
                  <w:pPr>
                    <w:spacing w:after="0" w:line="240" w:lineRule="auto"/>
                    <w:rPr>
                      <w:rFonts w:ascii="Segoe UI" w:eastAsia="Times New Roman" w:hAnsi="Segoe UI" w:cs="Segoe UI"/>
                      <w:color w:val="C5D9F1"/>
                      <w:sz w:val="18"/>
                      <w:szCs w:val="18"/>
                      <w:lang w:eastAsia="en-AU"/>
                    </w:rPr>
                  </w:pPr>
                  <w:r w:rsidRPr="00DB48BA">
                    <w:rPr>
                      <w:rFonts w:ascii="Segoe UI" w:eastAsia="Times New Roman" w:hAnsi="Segoe UI" w:cs="Segoe UI"/>
                      <w:color w:val="C5D9F1"/>
                      <w:sz w:val="18"/>
                      <w:szCs w:val="18"/>
                      <w:lang w:eastAsia="en-AU"/>
                    </w:rPr>
                    <w:t> </w:t>
                  </w:r>
                </w:p>
              </w:tc>
              <w:tc>
                <w:tcPr>
                  <w:tcW w:w="1747" w:type="dxa"/>
                  <w:tcBorders>
                    <w:top w:val="nil"/>
                    <w:left w:val="nil"/>
                    <w:bottom w:val="nil"/>
                    <w:right w:val="nil"/>
                  </w:tcBorders>
                  <w:shd w:val="clear" w:color="000000" w:fill="C5D9F1"/>
                  <w:noWrap/>
                  <w:vAlign w:val="center"/>
                  <w:hideMark/>
                </w:tcPr>
                <w:p w14:paraId="7378DCCA"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7EBB1C27"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r>
            <w:tr w:rsidR="00DB48BA" w:rsidRPr="00DB48BA" w14:paraId="43341301" w14:textId="77777777" w:rsidTr="00DB48BA">
              <w:trPr>
                <w:trHeight w:val="342"/>
              </w:trPr>
              <w:tc>
                <w:tcPr>
                  <w:tcW w:w="3314" w:type="dxa"/>
                  <w:tcBorders>
                    <w:top w:val="nil"/>
                    <w:left w:val="nil"/>
                    <w:bottom w:val="nil"/>
                    <w:right w:val="nil"/>
                  </w:tcBorders>
                  <w:shd w:val="clear" w:color="000000" w:fill="C5D9F1"/>
                  <w:noWrap/>
                  <w:vAlign w:val="center"/>
                  <w:hideMark/>
                </w:tcPr>
                <w:p w14:paraId="44ACCCDD" w14:textId="77777777" w:rsidR="00DB48BA" w:rsidRPr="00DB48BA" w:rsidRDefault="00DB48BA" w:rsidP="00DB48BA">
                  <w:pPr>
                    <w:spacing w:after="0" w:line="240" w:lineRule="auto"/>
                    <w:jc w:val="right"/>
                    <w:rPr>
                      <w:rFonts w:ascii="Segoe UI" w:eastAsia="Times New Roman" w:hAnsi="Segoe UI" w:cs="Segoe UI"/>
                      <w:i/>
                      <w:iCs/>
                      <w:color w:val="000000"/>
                      <w:sz w:val="18"/>
                      <w:szCs w:val="18"/>
                      <w:lang w:eastAsia="en-AU"/>
                    </w:rPr>
                  </w:pPr>
                  <w:r w:rsidRPr="00DB48BA">
                    <w:rPr>
                      <w:rFonts w:ascii="Segoe UI" w:eastAsia="Times New Roman" w:hAnsi="Segoe UI" w:cs="Segoe UI"/>
                      <w:i/>
                      <w:iCs/>
                      <w:color w:val="000000"/>
                      <w:sz w:val="18"/>
                      <w:szCs w:val="18"/>
                      <w:lang w:eastAsia="en-AU"/>
                    </w:rPr>
                    <w:t>In vivo</w:t>
                  </w:r>
                  <w:r w:rsidRPr="00DB48BA">
                    <w:rPr>
                      <w:rFonts w:ascii="Segoe UI" w:eastAsia="Times New Roman" w:hAnsi="Segoe UI" w:cs="Segoe UI"/>
                      <w:color w:val="000000"/>
                      <w:sz w:val="18"/>
                      <w:szCs w:val="18"/>
                      <w:lang w:eastAsia="en-AU"/>
                    </w:rPr>
                    <w:t xml:space="preserve"> dermal absorption rate &gt;10%:</w:t>
                  </w:r>
                </w:p>
              </w:tc>
              <w:tc>
                <w:tcPr>
                  <w:tcW w:w="976" w:type="dxa"/>
                  <w:tcBorders>
                    <w:top w:val="nil"/>
                    <w:left w:val="nil"/>
                    <w:bottom w:val="nil"/>
                    <w:right w:val="nil"/>
                  </w:tcBorders>
                  <w:shd w:val="clear" w:color="000000" w:fill="C5D9F1"/>
                  <w:noWrap/>
                  <w:vAlign w:val="center"/>
                  <w:hideMark/>
                </w:tcPr>
                <w:p w14:paraId="343C1360" w14:textId="77777777" w:rsidR="00DB48BA" w:rsidRPr="00DB48BA" w:rsidRDefault="00DB48BA" w:rsidP="00DB48BA">
                  <w:pPr>
                    <w:spacing w:after="0" w:line="240" w:lineRule="auto"/>
                    <w:jc w:val="center"/>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7FC02296" w14:textId="77777777" w:rsidR="00DB48BA" w:rsidRPr="00DB48BA" w:rsidRDefault="00DB48BA" w:rsidP="00DB48BA">
                  <w:pPr>
                    <w:spacing w:after="0" w:line="240" w:lineRule="auto"/>
                    <w:rPr>
                      <w:rFonts w:ascii="Segoe UI" w:eastAsia="Times New Roman" w:hAnsi="Segoe UI" w:cs="Segoe UI"/>
                      <w:color w:val="C5D9F1"/>
                      <w:sz w:val="18"/>
                      <w:szCs w:val="18"/>
                      <w:lang w:eastAsia="en-AU"/>
                    </w:rPr>
                  </w:pPr>
                  <w:r w:rsidRPr="00DB48BA">
                    <w:rPr>
                      <w:rFonts w:ascii="Segoe UI" w:eastAsia="Times New Roman" w:hAnsi="Segoe UI" w:cs="Segoe UI"/>
                      <w:color w:val="C5D9F1"/>
                      <w:sz w:val="18"/>
                      <w:szCs w:val="18"/>
                      <w:lang w:eastAsia="en-AU"/>
                    </w:rPr>
                    <w:t> </w:t>
                  </w:r>
                </w:p>
              </w:tc>
              <w:tc>
                <w:tcPr>
                  <w:tcW w:w="1747" w:type="dxa"/>
                  <w:tcBorders>
                    <w:top w:val="nil"/>
                    <w:left w:val="nil"/>
                    <w:bottom w:val="nil"/>
                    <w:right w:val="nil"/>
                  </w:tcBorders>
                  <w:shd w:val="clear" w:color="000000" w:fill="C5D9F1"/>
                  <w:noWrap/>
                  <w:vAlign w:val="center"/>
                  <w:hideMark/>
                </w:tcPr>
                <w:p w14:paraId="08FBD719"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40777E46"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r>
            <w:tr w:rsidR="00DB48BA" w:rsidRPr="00DB48BA" w14:paraId="6675DE90" w14:textId="77777777" w:rsidTr="00DB48BA">
              <w:trPr>
                <w:trHeight w:val="342"/>
              </w:trPr>
              <w:tc>
                <w:tcPr>
                  <w:tcW w:w="3314" w:type="dxa"/>
                  <w:tcBorders>
                    <w:top w:val="nil"/>
                    <w:left w:val="nil"/>
                    <w:bottom w:val="nil"/>
                    <w:right w:val="nil"/>
                  </w:tcBorders>
                  <w:shd w:val="clear" w:color="000000" w:fill="C5D9F1"/>
                  <w:noWrap/>
                  <w:vAlign w:val="center"/>
                  <w:hideMark/>
                </w:tcPr>
                <w:p w14:paraId="3FC9E375" w14:textId="77777777" w:rsidR="00DB48BA" w:rsidRPr="00DB48BA" w:rsidRDefault="00DB48BA" w:rsidP="00DB48BA">
                  <w:pPr>
                    <w:spacing w:after="0" w:line="240" w:lineRule="auto"/>
                    <w:jc w:val="right"/>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lastRenderedPageBreak/>
                    <w:t>Estimated dermal exposure at WES &gt;10%:</w:t>
                  </w:r>
                </w:p>
              </w:tc>
              <w:tc>
                <w:tcPr>
                  <w:tcW w:w="976" w:type="dxa"/>
                  <w:tcBorders>
                    <w:top w:val="nil"/>
                    <w:left w:val="nil"/>
                    <w:bottom w:val="nil"/>
                    <w:right w:val="nil"/>
                  </w:tcBorders>
                  <w:shd w:val="clear" w:color="000000" w:fill="FFEB9C"/>
                  <w:noWrap/>
                  <w:vAlign w:val="center"/>
                  <w:hideMark/>
                </w:tcPr>
                <w:p w14:paraId="3F27CE07" w14:textId="77777777" w:rsidR="00DB48BA" w:rsidRPr="00DB48BA" w:rsidRDefault="00DB48BA" w:rsidP="00DB48BA">
                  <w:pPr>
                    <w:spacing w:after="0" w:line="240" w:lineRule="auto"/>
                    <w:jc w:val="center"/>
                    <w:rPr>
                      <w:rFonts w:ascii="Segoe UI" w:eastAsia="Times New Roman" w:hAnsi="Segoe UI" w:cs="Segoe UI"/>
                      <w:color w:val="9C6500"/>
                      <w:sz w:val="18"/>
                      <w:szCs w:val="18"/>
                      <w:lang w:eastAsia="en-AU"/>
                    </w:rPr>
                  </w:pPr>
                  <w:r w:rsidRPr="00DB48BA">
                    <w:rPr>
                      <w:rFonts w:ascii="Segoe UI" w:eastAsia="Times New Roman" w:hAnsi="Segoe UI" w:cs="Segoe UI"/>
                      <w:color w:val="9C6500"/>
                      <w:sz w:val="18"/>
                      <w:szCs w:val="18"/>
                      <w:lang w:eastAsia="en-AU"/>
                    </w:rPr>
                    <w:t>yes</w:t>
                  </w:r>
                </w:p>
              </w:tc>
              <w:tc>
                <w:tcPr>
                  <w:tcW w:w="976" w:type="dxa"/>
                  <w:tcBorders>
                    <w:top w:val="nil"/>
                    <w:left w:val="nil"/>
                    <w:bottom w:val="nil"/>
                    <w:right w:val="nil"/>
                  </w:tcBorders>
                  <w:shd w:val="clear" w:color="000000" w:fill="C5D9F1"/>
                  <w:noWrap/>
                  <w:vAlign w:val="center"/>
                  <w:hideMark/>
                </w:tcPr>
                <w:p w14:paraId="7517CA2A" w14:textId="77777777" w:rsidR="00DB48BA" w:rsidRPr="00DB48BA" w:rsidRDefault="00DB48BA" w:rsidP="00DB48BA">
                  <w:pPr>
                    <w:spacing w:after="0" w:line="240" w:lineRule="auto"/>
                    <w:jc w:val="right"/>
                    <w:rPr>
                      <w:rFonts w:ascii="Segoe UI" w:eastAsia="Times New Roman" w:hAnsi="Segoe UI" w:cs="Segoe UI"/>
                      <w:color w:val="C5D9F1"/>
                      <w:sz w:val="18"/>
                      <w:szCs w:val="18"/>
                      <w:lang w:eastAsia="en-AU"/>
                    </w:rPr>
                  </w:pPr>
                  <w:r w:rsidRPr="00DB48BA">
                    <w:rPr>
                      <w:rFonts w:ascii="Segoe UI" w:eastAsia="Times New Roman" w:hAnsi="Segoe UI" w:cs="Segoe UI"/>
                      <w:color w:val="C5D9F1"/>
                      <w:sz w:val="18"/>
                      <w:szCs w:val="18"/>
                      <w:lang w:eastAsia="en-AU"/>
                    </w:rPr>
                    <w:t>2.00</w:t>
                  </w:r>
                </w:p>
              </w:tc>
              <w:tc>
                <w:tcPr>
                  <w:tcW w:w="1747" w:type="dxa"/>
                  <w:tcBorders>
                    <w:top w:val="nil"/>
                    <w:left w:val="nil"/>
                    <w:bottom w:val="nil"/>
                    <w:right w:val="nil"/>
                  </w:tcBorders>
                  <w:shd w:val="clear" w:color="000000" w:fill="C5D9F1"/>
                  <w:noWrap/>
                  <w:vAlign w:val="center"/>
                  <w:hideMark/>
                </w:tcPr>
                <w:p w14:paraId="2CB3B57B"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0545EBDB" w14:textId="77777777" w:rsidR="00DB48BA" w:rsidRPr="00DB48BA" w:rsidRDefault="00DB48BA" w:rsidP="00DB48BA">
                  <w:pPr>
                    <w:spacing w:after="0" w:line="240" w:lineRule="auto"/>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r>
            <w:tr w:rsidR="00DB48BA" w:rsidRPr="00DB48BA" w14:paraId="6DEB992A" w14:textId="77777777" w:rsidTr="00DB48BA">
              <w:trPr>
                <w:trHeight w:val="342"/>
              </w:trPr>
              <w:tc>
                <w:tcPr>
                  <w:tcW w:w="3314" w:type="dxa"/>
                  <w:tcBorders>
                    <w:top w:val="nil"/>
                    <w:left w:val="nil"/>
                    <w:bottom w:val="nil"/>
                    <w:right w:val="nil"/>
                  </w:tcBorders>
                  <w:shd w:val="clear" w:color="000000" w:fill="C5D9F1"/>
                  <w:noWrap/>
                  <w:vAlign w:val="center"/>
                  <w:hideMark/>
                </w:tcPr>
                <w:p w14:paraId="52E82862" w14:textId="77777777" w:rsidR="00DB48BA" w:rsidRPr="00DB48BA" w:rsidRDefault="00DB48BA" w:rsidP="00DB48BA">
                  <w:pPr>
                    <w:spacing w:after="0" w:line="240" w:lineRule="auto"/>
                    <w:jc w:val="right"/>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2F620AEC" w14:textId="77777777" w:rsidR="00DB48BA" w:rsidRPr="00DB48BA" w:rsidRDefault="00DB48BA" w:rsidP="00DB48BA">
                  <w:pPr>
                    <w:spacing w:after="0" w:line="240" w:lineRule="auto"/>
                    <w:jc w:val="center"/>
                    <w:rPr>
                      <w:rFonts w:ascii="Segoe UI" w:eastAsia="Times New Roman" w:hAnsi="Segoe UI" w:cs="Segoe UI"/>
                      <w:color w:val="000000"/>
                      <w:sz w:val="18"/>
                      <w:szCs w:val="18"/>
                      <w:lang w:eastAsia="en-AU"/>
                    </w:rPr>
                  </w:pPr>
                  <w:r w:rsidRPr="00DB48BA">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5F49D8F9" w14:textId="77777777" w:rsidR="00DB48BA" w:rsidRPr="00DB48BA" w:rsidRDefault="00DB48BA" w:rsidP="00DB48BA">
                  <w:pPr>
                    <w:spacing w:after="0" w:line="240" w:lineRule="auto"/>
                    <w:jc w:val="right"/>
                    <w:rPr>
                      <w:rFonts w:ascii="Segoe UI" w:eastAsia="Times New Roman" w:hAnsi="Segoe UI" w:cs="Segoe UI"/>
                      <w:color w:val="C5D9F1"/>
                      <w:sz w:val="18"/>
                      <w:szCs w:val="18"/>
                      <w:lang w:eastAsia="en-AU"/>
                    </w:rPr>
                  </w:pPr>
                  <w:r w:rsidRPr="00DB48BA">
                    <w:rPr>
                      <w:rFonts w:ascii="Segoe UI" w:eastAsia="Times New Roman" w:hAnsi="Segoe UI" w:cs="Segoe UI"/>
                      <w:color w:val="C5D9F1"/>
                      <w:sz w:val="18"/>
                      <w:szCs w:val="18"/>
                      <w:lang w:eastAsia="en-AU"/>
                    </w:rPr>
                    <w:t>2</w:t>
                  </w:r>
                </w:p>
              </w:tc>
              <w:tc>
                <w:tcPr>
                  <w:tcW w:w="3494" w:type="dxa"/>
                  <w:gridSpan w:val="2"/>
                  <w:tcBorders>
                    <w:top w:val="nil"/>
                    <w:left w:val="nil"/>
                    <w:bottom w:val="nil"/>
                    <w:right w:val="nil"/>
                  </w:tcBorders>
                  <w:shd w:val="clear" w:color="000000" w:fill="C5D9F1"/>
                  <w:noWrap/>
                  <w:vAlign w:val="center"/>
                  <w:hideMark/>
                </w:tcPr>
                <w:p w14:paraId="2F15AF1C" w14:textId="77777777" w:rsidR="00DB48BA" w:rsidRPr="00DB48BA" w:rsidRDefault="00DB48BA" w:rsidP="00DB48BA">
                  <w:pPr>
                    <w:spacing w:after="0" w:line="240" w:lineRule="auto"/>
                    <w:rPr>
                      <w:rFonts w:ascii="Segoe UI" w:eastAsia="Times New Roman" w:hAnsi="Segoe UI" w:cs="Segoe UI"/>
                      <w:b/>
                      <w:bCs/>
                      <w:color w:val="000000"/>
                      <w:sz w:val="18"/>
                      <w:szCs w:val="18"/>
                      <w:lang w:eastAsia="en-AU"/>
                    </w:rPr>
                  </w:pPr>
                  <w:r w:rsidRPr="00DB48BA">
                    <w:rPr>
                      <w:rFonts w:ascii="Segoe UI" w:eastAsia="Times New Roman" w:hAnsi="Segoe UI" w:cs="Segoe UI"/>
                      <w:b/>
                      <w:bCs/>
                      <w:color w:val="000000"/>
                      <w:sz w:val="18"/>
                      <w:szCs w:val="18"/>
                      <w:lang w:eastAsia="en-AU"/>
                    </w:rPr>
                    <w:t>insufficient data to assign a skin notation</w:t>
                  </w:r>
                </w:p>
              </w:tc>
            </w:tr>
          </w:tbl>
          <w:p w14:paraId="025FD1DA" w14:textId="77777777" w:rsidR="00932DCE" w:rsidRPr="004C23F4" w:rsidRDefault="00932DCE" w:rsidP="00F9496B">
            <w:pPr>
              <w:pStyle w:val="Tablefont"/>
            </w:pPr>
          </w:p>
        </w:tc>
      </w:tr>
    </w:tbl>
    <w:bookmarkEnd w:id="3"/>
    <w:p w14:paraId="423A3ED8" w14:textId="77777777" w:rsidR="00EB3D1B" w:rsidRDefault="00EB3D1B" w:rsidP="00EB3D1B">
      <w:pPr>
        <w:pStyle w:val="Heading3"/>
      </w:pPr>
      <w:r>
        <w:lastRenderedPageBreak/>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17B56FED" w14:textId="77777777" w:rsidTr="00610F2E">
        <w:trPr>
          <w:trHeight w:val="454"/>
          <w:tblHeader/>
        </w:trPr>
        <w:tc>
          <w:tcPr>
            <w:tcW w:w="4361" w:type="dxa"/>
            <w:vAlign w:val="center"/>
          </w:tcPr>
          <w:p w14:paraId="4F89CD5E"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74987460" w14:textId="77777777" w:rsidR="00EB3D1B" w:rsidRDefault="00DB48BA" w:rsidP="00EB3D1B">
                <w:pPr>
                  <w:pStyle w:val="Tablefont"/>
                </w:pPr>
                <w:r>
                  <w:t>Yes</w:t>
                </w:r>
              </w:p>
            </w:tc>
          </w:sdtContent>
        </w:sdt>
      </w:tr>
    </w:tbl>
    <w:p w14:paraId="2693A40D"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57D54D69" w14:textId="77777777" w:rsidTr="00EA6243">
        <w:trPr>
          <w:cantSplit/>
          <w:tblHeader/>
        </w:trPr>
        <w:tc>
          <w:tcPr>
            <w:tcW w:w="4077" w:type="dxa"/>
            <w:vAlign w:val="center"/>
          </w:tcPr>
          <w:p w14:paraId="09094F1B"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52C841E" w14:textId="77777777" w:rsidR="001B79E5" w:rsidRDefault="001F7AE1" w:rsidP="001B79E5">
                <w:pPr>
                  <w:pStyle w:val="Tablefont"/>
                </w:pPr>
                <w:r>
                  <w:t>78.11</w:t>
                </w:r>
              </w:p>
            </w:tc>
          </w:sdtContent>
        </w:sdt>
      </w:tr>
      <w:tr w:rsidR="00A31D99" w:rsidRPr="004C23F4" w14:paraId="6AC1351D" w14:textId="77777777" w:rsidTr="00EA6243">
        <w:trPr>
          <w:cantSplit/>
          <w:tblHeader/>
        </w:trPr>
        <w:tc>
          <w:tcPr>
            <w:tcW w:w="4077" w:type="dxa"/>
            <w:vAlign w:val="center"/>
          </w:tcPr>
          <w:p w14:paraId="2D079F2B" w14:textId="77777777" w:rsidR="00A31D99" w:rsidRPr="00263255" w:rsidRDefault="00A31D99" w:rsidP="00A31D99">
            <w:pPr>
              <w:pStyle w:val="Tablefont"/>
            </w:pPr>
            <w:r>
              <w:t>Conversion factors at 25</w:t>
            </w:r>
            <w:r>
              <w:rPr>
                <w:rFonts w:cs="Arial"/>
              </w:rPr>
              <w:t>°</w:t>
            </w:r>
            <w:r>
              <w:t xml:space="preserve">C and 101.3 </w:t>
            </w:r>
            <w:proofErr w:type="spellStart"/>
            <w:r>
              <w:t>kPa</w:t>
            </w:r>
            <w:proofErr w:type="spellEnd"/>
            <w:r>
              <w:t xml:space="preserve">: </w:t>
            </w:r>
          </w:p>
        </w:tc>
        <w:tc>
          <w:tcPr>
            <w:tcW w:w="5165" w:type="dxa"/>
            <w:vAlign w:val="center"/>
          </w:tcPr>
          <w:p w14:paraId="18720F49"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5BECD817" w14:textId="77777777" w:rsidTr="00EA6243">
        <w:trPr>
          <w:cantSplit/>
          <w:tblHeader/>
        </w:trPr>
        <w:tc>
          <w:tcPr>
            <w:tcW w:w="4077" w:type="dxa"/>
            <w:vAlign w:val="center"/>
          </w:tcPr>
          <w:p w14:paraId="111F9253"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033D2624"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6BE0AD89" w14:textId="77777777" w:rsidTr="00EA6243">
        <w:trPr>
          <w:cantSplit/>
        </w:trPr>
        <w:tc>
          <w:tcPr>
            <w:tcW w:w="4077" w:type="dxa"/>
            <w:vAlign w:val="center"/>
          </w:tcPr>
          <w:p w14:paraId="282AE039"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0FE8AA79"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394F3475" w14:textId="77777777" w:rsidTr="00EA6243">
        <w:trPr>
          <w:cantSplit/>
        </w:trPr>
        <w:tc>
          <w:tcPr>
            <w:tcW w:w="4077" w:type="dxa"/>
            <w:vAlign w:val="center"/>
          </w:tcPr>
          <w:p w14:paraId="256E48D9" w14:textId="77777777" w:rsidR="00687890" w:rsidRPr="00263255" w:rsidRDefault="00687890" w:rsidP="00263255">
            <w:pPr>
              <w:pStyle w:val="Tablefont"/>
            </w:pPr>
            <w:r w:rsidRPr="00263255">
              <w:t>This chemical is a by-product of a process:</w:t>
            </w:r>
          </w:p>
        </w:tc>
        <w:sdt>
          <w:sdtPr>
            <w:id w:val="-863134491"/>
            <w14:checkbox>
              <w14:checked w14:val="1"/>
              <w14:checkedState w14:val="00FC" w14:font="Wingdings"/>
              <w14:uncheckedState w14:val="2610" w14:font="MS Gothic"/>
            </w14:checkbox>
          </w:sdtPr>
          <w:sdtEndPr/>
          <w:sdtContent>
            <w:tc>
              <w:tcPr>
                <w:tcW w:w="5165" w:type="dxa"/>
                <w:vAlign w:val="center"/>
              </w:tcPr>
              <w:p w14:paraId="12ED6BDA" w14:textId="77777777" w:rsidR="00687890" w:rsidRPr="004C23F4" w:rsidRDefault="00C11EAA" w:rsidP="00717D45">
                <w:pPr>
                  <w:pStyle w:val="Tablefont"/>
                </w:pPr>
                <w:r>
                  <w:sym w:font="Wingdings" w:char="F0FC"/>
                </w:r>
              </w:p>
            </w:tc>
          </w:sdtContent>
        </w:sdt>
      </w:tr>
      <w:tr w:rsidR="00E06F40" w:rsidRPr="004C23F4" w14:paraId="2C014705" w14:textId="77777777" w:rsidTr="00EA6243">
        <w:trPr>
          <w:cantSplit/>
        </w:trPr>
        <w:tc>
          <w:tcPr>
            <w:tcW w:w="4077" w:type="dxa"/>
            <w:vAlign w:val="center"/>
          </w:tcPr>
          <w:p w14:paraId="2E9C3111"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3913145F" w14:textId="77777777" w:rsidR="00E06F40" w:rsidRPr="00A006A0" w:rsidRDefault="003A7452" w:rsidP="00B40C60">
            <w:pPr>
              <w:pStyle w:val="Tablefont"/>
              <w:tabs>
                <w:tab w:val="left" w:pos="1310"/>
                <w:tab w:val="left" w:pos="2444"/>
                <w:tab w:val="left" w:pos="3861"/>
              </w:tabs>
            </w:pPr>
            <w:sdt>
              <w:sdtPr>
                <w:id w:val="92759666"/>
                <w14:checkbox>
                  <w14:checked w14:val="1"/>
                  <w14:checkedState w14:val="00FC" w14:font="Wingdings"/>
                  <w14:uncheckedState w14:val="2610" w14:font="MS Gothic"/>
                </w14:checkbox>
              </w:sdtPr>
              <w:sdtEndPr/>
              <w:sdtContent>
                <w:r w:rsidR="00C11EAA">
                  <w:sym w:font="Wingdings" w:char="F0FC"/>
                </w:r>
              </w:sdtContent>
            </w:sdt>
            <w:r w:rsidR="00E06F40" w:rsidRPr="00A006A0">
              <w:t xml:space="preserve"> ACGIH</w:t>
            </w:r>
            <w:r w:rsidR="00E06F40">
              <w:tab/>
            </w:r>
            <w:sdt>
              <w:sdtPr>
                <w:id w:val="129367724"/>
                <w14:checkbox>
                  <w14:checked w14:val="1"/>
                  <w14:checkedState w14:val="00FC" w14:font="Wingdings"/>
                  <w14:uncheckedState w14:val="2610" w14:font="MS Gothic"/>
                </w14:checkbox>
              </w:sdtPr>
              <w:sdtEndPr/>
              <w:sdtContent>
                <w:r w:rsidR="00C11EAA">
                  <w:sym w:font="Wingdings" w:char="F0FC"/>
                </w:r>
              </w:sdtContent>
            </w:sdt>
            <w:r w:rsidR="00E06F40" w:rsidRPr="00A006A0">
              <w:t xml:space="preserve"> DFG</w:t>
            </w:r>
            <w:r w:rsidR="00E06F40">
              <w:tab/>
            </w:r>
            <w:sdt>
              <w:sdtPr>
                <w:id w:val="-1535876012"/>
                <w14:checkbox>
                  <w14:checked w14:val="1"/>
                  <w14:checkedState w14:val="00FC" w14:font="Wingdings"/>
                  <w14:uncheckedState w14:val="2610" w14:font="MS Gothic"/>
                </w14:checkbox>
              </w:sdtPr>
              <w:sdtEndPr/>
              <w:sdtContent>
                <w:r w:rsidR="00C11EAA">
                  <w:sym w:font="Wingdings" w:char="F0FC"/>
                </w:r>
              </w:sdtContent>
            </w:sdt>
            <w:r w:rsidR="00E06F40" w:rsidRPr="00A006A0">
              <w:t xml:space="preserve"> SCOEL</w:t>
            </w:r>
            <w:r w:rsidR="00E06F40">
              <w:tab/>
            </w:r>
          </w:p>
        </w:tc>
      </w:tr>
    </w:tbl>
    <w:p w14:paraId="480E61BC"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52F03B1F" w14:textId="77777777" w:rsidTr="00F053FA">
        <w:trPr>
          <w:tblHeader/>
        </w:trPr>
        <w:tc>
          <w:tcPr>
            <w:tcW w:w="4077" w:type="dxa"/>
            <w:shd w:val="clear" w:color="auto" w:fill="BFBFBF" w:themeFill="background1" w:themeFillShade="BF"/>
            <w:vAlign w:val="center"/>
          </w:tcPr>
          <w:p w14:paraId="6AC837BF"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1E0F7B0C" w14:textId="77777777" w:rsidR="00224EE2" w:rsidRPr="004C23F4" w:rsidRDefault="00224EE2" w:rsidP="00EB3D1B">
            <w:pPr>
              <w:pStyle w:val="Tableheader"/>
              <w:keepNext/>
              <w:keepLines/>
            </w:pPr>
            <w:r>
              <w:t>Standard</w:t>
            </w:r>
          </w:p>
        </w:tc>
      </w:tr>
      <w:tr w:rsidR="007F1005" w:rsidRPr="004C23F4" w14:paraId="58BAB708" w14:textId="77777777" w:rsidTr="00F053FA">
        <w:trPr>
          <w:tblHeader/>
        </w:trPr>
        <w:sdt>
          <w:sdtPr>
            <w:id w:val="-25557549"/>
            <w:placeholder>
              <w:docPart w:val="2BF891C0AB704CDAB9BC6E80D556473F"/>
            </w:placeholder>
            <w:showingPlcHdr/>
            <w:text/>
          </w:sdtPr>
          <w:sdtEndPr/>
          <w:sdtContent>
            <w:tc>
              <w:tcPr>
                <w:tcW w:w="4077" w:type="dxa"/>
                <w:vAlign w:val="center"/>
              </w:tcPr>
              <w:p w14:paraId="65190434"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0BC326F8" w14:textId="77777777" w:rsidR="007F1005" w:rsidRPr="004C23F4" w:rsidRDefault="007F1005" w:rsidP="00EB3D1B">
            <w:pPr>
              <w:pStyle w:val="Tablefont"/>
              <w:keepLines/>
            </w:pPr>
          </w:p>
        </w:tc>
      </w:tr>
    </w:tbl>
    <w:bookmarkEnd w:id="5"/>
    <w:p w14:paraId="0E0C9DED" w14:textId="77777777" w:rsidR="00F87D92" w:rsidRDefault="00F87D92" w:rsidP="00EF7F78">
      <w:pPr>
        <w:pStyle w:val="Heading2"/>
        <w:tabs>
          <w:tab w:val="right" w:pos="8505"/>
        </w:tabs>
      </w:pPr>
      <w:r>
        <w:t>References</w:t>
      </w:r>
      <w:r w:rsidR="00EF7F78">
        <w:tab/>
      </w:r>
    </w:p>
    <w:p w14:paraId="151355C8"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21CE947A" w14:textId="77777777" w:rsidR="003C2F22" w:rsidRDefault="003C2F22" w:rsidP="00084859">
      <w:r w:rsidRPr="002022B6">
        <w:t xml:space="preserve">Deutsche </w:t>
      </w:r>
      <w:proofErr w:type="spellStart"/>
      <w:r w:rsidRPr="002022B6">
        <w:t>Forschungsgemeinschaft</w:t>
      </w:r>
      <w:proofErr w:type="spellEnd"/>
      <w:r w:rsidRPr="002022B6">
        <w:t xml:space="preserve"> (DFG)</w:t>
      </w:r>
      <w:r>
        <w:t xml:space="preserve"> (2018) List of MAK and BAT Values – MAK value documentation.</w:t>
      </w:r>
    </w:p>
    <w:p w14:paraId="0D22D65A" w14:textId="77777777" w:rsidR="003D42C6" w:rsidRDefault="003D42C6" w:rsidP="003D42C6">
      <w:r w:rsidRPr="003D42C6">
        <w:t>Europe</w:t>
      </w:r>
      <w:r>
        <w:t>an Chemicals Agency (ECHA) (2018</w:t>
      </w:r>
      <w:r w:rsidRPr="003D42C6">
        <w:t xml:space="preserve">) </w:t>
      </w:r>
      <w:r>
        <w:t xml:space="preserve">Opinion on scientific evaluation of occupational exposure limits for Benzene </w:t>
      </w:r>
      <w:r w:rsidRPr="003D42C6">
        <w:t>– REACH assessment.</w:t>
      </w:r>
    </w:p>
    <w:p w14:paraId="0C85FFDC" w14:textId="77777777" w:rsidR="003C2F22" w:rsidRDefault="003C2F22" w:rsidP="00084859">
      <w:r w:rsidRPr="002022B6">
        <w:t>EU Scientific Committee on Occupational Exposure Limits (SCOEL)</w:t>
      </w:r>
      <w:r>
        <w:t xml:space="preserve"> (1991SUM/140) Recommendation from the Scientific Committee on Occupational Exposure Limits for </w:t>
      </w:r>
      <w:r w:rsidR="006B5A8E">
        <w:t>benzene</w:t>
      </w:r>
      <w:r>
        <w:t>. SCOEL/</w:t>
      </w:r>
      <w:r w:rsidR="006B5A8E">
        <w:t>SUM/140</w:t>
      </w:r>
      <w:r>
        <w:t>.</w:t>
      </w:r>
    </w:p>
    <w:p w14:paraId="0BB54124" w14:textId="77777777" w:rsidR="002A64C4" w:rsidRDefault="002A64C4" w:rsidP="00084859">
      <w:r w:rsidRPr="002A64C4">
        <w:t xml:space="preserve">Health Council </w:t>
      </w:r>
      <w:r w:rsidR="00B70BAF">
        <w:t>of the Netherlands (HCOTN) (2014</w:t>
      </w:r>
      <w:r w:rsidRPr="002A64C4">
        <w:t xml:space="preserve">) </w:t>
      </w:r>
      <w:r w:rsidR="00B70BAF">
        <w:t>Benzene.</w:t>
      </w:r>
      <w:r w:rsidRPr="002A64C4">
        <w:t xml:space="preserve"> </w:t>
      </w:r>
      <w:r w:rsidR="00B70BAF">
        <w:t>Health-based recommended occupational exposure limit</w:t>
      </w:r>
      <w:r w:rsidRPr="002A64C4">
        <w:t>. The Hague: Health Council of the Netherlands; publication no. 2012/32.</w:t>
      </w:r>
    </w:p>
    <w:p w14:paraId="1F7B3251" w14:textId="77777777" w:rsidR="00C11EAA" w:rsidRDefault="00C11EAA" w:rsidP="00084859">
      <w:r>
        <w:t xml:space="preserve">International Agency of research on Cancer (IARC) (2012) Benzene. IARC Monograms on the evaluation of carcinogenic risk to humans. </w:t>
      </w:r>
    </w:p>
    <w:p w14:paraId="5445FFB4" w14:textId="77777777" w:rsidR="00DB48BA" w:rsidRDefault="00DB48BA" w:rsidP="00084859">
      <w:r w:rsidRPr="00DB48BA">
        <w:t xml:space="preserve">National Industrial Chemicals Notification and </w:t>
      </w:r>
      <w:r>
        <w:t>Assessment Scheme (NICNAS) (</w:t>
      </w:r>
      <w:r w:rsidR="00C11EAA">
        <w:t>2018</w:t>
      </w:r>
      <w:r w:rsidRPr="00DB48BA">
        <w:t xml:space="preserve">) </w:t>
      </w:r>
      <w:r>
        <w:t>Benzene – Priority Existing Chemical Report No. 21</w:t>
      </w:r>
    </w:p>
    <w:p w14:paraId="7A682EFE" w14:textId="77777777" w:rsidR="008A076D" w:rsidRDefault="008A076D" w:rsidP="00084859">
      <w:r>
        <w:rPr>
          <w:color w:val="000000"/>
        </w:rPr>
        <w:lastRenderedPageBreak/>
        <w:t>Tenth Adaptation to Technical Progress Commission Regulation (EU) No 2017/776 amending, for the purposes of its adaptation to technical and scientific progress, Regulation (EC) No 1272/2008 of the European Parliament and of the Council on classification, labelling and packaging of substances and mixtures (the CLP Regulation).</w:t>
      </w:r>
    </w:p>
    <w:p w14:paraId="09DFB4DF" w14:textId="77777777" w:rsidR="00C11EAA" w:rsidRDefault="00C11EAA" w:rsidP="00084859">
      <w:r w:rsidRPr="00C11EAA">
        <w:t>US Environmental Protection Agency (US EPA) (2003) Integrated Risk Inform</w:t>
      </w:r>
      <w:r>
        <w:t xml:space="preserve">ation System (IRIS) Chemical Assessment Summary </w:t>
      </w:r>
    </w:p>
    <w:p w14:paraId="662A8662" w14:textId="77777777" w:rsidR="00C11EAA" w:rsidRDefault="00C11EAA" w:rsidP="00C11EAA">
      <w:r w:rsidRPr="00550B2F">
        <w:t xml:space="preserve">US National Institute for Occupational Safety and Health (NIOSH) (1994) </w:t>
      </w:r>
      <w:proofErr w:type="gramStart"/>
      <w:r w:rsidRPr="00550B2F">
        <w:t>Immediately</w:t>
      </w:r>
      <w:proofErr w:type="gramEnd"/>
      <w:r w:rsidRPr="00550B2F">
        <w:t xml:space="preserve"> dangerous to life or health concentrations – </w:t>
      </w:r>
      <w:r>
        <w:t>Benzene.</w:t>
      </w:r>
    </w:p>
    <w:p w14:paraId="0872405C" w14:textId="77777777" w:rsidR="00C11EAA" w:rsidRPr="00351FE0" w:rsidRDefault="00C11EAA" w:rsidP="00084859"/>
    <w:sectPr w:rsidR="00C11EAA" w:rsidRPr="00351FE0" w:rsidSect="00B87D4C">
      <w:headerReference w:type="default" r:id="rId18"/>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77E83C" w16cid:durableId="20E41CBB"/>
  <w16cid:commentId w16cid:paraId="17275E7D" w16cid:durableId="20E418E5"/>
  <w16cid:commentId w16cid:paraId="7EC546B2" w16cid:durableId="20E41CF3"/>
  <w16cid:commentId w16cid:paraId="5C6094A9" w16cid:durableId="20E4175E"/>
  <w16cid:commentId w16cid:paraId="0033FA87" w16cid:durableId="20E41AFF"/>
  <w16cid:commentId w16cid:paraId="651ECC6E" w16cid:durableId="20E41B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3FAA8" w14:textId="77777777" w:rsidR="002E78A4" w:rsidRDefault="002E78A4" w:rsidP="00F43AD5">
      <w:pPr>
        <w:spacing w:after="0" w:line="240" w:lineRule="auto"/>
      </w:pPr>
      <w:r>
        <w:separator/>
      </w:r>
    </w:p>
  </w:endnote>
  <w:endnote w:type="continuationSeparator" w:id="0">
    <w:p w14:paraId="65E9EAA7" w14:textId="77777777" w:rsidR="002E78A4" w:rsidRDefault="002E78A4"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F065" w14:textId="77777777" w:rsidR="00ED2CE1" w:rsidRDefault="00ED2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638A97AF" w14:textId="77777777" w:rsidR="008A36CF" w:rsidRDefault="00667575" w:rsidP="0034744C">
        <w:pPr>
          <w:pStyle w:val="Footer"/>
          <w:rPr>
            <w:sz w:val="18"/>
            <w:szCs w:val="18"/>
          </w:rPr>
        </w:pPr>
        <w:r>
          <w:rPr>
            <w:b/>
            <w:sz w:val="18"/>
            <w:szCs w:val="18"/>
          </w:rPr>
          <w:t>Benzene</w:t>
        </w:r>
        <w:r w:rsidR="008A36CF">
          <w:rPr>
            <w:b/>
            <w:sz w:val="18"/>
            <w:szCs w:val="18"/>
          </w:rPr>
          <w:t xml:space="preserve"> (</w:t>
        </w:r>
        <w:r w:rsidR="0087237A" w:rsidRPr="0087237A">
          <w:rPr>
            <w:b/>
            <w:sz w:val="18"/>
            <w:szCs w:val="18"/>
          </w:rPr>
          <w:t>71-43-2</w:t>
        </w:r>
        <w:proofErr w:type="gramStart"/>
        <w:r w:rsidR="008A36CF">
          <w:rPr>
            <w:b/>
            <w:sz w:val="18"/>
            <w:szCs w:val="18"/>
          </w:rPr>
          <w:t>)</w:t>
        </w:r>
        <w:proofErr w:type="gramEnd"/>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201</w:t>
        </w:r>
        <w:r w:rsidR="00351FE0">
          <w:rPr>
            <w:sz w:val="18"/>
            <w:szCs w:val="18"/>
          </w:rPr>
          <w:t>9</w:t>
        </w:r>
      </w:p>
      <w:p w14:paraId="56EA09FC" w14:textId="198CB0B7"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3A7452">
          <w:rPr>
            <w:noProof/>
            <w:sz w:val="18"/>
            <w:szCs w:val="18"/>
          </w:rPr>
          <w:t>6</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10E6" w14:textId="77777777" w:rsidR="00ED2CE1" w:rsidRDefault="00ED2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FCBD5" w14:textId="77777777" w:rsidR="002E78A4" w:rsidRDefault="002E78A4" w:rsidP="00F43AD5">
      <w:pPr>
        <w:spacing w:after="0" w:line="240" w:lineRule="auto"/>
      </w:pPr>
      <w:r>
        <w:separator/>
      </w:r>
    </w:p>
  </w:footnote>
  <w:footnote w:type="continuationSeparator" w:id="0">
    <w:p w14:paraId="60488139" w14:textId="77777777" w:rsidR="002E78A4" w:rsidRDefault="002E78A4"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8B96" w14:textId="77777777" w:rsidR="00ED2CE1" w:rsidRDefault="00ED2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3BF7" w14:textId="77777777" w:rsidR="008A36CF" w:rsidRDefault="008A36CF" w:rsidP="00F43AD5">
    <w:pPr>
      <w:pStyle w:val="Header"/>
      <w:jc w:val="right"/>
    </w:pPr>
    <w:r>
      <w:rPr>
        <w:noProof/>
        <w:lang w:eastAsia="en-AU"/>
      </w:rPr>
      <w:drawing>
        <wp:inline distT="0" distB="0" distL="0" distR="0" wp14:anchorId="27839741" wp14:editId="7E4E63FD">
          <wp:extent cx="2938272" cy="594360"/>
          <wp:effectExtent l="0" t="0" r="0" b="0"/>
          <wp:docPr id="4" name="Picture 4"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37DD" w14:textId="77777777" w:rsidR="00ED2CE1" w:rsidRDefault="00ED2C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10A6" w14:textId="77777777" w:rsidR="008A36CF" w:rsidRDefault="008A36CF" w:rsidP="00F43A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76E18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C1327"/>
    <w:multiLevelType w:val="hybridMultilevel"/>
    <w:tmpl w:val="DFE4B556"/>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2A0277"/>
    <w:multiLevelType w:val="hybridMultilevel"/>
    <w:tmpl w:val="8130714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A7D59"/>
    <w:multiLevelType w:val="hybridMultilevel"/>
    <w:tmpl w:val="45DC6C2E"/>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6D51B9"/>
    <w:multiLevelType w:val="hybridMultilevel"/>
    <w:tmpl w:val="FF6EDE02"/>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49D6"/>
    <w:rsid w:val="00007B80"/>
    <w:rsid w:val="00010F13"/>
    <w:rsid w:val="00013A22"/>
    <w:rsid w:val="00014C3F"/>
    <w:rsid w:val="00017C82"/>
    <w:rsid w:val="00032B88"/>
    <w:rsid w:val="00046DF5"/>
    <w:rsid w:val="00052060"/>
    <w:rsid w:val="0005574A"/>
    <w:rsid w:val="00055FE1"/>
    <w:rsid w:val="00056EC2"/>
    <w:rsid w:val="00060B48"/>
    <w:rsid w:val="00067F32"/>
    <w:rsid w:val="00071807"/>
    <w:rsid w:val="000803E1"/>
    <w:rsid w:val="00084513"/>
    <w:rsid w:val="00084859"/>
    <w:rsid w:val="00092D94"/>
    <w:rsid w:val="000A63CA"/>
    <w:rsid w:val="000B0868"/>
    <w:rsid w:val="000B352E"/>
    <w:rsid w:val="000B3E12"/>
    <w:rsid w:val="000B3E78"/>
    <w:rsid w:val="000B7B48"/>
    <w:rsid w:val="000B7B89"/>
    <w:rsid w:val="000C096D"/>
    <w:rsid w:val="000C139A"/>
    <w:rsid w:val="000C2053"/>
    <w:rsid w:val="000C248C"/>
    <w:rsid w:val="000D291C"/>
    <w:rsid w:val="000E5A54"/>
    <w:rsid w:val="000E63D3"/>
    <w:rsid w:val="000E67CF"/>
    <w:rsid w:val="0010461E"/>
    <w:rsid w:val="00106FAA"/>
    <w:rsid w:val="00113443"/>
    <w:rsid w:val="001152D0"/>
    <w:rsid w:val="001269A7"/>
    <w:rsid w:val="00126A7C"/>
    <w:rsid w:val="00131092"/>
    <w:rsid w:val="00140E6A"/>
    <w:rsid w:val="001421A9"/>
    <w:rsid w:val="00146032"/>
    <w:rsid w:val="00146545"/>
    <w:rsid w:val="00146B75"/>
    <w:rsid w:val="0015266D"/>
    <w:rsid w:val="0015288A"/>
    <w:rsid w:val="00160F47"/>
    <w:rsid w:val="00177CA1"/>
    <w:rsid w:val="00183823"/>
    <w:rsid w:val="00183942"/>
    <w:rsid w:val="001A009E"/>
    <w:rsid w:val="001A1287"/>
    <w:rsid w:val="001A3859"/>
    <w:rsid w:val="001A3C9D"/>
    <w:rsid w:val="001A43F8"/>
    <w:rsid w:val="001B79E5"/>
    <w:rsid w:val="001C3EFF"/>
    <w:rsid w:val="001D0622"/>
    <w:rsid w:val="001D56F0"/>
    <w:rsid w:val="001D663B"/>
    <w:rsid w:val="001D7B41"/>
    <w:rsid w:val="001E46DA"/>
    <w:rsid w:val="001E7D80"/>
    <w:rsid w:val="001F4B6C"/>
    <w:rsid w:val="001F62CB"/>
    <w:rsid w:val="001F6ED0"/>
    <w:rsid w:val="001F72E6"/>
    <w:rsid w:val="001F73C5"/>
    <w:rsid w:val="001F7AE1"/>
    <w:rsid w:val="002046A6"/>
    <w:rsid w:val="00204956"/>
    <w:rsid w:val="00213640"/>
    <w:rsid w:val="00221547"/>
    <w:rsid w:val="002216FC"/>
    <w:rsid w:val="00222533"/>
    <w:rsid w:val="00222F30"/>
    <w:rsid w:val="00224EE2"/>
    <w:rsid w:val="00227EC7"/>
    <w:rsid w:val="00244AD1"/>
    <w:rsid w:val="002463BC"/>
    <w:rsid w:val="002465CE"/>
    <w:rsid w:val="0025734A"/>
    <w:rsid w:val="00263255"/>
    <w:rsid w:val="00276494"/>
    <w:rsid w:val="00277B0C"/>
    <w:rsid w:val="002A64C4"/>
    <w:rsid w:val="002B1A2C"/>
    <w:rsid w:val="002B2C9E"/>
    <w:rsid w:val="002C1D25"/>
    <w:rsid w:val="002C34F2"/>
    <w:rsid w:val="002C58FF"/>
    <w:rsid w:val="002C7AFE"/>
    <w:rsid w:val="002D05D2"/>
    <w:rsid w:val="002E0D61"/>
    <w:rsid w:val="002E4C7B"/>
    <w:rsid w:val="002E78A4"/>
    <w:rsid w:val="0030740C"/>
    <w:rsid w:val="00315833"/>
    <w:rsid w:val="00315A27"/>
    <w:rsid w:val="003215EE"/>
    <w:rsid w:val="003224BF"/>
    <w:rsid w:val="003241A8"/>
    <w:rsid w:val="003253F0"/>
    <w:rsid w:val="00332B18"/>
    <w:rsid w:val="003337DA"/>
    <w:rsid w:val="00334EFB"/>
    <w:rsid w:val="00335A29"/>
    <w:rsid w:val="00335CDE"/>
    <w:rsid w:val="003365A5"/>
    <w:rsid w:val="00347192"/>
    <w:rsid w:val="0034744C"/>
    <w:rsid w:val="00351FE0"/>
    <w:rsid w:val="00352615"/>
    <w:rsid w:val="0035412B"/>
    <w:rsid w:val="003567A8"/>
    <w:rsid w:val="00362895"/>
    <w:rsid w:val="00370DBF"/>
    <w:rsid w:val="00386093"/>
    <w:rsid w:val="003904A4"/>
    <w:rsid w:val="00391841"/>
    <w:rsid w:val="00391B6D"/>
    <w:rsid w:val="00394922"/>
    <w:rsid w:val="003A0E32"/>
    <w:rsid w:val="003A2578"/>
    <w:rsid w:val="003A2B94"/>
    <w:rsid w:val="003A7452"/>
    <w:rsid w:val="003B2D51"/>
    <w:rsid w:val="003B387D"/>
    <w:rsid w:val="003C0D58"/>
    <w:rsid w:val="003C2F22"/>
    <w:rsid w:val="003D42C6"/>
    <w:rsid w:val="003D4FA3"/>
    <w:rsid w:val="003E0807"/>
    <w:rsid w:val="003E51FB"/>
    <w:rsid w:val="003E6B39"/>
    <w:rsid w:val="003F07E1"/>
    <w:rsid w:val="004030BC"/>
    <w:rsid w:val="00403161"/>
    <w:rsid w:val="00403F7D"/>
    <w:rsid w:val="00406785"/>
    <w:rsid w:val="004079B4"/>
    <w:rsid w:val="004149C6"/>
    <w:rsid w:val="00417A56"/>
    <w:rsid w:val="00420957"/>
    <w:rsid w:val="00422A10"/>
    <w:rsid w:val="00424326"/>
    <w:rsid w:val="00430179"/>
    <w:rsid w:val="004414B5"/>
    <w:rsid w:val="00444482"/>
    <w:rsid w:val="00444B42"/>
    <w:rsid w:val="00445E44"/>
    <w:rsid w:val="004509E2"/>
    <w:rsid w:val="004515EE"/>
    <w:rsid w:val="004516B2"/>
    <w:rsid w:val="004529F0"/>
    <w:rsid w:val="00455B15"/>
    <w:rsid w:val="00460A03"/>
    <w:rsid w:val="0046560F"/>
    <w:rsid w:val="0047294D"/>
    <w:rsid w:val="00472A11"/>
    <w:rsid w:val="00472AAD"/>
    <w:rsid w:val="00474E33"/>
    <w:rsid w:val="00476803"/>
    <w:rsid w:val="00485BFD"/>
    <w:rsid w:val="00486437"/>
    <w:rsid w:val="004867A2"/>
    <w:rsid w:val="004873F2"/>
    <w:rsid w:val="00490D4C"/>
    <w:rsid w:val="00493A35"/>
    <w:rsid w:val="0049527A"/>
    <w:rsid w:val="004966BF"/>
    <w:rsid w:val="00497984"/>
    <w:rsid w:val="004A0BBA"/>
    <w:rsid w:val="004A5088"/>
    <w:rsid w:val="004B653F"/>
    <w:rsid w:val="004C1E3F"/>
    <w:rsid w:val="004C23F4"/>
    <w:rsid w:val="004C3475"/>
    <w:rsid w:val="004C4B4B"/>
    <w:rsid w:val="004C58B6"/>
    <w:rsid w:val="004D16A3"/>
    <w:rsid w:val="004D2309"/>
    <w:rsid w:val="004D4AA1"/>
    <w:rsid w:val="004D6D68"/>
    <w:rsid w:val="004E5EDD"/>
    <w:rsid w:val="004F448A"/>
    <w:rsid w:val="004F493D"/>
    <w:rsid w:val="004F65E8"/>
    <w:rsid w:val="0050005E"/>
    <w:rsid w:val="00502B88"/>
    <w:rsid w:val="005142C4"/>
    <w:rsid w:val="0051509C"/>
    <w:rsid w:val="005272E2"/>
    <w:rsid w:val="005278DC"/>
    <w:rsid w:val="0053108F"/>
    <w:rsid w:val="00531C79"/>
    <w:rsid w:val="00532B56"/>
    <w:rsid w:val="00534B10"/>
    <w:rsid w:val="005446A2"/>
    <w:rsid w:val="00544D2F"/>
    <w:rsid w:val="00551BD8"/>
    <w:rsid w:val="00561984"/>
    <w:rsid w:val="00581055"/>
    <w:rsid w:val="00591E38"/>
    <w:rsid w:val="005A19C5"/>
    <w:rsid w:val="005A3034"/>
    <w:rsid w:val="005A462D"/>
    <w:rsid w:val="005B253B"/>
    <w:rsid w:val="005B771D"/>
    <w:rsid w:val="005C32C7"/>
    <w:rsid w:val="005C3DE1"/>
    <w:rsid w:val="005C5D16"/>
    <w:rsid w:val="005D3193"/>
    <w:rsid w:val="005D4A6E"/>
    <w:rsid w:val="005E6979"/>
    <w:rsid w:val="005E75CB"/>
    <w:rsid w:val="005F348C"/>
    <w:rsid w:val="006013C1"/>
    <w:rsid w:val="0060669E"/>
    <w:rsid w:val="00610F2E"/>
    <w:rsid w:val="00611399"/>
    <w:rsid w:val="00624C4E"/>
    <w:rsid w:val="00625200"/>
    <w:rsid w:val="00635C01"/>
    <w:rsid w:val="006363A8"/>
    <w:rsid w:val="00636DB7"/>
    <w:rsid w:val="00650905"/>
    <w:rsid w:val="006532ED"/>
    <w:rsid w:val="006549F2"/>
    <w:rsid w:val="006567B7"/>
    <w:rsid w:val="00657BFB"/>
    <w:rsid w:val="00657D2C"/>
    <w:rsid w:val="0066333C"/>
    <w:rsid w:val="006639B4"/>
    <w:rsid w:val="006650FE"/>
    <w:rsid w:val="00665545"/>
    <w:rsid w:val="00667575"/>
    <w:rsid w:val="0067305D"/>
    <w:rsid w:val="00677D9B"/>
    <w:rsid w:val="006809E1"/>
    <w:rsid w:val="006867F3"/>
    <w:rsid w:val="00687890"/>
    <w:rsid w:val="006901A2"/>
    <w:rsid w:val="00690368"/>
    <w:rsid w:val="0069079C"/>
    <w:rsid w:val="00690B53"/>
    <w:rsid w:val="00695B72"/>
    <w:rsid w:val="006A323C"/>
    <w:rsid w:val="006B160A"/>
    <w:rsid w:val="006B4E6C"/>
    <w:rsid w:val="006B50B6"/>
    <w:rsid w:val="006B5A8E"/>
    <w:rsid w:val="006B6912"/>
    <w:rsid w:val="006D79EA"/>
    <w:rsid w:val="006E5D05"/>
    <w:rsid w:val="006F0AEA"/>
    <w:rsid w:val="00701053"/>
    <w:rsid w:val="00701507"/>
    <w:rsid w:val="00703CCD"/>
    <w:rsid w:val="00704CAD"/>
    <w:rsid w:val="00711E05"/>
    <w:rsid w:val="00714021"/>
    <w:rsid w:val="00716A0F"/>
    <w:rsid w:val="00717D45"/>
    <w:rsid w:val="007208F7"/>
    <w:rsid w:val="007218AF"/>
    <w:rsid w:val="007365D1"/>
    <w:rsid w:val="00740E0E"/>
    <w:rsid w:val="00750212"/>
    <w:rsid w:val="00754779"/>
    <w:rsid w:val="0075716D"/>
    <w:rsid w:val="00765852"/>
    <w:rsid w:val="00765F14"/>
    <w:rsid w:val="00770E31"/>
    <w:rsid w:val="007770F1"/>
    <w:rsid w:val="00783FB1"/>
    <w:rsid w:val="00785CDD"/>
    <w:rsid w:val="00791847"/>
    <w:rsid w:val="007925F0"/>
    <w:rsid w:val="007939B3"/>
    <w:rsid w:val="00793D4C"/>
    <w:rsid w:val="0079509C"/>
    <w:rsid w:val="00796708"/>
    <w:rsid w:val="007B1B42"/>
    <w:rsid w:val="007B2D73"/>
    <w:rsid w:val="007B6887"/>
    <w:rsid w:val="007B7C43"/>
    <w:rsid w:val="007C07DC"/>
    <w:rsid w:val="007C30EB"/>
    <w:rsid w:val="007C3975"/>
    <w:rsid w:val="007E063C"/>
    <w:rsid w:val="007E2A4B"/>
    <w:rsid w:val="007E307D"/>
    <w:rsid w:val="007E6A4E"/>
    <w:rsid w:val="007E6C94"/>
    <w:rsid w:val="007F1005"/>
    <w:rsid w:val="007F25E0"/>
    <w:rsid w:val="007F4224"/>
    <w:rsid w:val="007F5328"/>
    <w:rsid w:val="007F616A"/>
    <w:rsid w:val="00804F5A"/>
    <w:rsid w:val="00810C6D"/>
    <w:rsid w:val="00812887"/>
    <w:rsid w:val="00820E17"/>
    <w:rsid w:val="00826F21"/>
    <w:rsid w:val="00834CC8"/>
    <w:rsid w:val="00835E00"/>
    <w:rsid w:val="00837113"/>
    <w:rsid w:val="008414E4"/>
    <w:rsid w:val="00843E21"/>
    <w:rsid w:val="0084508E"/>
    <w:rsid w:val="00857A8A"/>
    <w:rsid w:val="00862236"/>
    <w:rsid w:val="008630EE"/>
    <w:rsid w:val="00864D13"/>
    <w:rsid w:val="00871CD5"/>
    <w:rsid w:val="0087237A"/>
    <w:rsid w:val="008745A2"/>
    <w:rsid w:val="008768A8"/>
    <w:rsid w:val="0088798F"/>
    <w:rsid w:val="00887D82"/>
    <w:rsid w:val="00887E4B"/>
    <w:rsid w:val="008915C8"/>
    <w:rsid w:val="008A076D"/>
    <w:rsid w:val="008A36CF"/>
    <w:rsid w:val="008A3BC4"/>
    <w:rsid w:val="008A4CA5"/>
    <w:rsid w:val="008B403C"/>
    <w:rsid w:val="008B7983"/>
    <w:rsid w:val="008C2511"/>
    <w:rsid w:val="008D026D"/>
    <w:rsid w:val="008D23AB"/>
    <w:rsid w:val="008D4B8B"/>
    <w:rsid w:val="008D5A78"/>
    <w:rsid w:val="008E7B64"/>
    <w:rsid w:val="008F5955"/>
    <w:rsid w:val="008F5DCD"/>
    <w:rsid w:val="00900951"/>
    <w:rsid w:val="009118A6"/>
    <w:rsid w:val="0091482F"/>
    <w:rsid w:val="00916909"/>
    <w:rsid w:val="00916EC0"/>
    <w:rsid w:val="00920467"/>
    <w:rsid w:val="00921DE7"/>
    <w:rsid w:val="0093041A"/>
    <w:rsid w:val="00930714"/>
    <w:rsid w:val="00931B03"/>
    <w:rsid w:val="009323B9"/>
    <w:rsid w:val="00932DCE"/>
    <w:rsid w:val="0093327E"/>
    <w:rsid w:val="00934028"/>
    <w:rsid w:val="0093760E"/>
    <w:rsid w:val="00941649"/>
    <w:rsid w:val="00946044"/>
    <w:rsid w:val="0094660B"/>
    <w:rsid w:val="00946A33"/>
    <w:rsid w:val="0095260E"/>
    <w:rsid w:val="009578DD"/>
    <w:rsid w:val="00961124"/>
    <w:rsid w:val="009621B6"/>
    <w:rsid w:val="00965F92"/>
    <w:rsid w:val="00967575"/>
    <w:rsid w:val="00974F2D"/>
    <w:rsid w:val="00977524"/>
    <w:rsid w:val="00977E88"/>
    <w:rsid w:val="00984920"/>
    <w:rsid w:val="0099303A"/>
    <w:rsid w:val="009971C2"/>
    <w:rsid w:val="009A1254"/>
    <w:rsid w:val="009A7465"/>
    <w:rsid w:val="009B2FF2"/>
    <w:rsid w:val="009B380C"/>
    <w:rsid w:val="009B4227"/>
    <w:rsid w:val="009B4843"/>
    <w:rsid w:val="009B6543"/>
    <w:rsid w:val="009C199D"/>
    <w:rsid w:val="009C278F"/>
    <w:rsid w:val="009C2B94"/>
    <w:rsid w:val="009C5874"/>
    <w:rsid w:val="009D3B5A"/>
    <w:rsid w:val="009E0C05"/>
    <w:rsid w:val="009E0D1C"/>
    <w:rsid w:val="009E2214"/>
    <w:rsid w:val="009E355A"/>
    <w:rsid w:val="009E63E2"/>
    <w:rsid w:val="009F05CF"/>
    <w:rsid w:val="009F0F3A"/>
    <w:rsid w:val="00A01D0C"/>
    <w:rsid w:val="00A02DEE"/>
    <w:rsid w:val="00A0643F"/>
    <w:rsid w:val="00A067EE"/>
    <w:rsid w:val="00A10FCE"/>
    <w:rsid w:val="00A16D91"/>
    <w:rsid w:val="00A174CC"/>
    <w:rsid w:val="00A2073D"/>
    <w:rsid w:val="00A20751"/>
    <w:rsid w:val="00A27E2D"/>
    <w:rsid w:val="00A31D99"/>
    <w:rsid w:val="00A357BA"/>
    <w:rsid w:val="00A35ADC"/>
    <w:rsid w:val="00A402A3"/>
    <w:rsid w:val="00A53681"/>
    <w:rsid w:val="00A633D4"/>
    <w:rsid w:val="00A6461A"/>
    <w:rsid w:val="00A84504"/>
    <w:rsid w:val="00A8672F"/>
    <w:rsid w:val="00A93057"/>
    <w:rsid w:val="00A968B0"/>
    <w:rsid w:val="00AB2672"/>
    <w:rsid w:val="00AB2817"/>
    <w:rsid w:val="00AB43C4"/>
    <w:rsid w:val="00AC32E7"/>
    <w:rsid w:val="00AC3A9F"/>
    <w:rsid w:val="00AC6D2F"/>
    <w:rsid w:val="00AE2745"/>
    <w:rsid w:val="00AE2F64"/>
    <w:rsid w:val="00AE329E"/>
    <w:rsid w:val="00AF42CB"/>
    <w:rsid w:val="00AF483F"/>
    <w:rsid w:val="00AF5E07"/>
    <w:rsid w:val="00AF5F06"/>
    <w:rsid w:val="00AF63B5"/>
    <w:rsid w:val="00B00A25"/>
    <w:rsid w:val="00B1422A"/>
    <w:rsid w:val="00B1765C"/>
    <w:rsid w:val="00B213C4"/>
    <w:rsid w:val="00B27884"/>
    <w:rsid w:val="00B34674"/>
    <w:rsid w:val="00B40C60"/>
    <w:rsid w:val="00B465FC"/>
    <w:rsid w:val="00B479A9"/>
    <w:rsid w:val="00B52EDF"/>
    <w:rsid w:val="00B70BAF"/>
    <w:rsid w:val="00B71188"/>
    <w:rsid w:val="00B76A41"/>
    <w:rsid w:val="00B87D4C"/>
    <w:rsid w:val="00B93646"/>
    <w:rsid w:val="00BA0B38"/>
    <w:rsid w:val="00BA1DBB"/>
    <w:rsid w:val="00BA4510"/>
    <w:rsid w:val="00BA529A"/>
    <w:rsid w:val="00BB612A"/>
    <w:rsid w:val="00BD499F"/>
    <w:rsid w:val="00BD56DE"/>
    <w:rsid w:val="00BF2406"/>
    <w:rsid w:val="00C11EAA"/>
    <w:rsid w:val="00C16315"/>
    <w:rsid w:val="00C2394F"/>
    <w:rsid w:val="00C3091E"/>
    <w:rsid w:val="00C40FF1"/>
    <w:rsid w:val="00C419E2"/>
    <w:rsid w:val="00C450BC"/>
    <w:rsid w:val="00C5020E"/>
    <w:rsid w:val="00C57452"/>
    <w:rsid w:val="00C61EDF"/>
    <w:rsid w:val="00C6239D"/>
    <w:rsid w:val="00C639E8"/>
    <w:rsid w:val="00C6594B"/>
    <w:rsid w:val="00C67FFB"/>
    <w:rsid w:val="00C7155E"/>
    <w:rsid w:val="00C71D1E"/>
    <w:rsid w:val="00C71D7D"/>
    <w:rsid w:val="00C74833"/>
    <w:rsid w:val="00C76E74"/>
    <w:rsid w:val="00C84254"/>
    <w:rsid w:val="00C850A0"/>
    <w:rsid w:val="00C85A86"/>
    <w:rsid w:val="00C978F0"/>
    <w:rsid w:val="00CA58FE"/>
    <w:rsid w:val="00CB1CB1"/>
    <w:rsid w:val="00CB6BC1"/>
    <w:rsid w:val="00CB6CB8"/>
    <w:rsid w:val="00CC1A68"/>
    <w:rsid w:val="00CC2123"/>
    <w:rsid w:val="00CD2BFD"/>
    <w:rsid w:val="00CE172F"/>
    <w:rsid w:val="00CE5AD6"/>
    <w:rsid w:val="00CE617F"/>
    <w:rsid w:val="00CE78EF"/>
    <w:rsid w:val="00CF2AC4"/>
    <w:rsid w:val="00CF2D3C"/>
    <w:rsid w:val="00D048F7"/>
    <w:rsid w:val="00D0517E"/>
    <w:rsid w:val="00D11D81"/>
    <w:rsid w:val="00D140FC"/>
    <w:rsid w:val="00D21D8C"/>
    <w:rsid w:val="00D239C0"/>
    <w:rsid w:val="00D31357"/>
    <w:rsid w:val="00D33220"/>
    <w:rsid w:val="00D334D1"/>
    <w:rsid w:val="00D42B95"/>
    <w:rsid w:val="00D44C89"/>
    <w:rsid w:val="00D516CD"/>
    <w:rsid w:val="00D56670"/>
    <w:rsid w:val="00D668E6"/>
    <w:rsid w:val="00D70670"/>
    <w:rsid w:val="00D74D80"/>
    <w:rsid w:val="00D76624"/>
    <w:rsid w:val="00D87570"/>
    <w:rsid w:val="00D91CB9"/>
    <w:rsid w:val="00D97989"/>
    <w:rsid w:val="00D97D8D"/>
    <w:rsid w:val="00DA352E"/>
    <w:rsid w:val="00DB48BA"/>
    <w:rsid w:val="00DB4CD9"/>
    <w:rsid w:val="00DC7694"/>
    <w:rsid w:val="00DD1BF6"/>
    <w:rsid w:val="00DD2F9B"/>
    <w:rsid w:val="00DE2513"/>
    <w:rsid w:val="00DE26E8"/>
    <w:rsid w:val="00DF6F36"/>
    <w:rsid w:val="00E0084C"/>
    <w:rsid w:val="00E025AB"/>
    <w:rsid w:val="00E02B23"/>
    <w:rsid w:val="00E06F40"/>
    <w:rsid w:val="00E07CE8"/>
    <w:rsid w:val="00E26A07"/>
    <w:rsid w:val="00E32595"/>
    <w:rsid w:val="00E3605B"/>
    <w:rsid w:val="00E37CFD"/>
    <w:rsid w:val="00E41A26"/>
    <w:rsid w:val="00E46BCB"/>
    <w:rsid w:val="00E51CAF"/>
    <w:rsid w:val="00E60F04"/>
    <w:rsid w:val="00E62AAC"/>
    <w:rsid w:val="00E67C2F"/>
    <w:rsid w:val="00E67EF5"/>
    <w:rsid w:val="00E804EA"/>
    <w:rsid w:val="00E80A71"/>
    <w:rsid w:val="00E82337"/>
    <w:rsid w:val="00E92499"/>
    <w:rsid w:val="00E949AF"/>
    <w:rsid w:val="00E96077"/>
    <w:rsid w:val="00EA0A06"/>
    <w:rsid w:val="00EA18BD"/>
    <w:rsid w:val="00EA6243"/>
    <w:rsid w:val="00EA74AB"/>
    <w:rsid w:val="00EB3D1B"/>
    <w:rsid w:val="00EB73F4"/>
    <w:rsid w:val="00ED1D89"/>
    <w:rsid w:val="00ED2CE1"/>
    <w:rsid w:val="00ED66BC"/>
    <w:rsid w:val="00EF233A"/>
    <w:rsid w:val="00EF303E"/>
    <w:rsid w:val="00EF3A40"/>
    <w:rsid w:val="00EF7F78"/>
    <w:rsid w:val="00F01B08"/>
    <w:rsid w:val="00F01C4D"/>
    <w:rsid w:val="00F053FA"/>
    <w:rsid w:val="00F10C97"/>
    <w:rsid w:val="00F11C71"/>
    <w:rsid w:val="00F16019"/>
    <w:rsid w:val="00F20E68"/>
    <w:rsid w:val="00F22093"/>
    <w:rsid w:val="00F236DF"/>
    <w:rsid w:val="00F316BC"/>
    <w:rsid w:val="00F43AD5"/>
    <w:rsid w:val="00F4402E"/>
    <w:rsid w:val="00F47B54"/>
    <w:rsid w:val="00F56DD0"/>
    <w:rsid w:val="00F6491C"/>
    <w:rsid w:val="00F67BBB"/>
    <w:rsid w:val="00F70DC0"/>
    <w:rsid w:val="00F87D92"/>
    <w:rsid w:val="00F90AA7"/>
    <w:rsid w:val="00F92498"/>
    <w:rsid w:val="00F9496B"/>
    <w:rsid w:val="00F970C9"/>
    <w:rsid w:val="00FA06A8"/>
    <w:rsid w:val="00FA3DF5"/>
    <w:rsid w:val="00FA741F"/>
    <w:rsid w:val="00FB4E07"/>
    <w:rsid w:val="00FB755A"/>
    <w:rsid w:val="00FC60A2"/>
    <w:rsid w:val="00FD1871"/>
    <w:rsid w:val="00FD3110"/>
    <w:rsid w:val="00FE28AE"/>
    <w:rsid w:val="00FF303B"/>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62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paragraph" w:styleId="ListBullet">
    <w:name w:val="List Bullet"/>
    <w:basedOn w:val="Normal"/>
    <w:uiPriority w:val="99"/>
    <w:unhideWhenUsed/>
    <w:rsid w:val="00146032"/>
    <w:pPr>
      <w:numPr>
        <w:numId w:val="1"/>
      </w:numPr>
      <w:contextualSpacing/>
    </w:pPr>
  </w:style>
  <w:style w:type="character" w:styleId="CommentReference">
    <w:name w:val="annotation reference"/>
    <w:basedOn w:val="DefaultParagraphFont"/>
    <w:uiPriority w:val="99"/>
    <w:semiHidden/>
    <w:unhideWhenUsed/>
    <w:rsid w:val="00635C01"/>
    <w:rPr>
      <w:sz w:val="16"/>
      <w:szCs w:val="16"/>
    </w:rPr>
  </w:style>
  <w:style w:type="paragraph" w:styleId="CommentText">
    <w:name w:val="annotation text"/>
    <w:basedOn w:val="Normal"/>
    <w:link w:val="CommentTextChar"/>
    <w:uiPriority w:val="99"/>
    <w:semiHidden/>
    <w:unhideWhenUsed/>
    <w:rsid w:val="00635C01"/>
    <w:pPr>
      <w:spacing w:line="240" w:lineRule="auto"/>
    </w:pPr>
    <w:rPr>
      <w:szCs w:val="20"/>
    </w:rPr>
  </w:style>
  <w:style w:type="character" w:customStyle="1" w:styleId="CommentTextChar">
    <w:name w:val="Comment Text Char"/>
    <w:basedOn w:val="DefaultParagraphFont"/>
    <w:link w:val="CommentText"/>
    <w:uiPriority w:val="99"/>
    <w:semiHidden/>
    <w:rsid w:val="00635C01"/>
    <w:rPr>
      <w:szCs w:val="20"/>
    </w:rPr>
  </w:style>
  <w:style w:type="paragraph" w:styleId="CommentSubject">
    <w:name w:val="annotation subject"/>
    <w:basedOn w:val="CommentText"/>
    <w:next w:val="CommentText"/>
    <w:link w:val="CommentSubjectChar"/>
    <w:uiPriority w:val="99"/>
    <w:semiHidden/>
    <w:unhideWhenUsed/>
    <w:rsid w:val="00635C01"/>
    <w:rPr>
      <w:b/>
      <w:bCs/>
    </w:rPr>
  </w:style>
  <w:style w:type="character" w:customStyle="1" w:styleId="CommentSubjectChar">
    <w:name w:val="Comment Subject Char"/>
    <w:basedOn w:val="CommentTextChar"/>
    <w:link w:val="CommentSubject"/>
    <w:uiPriority w:val="99"/>
    <w:semiHidden/>
    <w:rsid w:val="00635C01"/>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23227">
      <w:bodyDiv w:val="1"/>
      <w:marLeft w:val="0"/>
      <w:marRight w:val="0"/>
      <w:marTop w:val="0"/>
      <w:marBottom w:val="0"/>
      <w:divBdr>
        <w:top w:val="none" w:sz="0" w:space="0" w:color="auto"/>
        <w:left w:val="none" w:sz="0" w:space="0" w:color="auto"/>
        <w:bottom w:val="none" w:sz="0" w:space="0" w:color="auto"/>
        <w:right w:val="none" w:sz="0" w:space="0" w:color="auto"/>
      </w:divBdr>
    </w:div>
    <w:div w:id="546532015">
      <w:bodyDiv w:val="1"/>
      <w:marLeft w:val="0"/>
      <w:marRight w:val="0"/>
      <w:marTop w:val="0"/>
      <w:marBottom w:val="0"/>
      <w:divBdr>
        <w:top w:val="none" w:sz="0" w:space="0" w:color="auto"/>
        <w:left w:val="none" w:sz="0" w:space="0" w:color="auto"/>
        <w:bottom w:val="none" w:sz="0" w:space="0" w:color="auto"/>
        <w:right w:val="none" w:sz="0" w:space="0" w:color="auto"/>
      </w:divBdr>
    </w:div>
    <w:div w:id="1352337356">
      <w:bodyDiv w:val="1"/>
      <w:marLeft w:val="0"/>
      <w:marRight w:val="0"/>
      <w:marTop w:val="0"/>
      <w:marBottom w:val="0"/>
      <w:divBdr>
        <w:top w:val="none" w:sz="0" w:space="0" w:color="auto"/>
        <w:left w:val="none" w:sz="0" w:space="0" w:color="auto"/>
        <w:bottom w:val="none" w:sz="0" w:space="0" w:color="auto"/>
        <w:right w:val="none" w:sz="0" w:space="0" w:color="auto"/>
      </w:divBdr>
    </w:div>
    <w:div w:id="155184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CFFDE270CB50461B826B0194984892C5"/>
        <w:category>
          <w:name w:val="General"/>
          <w:gallery w:val="placeholder"/>
        </w:category>
        <w:types>
          <w:type w:val="bbPlcHdr"/>
        </w:types>
        <w:behaviors>
          <w:behavior w:val="content"/>
        </w:behaviors>
        <w:guid w:val="{FD5D30F8-F751-45C7-BEFB-A7D3397CEB99}"/>
      </w:docPartPr>
      <w:docPartBody>
        <w:p w:rsidR="00D21A9F" w:rsidRDefault="00D21A9F">
          <w:pPr>
            <w:pStyle w:val="CFFDE270CB50461B826B0194984892C5"/>
          </w:pPr>
          <w:r w:rsidRPr="00724F1C">
            <w:rPr>
              <w:rStyle w:val="PlaceholderText"/>
            </w:rPr>
            <w:t>Choose an item.</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A5DF8B57C62A4A318DD9F85FF9823B8B"/>
        <w:category>
          <w:name w:val="General"/>
          <w:gallery w:val="placeholder"/>
        </w:category>
        <w:types>
          <w:type w:val="bbPlcHdr"/>
        </w:types>
        <w:behaviors>
          <w:behavior w:val="content"/>
        </w:behaviors>
        <w:guid w:val="{1C1A5A40-8F50-4514-9521-E28BB001996C}"/>
      </w:docPartPr>
      <w:docPartBody>
        <w:p w:rsidR="00CF318B" w:rsidRDefault="00E80739" w:rsidP="00E80739">
          <w:pPr>
            <w:pStyle w:val="A5DF8B57C62A4A318DD9F85FF9823B8B"/>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0313B4"/>
    <w:rsid w:val="00150283"/>
    <w:rsid w:val="00191A3F"/>
    <w:rsid w:val="00AE0DC8"/>
    <w:rsid w:val="00C452FE"/>
    <w:rsid w:val="00CF318B"/>
    <w:rsid w:val="00D2151E"/>
    <w:rsid w:val="00D21A9F"/>
    <w:rsid w:val="00D40D19"/>
    <w:rsid w:val="00D626BD"/>
    <w:rsid w:val="00E80739"/>
    <w:rsid w:val="00FC0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739"/>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FB0106691FBF4FDAB8C82A2FD6611FDB">
    <w:name w:val="FB0106691FBF4FDAB8C82A2FD6611FDB"/>
    <w:rsid w:val="00D2151E"/>
  </w:style>
  <w:style w:type="paragraph" w:customStyle="1" w:styleId="2E71A9404B8E421FA26D89DB6904EEC1">
    <w:name w:val="2E71A9404B8E421FA26D89DB6904EEC1"/>
    <w:rsid w:val="00D2151E"/>
  </w:style>
  <w:style w:type="paragraph" w:customStyle="1" w:styleId="D4EF748732AE479E9AF897EE5CEC762C">
    <w:name w:val="D4EF748732AE479E9AF897EE5CEC762C"/>
    <w:rsid w:val="00D2151E"/>
  </w:style>
  <w:style w:type="paragraph" w:customStyle="1" w:styleId="01946C69704F410A95229E0AE866A03E">
    <w:name w:val="01946C69704F410A95229E0AE866A03E"/>
    <w:rsid w:val="00D2151E"/>
  </w:style>
  <w:style w:type="paragraph" w:customStyle="1" w:styleId="75A830C9F25641E7B032EBE10F7521BE">
    <w:name w:val="75A830C9F25641E7B032EBE10F7521BE"/>
    <w:rsid w:val="00D2151E"/>
  </w:style>
  <w:style w:type="paragraph" w:customStyle="1" w:styleId="CD8AFDA123A74794AED80C8A1AA060AC">
    <w:name w:val="CD8AFDA123A74794AED80C8A1AA060AC"/>
    <w:rsid w:val="00D40D19"/>
  </w:style>
  <w:style w:type="paragraph" w:customStyle="1" w:styleId="D45D3716E1D5490CA562620DE0C923B3">
    <w:name w:val="D45D3716E1D5490CA562620DE0C923B3"/>
    <w:rsid w:val="00D40D19"/>
  </w:style>
  <w:style w:type="paragraph" w:customStyle="1" w:styleId="8ED02CBDAA934BDFB51ADD03E444D452">
    <w:name w:val="8ED02CBDAA934BDFB51ADD03E444D452"/>
    <w:rsid w:val="00D40D19"/>
  </w:style>
  <w:style w:type="paragraph" w:customStyle="1" w:styleId="335364F2A1A24F4D9F42DABBCCF7090D">
    <w:name w:val="335364F2A1A24F4D9F42DABBCCF7090D"/>
    <w:rsid w:val="00D40D19"/>
  </w:style>
  <w:style w:type="paragraph" w:customStyle="1" w:styleId="A5DF8B57C62A4A318DD9F85FF9823B8B">
    <w:name w:val="A5DF8B57C62A4A318DD9F85FF9823B8B"/>
    <w:rsid w:val="00E80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7DA5-1B38-4FBE-959C-3DC21779BBBA}">
  <ds:schemaRefs>
    <ds:schemaRef ds:uri="http://schemas.openxmlformats.org/package/2006/metadata/core-properties"/>
    <ds:schemaRef ds:uri="http://purl.org/dc/dcmitype/"/>
    <ds:schemaRef ds:uri="bf54d604-3e62-4e70-ba33-9e9084b96a66"/>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481C1AC-5FA5-4C68-9C0C-3FE4EE7BD31D}">
  <ds:schemaRefs>
    <ds:schemaRef ds:uri="http://schemas.microsoft.com/sharepoint/v3/contenttype/forms"/>
  </ds:schemaRefs>
</ds:datastoreItem>
</file>

<file path=customXml/itemProps3.xml><?xml version="1.0" encoding="utf-8"?>
<ds:datastoreItem xmlns:ds="http://schemas.openxmlformats.org/officeDocument/2006/customXml" ds:itemID="{314DD862-6B6E-4C48-87D4-FF206DC19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0C138-8282-46E3-B365-0CC46253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C9988884.dotm</Template>
  <TotalTime>0</TotalTime>
  <Pages>6</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2019-07-08T00:06:00Z</dcterms:created>
  <dcterms:modified xsi:type="dcterms:W3CDTF">2019-08-21T00:11:00Z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