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A299913" w14:textId="77777777" w:rsidR="00BD499F" w:rsidRPr="004C23F4" w:rsidRDefault="00CF03B3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Benzidine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5C728D52" w14:textId="77777777" w:rsidTr="008D5826">
        <w:trPr>
          <w:cantSplit/>
          <w:tblHeader/>
        </w:trPr>
        <w:tc>
          <w:tcPr>
            <w:tcW w:w="3976" w:type="dxa"/>
          </w:tcPr>
          <w:p w14:paraId="58E26F4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0" w:type="dxa"/>
          </w:tcPr>
          <w:p w14:paraId="01D4D16A" w14:textId="77777777" w:rsidR="00F43AD5" w:rsidRPr="00717D45" w:rsidRDefault="00CF03B3" w:rsidP="00B76A41">
            <w:pPr>
              <w:pStyle w:val="Tablefont"/>
            </w:pPr>
            <w:r>
              <w:t>92-87-5</w:t>
            </w:r>
          </w:p>
        </w:tc>
      </w:tr>
      <w:tr w:rsidR="00F43AD5" w:rsidRPr="004C23F4" w14:paraId="2B085ECD" w14:textId="77777777" w:rsidTr="008D5826">
        <w:trPr>
          <w:cantSplit/>
        </w:trPr>
        <w:tc>
          <w:tcPr>
            <w:tcW w:w="3976" w:type="dxa"/>
          </w:tcPr>
          <w:p w14:paraId="31A47D6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0" w:type="dxa"/>
          </w:tcPr>
          <w:p w14:paraId="0E6A9CA7" w14:textId="77777777" w:rsidR="00F43AD5" w:rsidRPr="00717D45" w:rsidRDefault="006344B2" w:rsidP="007D7C84">
            <w:pPr>
              <w:pStyle w:val="Tablefont"/>
            </w:pPr>
            <w:r>
              <w:t>4,4'-Bianiline,</w:t>
            </w:r>
            <w:r w:rsidR="00FA22D8">
              <w:t xml:space="preserve"> 4,4'-b</w:t>
            </w:r>
            <w:r w:rsidR="00CF03B3">
              <w:t>iphe</w:t>
            </w:r>
            <w:r w:rsidR="00FA22D8">
              <w:t xml:space="preserve">nyldiamine, </w:t>
            </w:r>
            <w:r w:rsidR="00884DC1">
              <w:br/>
            </w:r>
            <w:r w:rsidR="00FA22D8">
              <w:t>4,4'-d</w:t>
            </w:r>
            <w:r>
              <w:t>iaminobipheny,</w:t>
            </w:r>
            <w:r w:rsidR="00FA22D8">
              <w:t xml:space="preserve"> 4,4'- </w:t>
            </w:r>
            <w:proofErr w:type="spellStart"/>
            <w:r w:rsidR="00FA22D8">
              <w:t>d</w:t>
            </w:r>
            <w:r w:rsidR="00CF03B3">
              <w:t>iphenylenediamine</w:t>
            </w:r>
            <w:proofErr w:type="spellEnd"/>
            <w:r w:rsidR="007D7C84">
              <w:t xml:space="preserve"> </w:t>
            </w:r>
          </w:p>
        </w:tc>
      </w:tr>
      <w:tr w:rsidR="00F43AD5" w:rsidRPr="004C23F4" w14:paraId="666C6E86" w14:textId="77777777" w:rsidTr="008D5826">
        <w:trPr>
          <w:cantSplit/>
        </w:trPr>
        <w:tc>
          <w:tcPr>
            <w:tcW w:w="3976" w:type="dxa"/>
          </w:tcPr>
          <w:p w14:paraId="7B29B7C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0" w:type="dxa"/>
          </w:tcPr>
          <w:p w14:paraId="0A7C87A5" w14:textId="77777777" w:rsidR="00F43AD5" w:rsidRPr="00717D45" w:rsidRDefault="007D7C84" w:rsidP="00B76A41">
            <w:pPr>
              <w:pStyle w:val="Tablefont"/>
            </w:pPr>
            <w:r>
              <w:t>C</w:t>
            </w:r>
            <w:r w:rsidRPr="007D7C84">
              <w:rPr>
                <w:vertAlign w:val="subscript"/>
              </w:rPr>
              <w:t>12</w:t>
            </w:r>
            <w:r>
              <w:t>H</w:t>
            </w:r>
            <w:r w:rsidRPr="007D7C84">
              <w:rPr>
                <w:vertAlign w:val="subscript"/>
              </w:rPr>
              <w:t>12</w:t>
            </w:r>
            <w:r>
              <w:t>N</w:t>
            </w:r>
            <w:r w:rsidRPr="007D7C84">
              <w:rPr>
                <w:vertAlign w:val="subscript"/>
              </w:rPr>
              <w:t>2</w:t>
            </w:r>
          </w:p>
        </w:tc>
      </w:tr>
    </w:tbl>
    <w:p w14:paraId="43469E59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03396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8"/>
        <w:gridCol w:w="5028"/>
      </w:tblGrid>
      <w:tr w:rsidR="002C7AFE" w:rsidRPr="004C23F4" w14:paraId="5E69E955" w14:textId="77777777" w:rsidTr="00E61459">
        <w:trPr>
          <w:cantSplit/>
          <w:tblHeader/>
        </w:trPr>
        <w:tc>
          <w:tcPr>
            <w:tcW w:w="3998" w:type="dxa"/>
            <w:vAlign w:val="center"/>
          </w:tcPr>
          <w:p w14:paraId="0735846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8" w:type="dxa"/>
          </w:tcPr>
          <w:p w14:paraId="2B25A64F" w14:textId="77777777" w:rsidR="002C7AFE" w:rsidRPr="006D3ED5" w:rsidRDefault="00B03396" w:rsidP="00017C82">
            <w:pPr>
              <w:pStyle w:val="Tablefont"/>
              <w:rPr>
                <w:b/>
              </w:rPr>
            </w:pPr>
            <w:r w:rsidRPr="00B67961">
              <w:rPr>
                <w:rFonts w:cs="Arial"/>
                <w:b/>
              </w:rPr>
              <w:t>0.002 µ</w:t>
            </w:r>
            <w:r w:rsidRPr="00B67961">
              <w:rPr>
                <w:b/>
              </w:rPr>
              <w:t>g/m</w:t>
            </w:r>
            <w:r w:rsidRPr="00B67961">
              <w:rPr>
                <w:b/>
                <w:vertAlign w:val="superscript"/>
              </w:rPr>
              <w:t>3</w:t>
            </w:r>
          </w:p>
        </w:tc>
      </w:tr>
      <w:tr w:rsidR="002C7AFE" w:rsidRPr="004C23F4" w14:paraId="1B7C5AEA" w14:textId="77777777" w:rsidTr="00E61459">
        <w:trPr>
          <w:cantSplit/>
        </w:trPr>
        <w:tc>
          <w:tcPr>
            <w:tcW w:w="3998" w:type="dxa"/>
            <w:vAlign w:val="center"/>
          </w:tcPr>
          <w:p w14:paraId="20294A6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8" w:type="dxa"/>
          </w:tcPr>
          <w:p w14:paraId="6B183A2A" w14:textId="77777777" w:rsidR="002C7AFE" w:rsidRPr="00EB3D1B" w:rsidRDefault="00D406A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70501E7" w14:textId="77777777" w:rsidTr="00E61459">
        <w:trPr>
          <w:cantSplit/>
        </w:trPr>
        <w:tc>
          <w:tcPr>
            <w:tcW w:w="3998" w:type="dxa"/>
            <w:vAlign w:val="center"/>
          </w:tcPr>
          <w:p w14:paraId="0CB88E04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8" w:type="dxa"/>
          </w:tcPr>
          <w:p w14:paraId="1F2CDC1D" w14:textId="77777777" w:rsidR="002C7AFE" w:rsidRPr="00EB3D1B" w:rsidRDefault="00D406A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CDAC66C" w14:textId="77777777" w:rsidTr="00E61459">
        <w:trPr>
          <w:cantSplit/>
        </w:trPr>
        <w:tc>
          <w:tcPr>
            <w:tcW w:w="3998" w:type="dxa"/>
          </w:tcPr>
          <w:p w14:paraId="3626CBB1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8" w:type="dxa"/>
          </w:tcPr>
          <w:p w14:paraId="096117CD" w14:textId="77777777" w:rsidR="002C7AFE" w:rsidRPr="00EB3D1B" w:rsidRDefault="00B03396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Carc. 1A</w:t>
            </w:r>
          </w:p>
        </w:tc>
      </w:tr>
      <w:tr w:rsidR="00E61459" w:rsidRPr="004C23F4" w14:paraId="2916A4CD" w14:textId="77777777" w:rsidTr="00E61459">
        <w:trPr>
          <w:cantSplit/>
        </w:trPr>
        <w:tc>
          <w:tcPr>
            <w:tcW w:w="3998" w:type="dxa"/>
            <w:vAlign w:val="center"/>
          </w:tcPr>
          <w:p w14:paraId="1FFB0ADB" w14:textId="77777777" w:rsidR="00E61459" w:rsidRPr="002C58FF" w:rsidRDefault="00E61459" w:rsidP="00E61459">
            <w:pPr>
              <w:pStyle w:val="Tablerowright"/>
            </w:pPr>
            <w:r>
              <w:t>IDLH:</w:t>
            </w:r>
          </w:p>
        </w:tc>
        <w:tc>
          <w:tcPr>
            <w:tcW w:w="5028" w:type="dxa"/>
          </w:tcPr>
          <w:p w14:paraId="7CDC4381" w14:textId="77777777" w:rsidR="00E61459" w:rsidRPr="00EB3D1B" w:rsidRDefault="00D406A4" w:rsidP="00E61459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E61459" w:rsidRPr="008D5826" w14:paraId="14B1500C" w14:textId="77777777" w:rsidTr="001B75B1">
        <w:trPr>
          <w:cantSplit/>
        </w:trPr>
        <w:tc>
          <w:tcPr>
            <w:tcW w:w="3998" w:type="dxa"/>
          </w:tcPr>
          <w:p w14:paraId="64BD068A" w14:textId="77777777" w:rsidR="00E61459" w:rsidRPr="008D5826" w:rsidRDefault="00E61459" w:rsidP="001B75B1">
            <w:pPr>
              <w:pStyle w:val="Tablerowright"/>
            </w:pPr>
            <w:r w:rsidRPr="008D5826">
              <w:t>Sampling and analysis:</w:t>
            </w:r>
          </w:p>
        </w:tc>
        <w:tc>
          <w:tcPr>
            <w:tcW w:w="5028" w:type="dxa"/>
            <w:vAlign w:val="center"/>
          </w:tcPr>
          <w:p w14:paraId="42B0D392" w14:textId="79D2EC54" w:rsidR="00E61459" w:rsidRPr="001B75B1" w:rsidRDefault="001B75B1" w:rsidP="008D5826">
            <w:pPr>
              <w:spacing w:after="0"/>
            </w:pPr>
            <w:r w:rsidRPr="001B75B1">
              <w:t>The recommended value is below the current limit of detection for ava</w:t>
            </w:r>
            <w:bookmarkStart w:id="0" w:name="_GoBack"/>
            <w:bookmarkEnd w:id="0"/>
            <w:r w:rsidRPr="001B75B1">
              <w:t>ilable sampling and analysis techniques.</w:t>
            </w:r>
          </w:p>
        </w:tc>
      </w:tr>
    </w:tbl>
    <w:p w14:paraId="7158A530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0C6118E" w14:textId="77777777" w:rsidR="006639B4" w:rsidRPr="00B03396" w:rsidRDefault="00B03396" w:rsidP="000C139A">
      <w:pPr>
        <w:rPr>
          <w:rFonts w:cs="Arial"/>
        </w:rPr>
      </w:pPr>
      <w:r>
        <w:rPr>
          <w:rFonts w:cs="Arial"/>
        </w:rPr>
        <w:t>A TWA of 0.002 µ</w:t>
      </w:r>
      <w:r>
        <w:t>g/m</w:t>
      </w:r>
      <w:r w:rsidRPr="008A36CF">
        <w:rPr>
          <w:vertAlign w:val="superscript"/>
        </w:rPr>
        <w:t>3</w:t>
      </w:r>
      <w:r w:rsidRPr="008D5826">
        <w:t xml:space="preserve"> </w:t>
      </w:r>
      <w:r>
        <w:t xml:space="preserve">is recommended to protect for bladder cancers in exposed </w:t>
      </w:r>
      <w:r w:rsidR="00884DC1">
        <w:t>workers. Benzidine is characterised as</w:t>
      </w:r>
      <w:r>
        <w:t xml:space="preserve"> </w:t>
      </w:r>
      <w:r w:rsidR="00884DC1">
        <w:t xml:space="preserve">an assumed </w:t>
      </w:r>
      <w:r>
        <w:t>non-threshold genotoxic carcinogen and the recommended TWA is associated with a minimal cancer risk.</w:t>
      </w:r>
    </w:p>
    <w:p w14:paraId="799C5CC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EA16483" w14:textId="302176A5" w:rsidR="00927192" w:rsidRDefault="0078602E" w:rsidP="006639B4">
      <w:pPr>
        <w:rPr>
          <w:rFonts w:cs="Arial"/>
        </w:rPr>
      </w:pPr>
      <w:r>
        <w:rPr>
          <w:rFonts w:cs="Arial"/>
        </w:rPr>
        <w:t>Benzidine has been us</w:t>
      </w:r>
      <w:r w:rsidR="00884DC1">
        <w:rPr>
          <w:rFonts w:cs="Arial"/>
        </w:rPr>
        <w:t>ed historically in dyes and its</w:t>
      </w:r>
      <w:r>
        <w:rPr>
          <w:rFonts w:cs="Arial"/>
        </w:rPr>
        <w:t xml:space="preserve"> use in Australia is strictly controlled. </w:t>
      </w:r>
      <w:r w:rsidR="00B03396">
        <w:rPr>
          <w:rFonts w:cs="Arial"/>
        </w:rPr>
        <w:t xml:space="preserve">There is sufficient evidence in both humans and animals </w:t>
      </w:r>
      <w:r w:rsidR="0000528E">
        <w:rPr>
          <w:rFonts w:cs="Arial"/>
        </w:rPr>
        <w:t xml:space="preserve">to </w:t>
      </w:r>
      <w:r w:rsidR="00D406A4">
        <w:rPr>
          <w:rFonts w:cs="Arial"/>
        </w:rPr>
        <w:t xml:space="preserve">classify </w:t>
      </w:r>
      <w:r w:rsidR="0000528E">
        <w:rPr>
          <w:rFonts w:cs="Arial"/>
        </w:rPr>
        <w:t xml:space="preserve">benzidine as carcinogenic. Exposure to benzidine in an occupational setting </w:t>
      </w:r>
      <w:r w:rsidR="00884DC1">
        <w:rPr>
          <w:rFonts w:cs="Arial"/>
        </w:rPr>
        <w:t>is</w:t>
      </w:r>
      <w:r w:rsidR="0000528E">
        <w:rPr>
          <w:rFonts w:cs="Arial"/>
        </w:rPr>
        <w:t xml:space="preserve"> associated with increased incidence of bladder cancer. </w:t>
      </w:r>
      <w:r w:rsidR="00927192">
        <w:rPr>
          <w:rFonts w:cs="Arial"/>
        </w:rPr>
        <w:t>Positive results are reported in adequately conducted mutagenicity tests (ACGIH, 2018; US EPA, 1989).</w:t>
      </w:r>
    </w:p>
    <w:p w14:paraId="1099E469" w14:textId="57B3D00C" w:rsidR="006639B4" w:rsidRDefault="00927192" w:rsidP="006639B4">
      <w:r>
        <w:t>A clear mechanism for tumour formation cannot be determined</w:t>
      </w:r>
      <w:r w:rsidR="00884DC1">
        <w:t>.</w:t>
      </w:r>
      <w:r>
        <w:t xml:space="preserve"> </w:t>
      </w:r>
      <w:r w:rsidR="00884DC1">
        <w:t>H</w:t>
      </w:r>
      <w:r>
        <w:t>owever</w:t>
      </w:r>
      <w:r w:rsidR="00884DC1">
        <w:t>,</w:t>
      </w:r>
      <w:r>
        <w:t xml:space="preserve"> genotoxicity cannot not be eliminated. Therefore, benzidine is </w:t>
      </w:r>
      <w:r w:rsidR="00884DC1">
        <w:t>assumed to be</w:t>
      </w:r>
      <w:r>
        <w:t xml:space="preserve"> a non-threshold genotoxic carcinogen</w:t>
      </w:r>
      <w:r w:rsidR="00CE58B5">
        <w:t>. The</w:t>
      </w:r>
      <w:r w:rsidR="00CE58B5" w:rsidRPr="00CE58B5">
        <w:t xml:space="preserve"> recommended TWA </w:t>
      </w:r>
      <w:r w:rsidR="00884DC1">
        <w:t>i</w:t>
      </w:r>
      <w:r w:rsidR="00D406A4">
        <w:t>s</w:t>
      </w:r>
      <w:r w:rsidR="00CE58B5" w:rsidRPr="00CE58B5">
        <w:t xml:space="preserve"> derived </w:t>
      </w:r>
      <w:r w:rsidR="00CE58B5">
        <w:t>using an inhalation slope factor</w:t>
      </w:r>
      <w:r w:rsidR="00CE58B5" w:rsidRPr="00CE58B5">
        <w:t xml:space="preserve"> based on human data </w:t>
      </w:r>
      <w:r w:rsidR="006344B2">
        <w:t xml:space="preserve">from an occupational </w:t>
      </w:r>
      <w:r w:rsidR="00CE58B5">
        <w:t>study involving</w:t>
      </w:r>
      <w:r w:rsidR="00CE58B5" w:rsidRPr="00CE58B5">
        <w:t xml:space="preserve"> </w:t>
      </w:r>
      <w:r w:rsidR="00CE58B5">
        <w:t>benzidine</w:t>
      </w:r>
      <w:r w:rsidR="00CE58B5" w:rsidRPr="00CE58B5">
        <w:t xml:space="preserve"> exposure and increased cancer </w:t>
      </w:r>
      <w:r w:rsidR="00CE58B5">
        <w:t>incidence</w:t>
      </w:r>
      <w:r w:rsidR="00CE58B5" w:rsidRPr="00CE58B5">
        <w:t xml:space="preserve"> (US</w:t>
      </w:r>
      <w:r w:rsidR="00226424">
        <w:t xml:space="preserve"> </w:t>
      </w:r>
      <w:r w:rsidR="00CE58B5" w:rsidRPr="00CE58B5">
        <w:t>EPA, 1987).</w:t>
      </w:r>
    </w:p>
    <w:p w14:paraId="7ADC5C7E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2D5517F" w14:textId="77777777" w:rsidR="0000528E" w:rsidRPr="0000528E" w:rsidRDefault="0000528E" w:rsidP="0000528E">
      <w:pPr>
        <w:rPr>
          <w:rFonts w:cs="Arial"/>
        </w:rPr>
      </w:pPr>
      <w:r>
        <w:rPr>
          <w:rFonts w:cs="Arial"/>
        </w:rPr>
        <w:t>C</w:t>
      </w:r>
      <w:r w:rsidRPr="0000528E">
        <w:rPr>
          <w:rFonts w:cs="Arial"/>
        </w:rPr>
        <w:t xml:space="preserve">lassified as a </w:t>
      </w:r>
      <w:r>
        <w:rPr>
          <w:rFonts w:cs="Arial"/>
        </w:rPr>
        <w:t>category 1A</w:t>
      </w:r>
      <w:r w:rsidRPr="0000528E">
        <w:rPr>
          <w:rFonts w:cs="Arial"/>
        </w:rPr>
        <w:t xml:space="preserve"> carcinogen ac</w:t>
      </w:r>
      <w:r w:rsidR="003F6BD5">
        <w:rPr>
          <w:rFonts w:cs="Arial"/>
        </w:rPr>
        <w:t>cording to the Globally Harmoniz</w:t>
      </w:r>
      <w:r w:rsidRPr="0000528E">
        <w:rPr>
          <w:rFonts w:cs="Arial"/>
        </w:rPr>
        <w:t xml:space="preserve">ed System of Classification and Labelling on Chemicals (GHS). </w:t>
      </w:r>
    </w:p>
    <w:p w14:paraId="7CA45B8F" w14:textId="77777777" w:rsidR="0000528E" w:rsidRPr="0000528E" w:rsidRDefault="0000528E" w:rsidP="0000528E">
      <w:pPr>
        <w:rPr>
          <w:rFonts w:cs="Arial"/>
        </w:rPr>
      </w:pPr>
      <w:r>
        <w:rPr>
          <w:rFonts w:cs="Arial"/>
        </w:rPr>
        <w:t>Not</w:t>
      </w:r>
      <w:r w:rsidRPr="0000528E">
        <w:rPr>
          <w:rFonts w:cs="Arial"/>
        </w:rPr>
        <w:t xml:space="preserve"> classified as a skin </w:t>
      </w:r>
      <w:r w:rsidR="00D406A4">
        <w:rPr>
          <w:rFonts w:cs="Arial"/>
        </w:rPr>
        <w:t xml:space="preserve">sensitiser </w:t>
      </w:r>
      <w:r>
        <w:rPr>
          <w:rFonts w:cs="Arial"/>
        </w:rPr>
        <w:t xml:space="preserve">or respiratory </w:t>
      </w:r>
      <w:r w:rsidRPr="0000528E">
        <w:rPr>
          <w:rFonts w:cs="Arial"/>
        </w:rPr>
        <w:t>sensitiser according to the GHS.</w:t>
      </w:r>
    </w:p>
    <w:p w14:paraId="485988D7" w14:textId="77777777" w:rsidR="004529F0" w:rsidRPr="004C23F4" w:rsidRDefault="0000528E" w:rsidP="0000528E">
      <w:pPr>
        <w:rPr>
          <w:rFonts w:cs="Arial"/>
        </w:rPr>
      </w:pPr>
      <w:r>
        <w:rPr>
          <w:rFonts w:cs="Arial"/>
        </w:rPr>
        <w:t xml:space="preserve">Insufficient evidence to </w:t>
      </w:r>
      <w:r w:rsidR="00D406A4">
        <w:rPr>
          <w:rFonts w:cs="Arial"/>
        </w:rPr>
        <w:t xml:space="preserve">recommend </w:t>
      </w:r>
      <w:r>
        <w:rPr>
          <w:rFonts w:cs="Arial"/>
        </w:rPr>
        <w:t>a skin notation.</w:t>
      </w:r>
    </w:p>
    <w:p w14:paraId="2DE37EBE" w14:textId="77777777" w:rsidR="0025734A" w:rsidRPr="004C23F4" w:rsidRDefault="0025734A">
      <w:pPr>
        <w:rPr>
          <w:rFonts w:cs="Arial"/>
        </w:rPr>
      </w:pPr>
    </w:p>
    <w:p w14:paraId="0B820250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59F6EE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06DBA4E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48E4C0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C9112E3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F26175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2089AC3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D7C8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D7C84" w:rsidRPr="007D7C84">
                  <w:t>Prohibition recommended</w:t>
                </w:r>
              </w:sdtContent>
            </w:sdt>
          </w:p>
        </w:tc>
      </w:tr>
      <w:tr w:rsidR="00C978F0" w:rsidRPr="00DA352E" w14:paraId="3271AE4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35A18AF" w14:textId="77777777" w:rsidR="00C978F0" w:rsidRPr="00DA352E" w:rsidRDefault="00B03396" w:rsidP="003365A5">
            <w:pPr>
              <w:pStyle w:val="Tabletextprimarysource"/>
            </w:pPr>
            <w:r>
              <w:t xml:space="preserve">Known </w:t>
            </w:r>
            <w:r w:rsidR="007D7C84" w:rsidRPr="007D7C84">
              <w:t xml:space="preserve">to be carcinogenic to humans. There is sufficient evidence to establish a causal association between human exposure to </w:t>
            </w:r>
            <w:r w:rsidR="007D7C84">
              <w:t>this</w:t>
            </w:r>
            <w:r w:rsidR="00C66557">
              <w:t xml:space="preserve"> substance</w:t>
            </w:r>
            <w:r w:rsidR="007D7C84" w:rsidRPr="007D7C84">
              <w:t xml:space="preserve"> and the development of cancer</w:t>
            </w:r>
            <w:r w:rsidR="003F6BD5">
              <w:t>.</w:t>
            </w:r>
          </w:p>
        </w:tc>
      </w:tr>
      <w:tr w:rsidR="00C978F0" w:rsidRPr="00DA352E" w14:paraId="39719DA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37457D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F03B3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F03B3">
                  <w:t>NA</w:t>
                </w:r>
              </w:sdtContent>
            </w:sdt>
          </w:p>
        </w:tc>
      </w:tr>
      <w:tr w:rsidR="00C978F0" w:rsidRPr="00DA352E" w14:paraId="2E95533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6B925CB" w14:textId="77777777" w:rsidR="00C978F0" w:rsidRDefault="00C66557" w:rsidP="003365A5">
            <w:pPr>
              <w:pStyle w:val="Tabletextprimarysource"/>
            </w:pPr>
            <w:r>
              <w:t>A TLV is not recommended</w:t>
            </w:r>
            <w:r w:rsidR="00B03396">
              <w:t>.</w:t>
            </w:r>
          </w:p>
          <w:p w14:paraId="17EBC3B3" w14:textId="77777777" w:rsidR="007F5B46" w:rsidRDefault="007F5B46" w:rsidP="00B22A8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Summary of data:</w:t>
            </w:r>
          </w:p>
          <w:p w14:paraId="4ABF7388" w14:textId="77777777" w:rsidR="007F5B46" w:rsidRDefault="007F5B46" w:rsidP="00B22A8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2DC00984" w14:textId="77777777" w:rsidR="003F6BD5" w:rsidRDefault="000E3E8E" w:rsidP="00B22A81">
            <w:pPr>
              <w:pStyle w:val="ListBullet"/>
              <w:ind w:left="720"/>
            </w:pPr>
            <w:r>
              <w:t xml:space="preserve">Abundance </w:t>
            </w:r>
            <w:r w:rsidR="00832AF3">
              <w:t>of literature relating</w:t>
            </w:r>
            <w:r w:rsidR="003F6BD5">
              <w:t xml:space="preserve"> to</w:t>
            </w:r>
            <w:r w:rsidR="00832AF3">
              <w:t xml:space="preserve"> industrial exposure and bladder cancer </w:t>
            </w:r>
          </w:p>
          <w:p w14:paraId="3B39D004" w14:textId="77777777" w:rsidR="00832AF3" w:rsidRDefault="000E3E8E" w:rsidP="00B22A81">
            <w:pPr>
              <w:pStyle w:val="ListBullet"/>
              <w:ind w:left="720"/>
            </w:pPr>
            <w:r>
              <w:t>I</w:t>
            </w:r>
            <w:r w:rsidR="00832AF3">
              <w:t xml:space="preserve">nhalation and skin absorption </w:t>
            </w:r>
            <w:r w:rsidR="00D406A4">
              <w:t xml:space="preserve">identified </w:t>
            </w:r>
            <w:r w:rsidR="00832AF3">
              <w:t>as important routes of exposure</w:t>
            </w:r>
          </w:p>
          <w:p w14:paraId="33EDF2BC" w14:textId="77777777" w:rsidR="00C76368" w:rsidRDefault="00C76368" w:rsidP="00B22A81">
            <w:pPr>
              <w:pStyle w:val="ListBullet"/>
              <w:ind w:left="720"/>
            </w:pPr>
            <w:r>
              <w:t>Exposed w</w:t>
            </w:r>
            <w:r w:rsidR="00832AF3">
              <w:t>orkers with serum properdin levels lower than normal more likely to develop a bladder tumour</w:t>
            </w:r>
            <w:r w:rsidR="003F6BD5">
              <w:t xml:space="preserve"> (n</w:t>
            </w:r>
            <w:r>
              <w:t>o further details</w:t>
            </w:r>
            <w:r w:rsidR="003F6BD5">
              <w:t>)</w:t>
            </w:r>
            <w:r w:rsidR="00D406A4">
              <w:t>.</w:t>
            </w:r>
          </w:p>
          <w:p w14:paraId="4A85E280" w14:textId="77777777" w:rsidR="00D406A4" w:rsidRDefault="00D406A4" w:rsidP="000E3E8E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0D4F17ED" w14:textId="77777777" w:rsidR="00C76368" w:rsidRDefault="00C76368" w:rsidP="00B22A81">
            <w:pPr>
              <w:pStyle w:val="ListBullet"/>
              <w:numPr>
                <w:ilvl w:val="0"/>
                <w:numId w:val="0"/>
              </w:numPr>
            </w:pPr>
            <w:r>
              <w:t>Animal data:</w:t>
            </w:r>
          </w:p>
          <w:p w14:paraId="2E55A741" w14:textId="77777777" w:rsidR="00D406A4" w:rsidRDefault="005267EC" w:rsidP="000E3E8E">
            <w:pPr>
              <w:pStyle w:val="ListBullet"/>
              <w:ind w:left="720"/>
            </w:pPr>
            <w:r>
              <w:t>Sufficient evidence in mice, rats, hamsters and dogs</w:t>
            </w:r>
            <w:r w:rsidR="00F61990">
              <w:t xml:space="preserve"> to</w:t>
            </w:r>
            <w:r>
              <w:t xml:space="preserve"> identify benzidine as carcinogenic</w:t>
            </w:r>
            <w:r w:rsidR="00884DC1">
              <w:t>.</w:t>
            </w:r>
          </w:p>
          <w:p w14:paraId="26FE3F62" w14:textId="77777777" w:rsidR="00884DC1" w:rsidRDefault="00884DC1" w:rsidP="00B22A81">
            <w:pPr>
              <w:pStyle w:val="ListBullet"/>
              <w:numPr>
                <w:ilvl w:val="0"/>
                <w:numId w:val="0"/>
              </w:numPr>
            </w:pPr>
          </w:p>
          <w:p w14:paraId="02D2531E" w14:textId="77777777" w:rsidR="005267EC" w:rsidRDefault="005267EC" w:rsidP="00B22A81">
            <w:pPr>
              <w:pStyle w:val="ListBullet"/>
              <w:numPr>
                <w:ilvl w:val="0"/>
                <w:numId w:val="0"/>
              </w:numPr>
            </w:pPr>
            <w:r>
              <w:t>Genotoxicity data:</w:t>
            </w:r>
          </w:p>
          <w:p w14:paraId="59CB686F" w14:textId="77777777" w:rsidR="005267EC" w:rsidRPr="005267EC" w:rsidRDefault="005267EC" w:rsidP="00B22A81">
            <w:pPr>
              <w:pStyle w:val="ListBullet"/>
              <w:ind w:left="720"/>
            </w:pPr>
            <w:r>
              <w:t xml:space="preserve">Mutagenic to </w:t>
            </w:r>
            <w:r w:rsidRPr="005267EC">
              <w:rPr>
                <w:i/>
              </w:rPr>
              <w:t xml:space="preserve">Salmonella </w:t>
            </w:r>
            <w:proofErr w:type="spellStart"/>
            <w:r w:rsidRPr="005267EC">
              <w:rPr>
                <w:i/>
              </w:rPr>
              <w:t>typhimurium</w:t>
            </w:r>
            <w:proofErr w:type="spellEnd"/>
          </w:p>
          <w:p w14:paraId="6B724F8D" w14:textId="77777777" w:rsidR="005267EC" w:rsidRDefault="005267EC" w:rsidP="00B22A81">
            <w:pPr>
              <w:pStyle w:val="ListBullet"/>
              <w:ind w:left="720"/>
            </w:pPr>
            <w:r>
              <w:t xml:space="preserve">Negative in </w:t>
            </w:r>
            <w:r w:rsidRPr="005267EC">
              <w:rPr>
                <w:i/>
              </w:rPr>
              <w:t>Escherichia coli</w:t>
            </w:r>
            <w:r>
              <w:rPr>
                <w:i/>
              </w:rPr>
              <w:t xml:space="preserve"> </w:t>
            </w:r>
            <w:r>
              <w:t>assays</w:t>
            </w:r>
          </w:p>
          <w:p w14:paraId="1B62D447" w14:textId="77777777" w:rsidR="005267EC" w:rsidRDefault="005267EC" w:rsidP="00B22A81">
            <w:pPr>
              <w:pStyle w:val="ListBullet"/>
              <w:ind w:left="720"/>
            </w:pPr>
            <w:r>
              <w:t xml:space="preserve">Mutagenic activity in </w:t>
            </w:r>
            <w:r w:rsidRPr="005267EC">
              <w:rPr>
                <w:i/>
              </w:rPr>
              <w:t>Drosophila melanogaster</w:t>
            </w:r>
          </w:p>
          <w:p w14:paraId="39766B9B" w14:textId="77777777" w:rsidR="005267EC" w:rsidRDefault="00FB37E3" w:rsidP="00B22A81">
            <w:pPr>
              <w:pStyle w:val="ListBullet"/>
              <w:ind w:left="720"/>
            </w:pPr>
            <w:r w:rsidRPr="00FB37E3">
              <w:rPr>
                <w:i/>
              </w:rPr>
              <w:t>In vitro</w:t>
            </w:r>
            <w:r>
              <w:t xml:space="preserve"> and </w:t>
            </w:r>
            <w:r w:rsidRPr="00FB37E3">
              <w:rPr>
                <w:i/>
              </w:rPr>
              <w:t>in vivo</w:t>
            </w:r>
            <w:r>
              <w:t xml:space="preserve"> studies demonstrating DNA damage</w:t>
            </w:r>
            <w:r w:rsidR="003F6BD5">
              <w:t>.</w:t>
            </w:r>
          </w:p>
          <w:p w14:paraId="0F0ADB8C" w14:textId="77777777" w:rsidR="000E3E8E" w:rsidRPr="00DA352E" w:rsidRDefault="000E3E8E" w:rsidP="000E3E8E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50C4FB7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1A6382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F33A4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F33A4">
                  <w:t>NA</w:t>
                </w:r>
              </w:sdtContent>
            </w:sdt>
          </w:p>
        </w:tc>
      </w:tr>
      <w:tr w:rsidR="00C978F0" w:rsidRPr="00DA352E" w14:paraId="439512B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FF0197D" w14:textId="77777777" w:rsidR="00C978F0" w:rsidRDefault="002F33A4" w:rsidP="003365A5">
            <w:pPr>
              <w:pStyle w:val="Tabletextprimarysource"/>
            </w:pPr>
            <w:r>
              <w:t>A MAK is not assigned due to carcinogenicity effects</w:t>
            </w:r>
            <w:r w:rsidR="00D406A4">
              <w:t>.</w:t>
            </w:r>
          </w:p>
          <w:p w14:paraId="290EA3A8" w14:textId="77777777" w:rsidR="002F33A4" w:rsidRDefault="002F33A4" w:rsidP="003365A5">
            <w:pPr>
              <w:pStyle w:val="Tabletextprimarysource"/>
            </w:pPr>
            <w:r>
              <w:t xml:space="preserve">No </w:t>
            </w:r>
            <w:r w:rsidR="00884DC1">
              <w:t>additional information</w:t>
            </w:r>
            <w:r w:rsidR="003F6BD5">
              <w:t>.</w:t>
            </w:r>
          </w:p>
          <w:p w14:paraId="31A9364E" w14:textId="77777777" w:rsidR="00884DC1" w:rsidRPr="00DA352E" w:rsidRDefault="00884DC1" w:rsidP="003365A5">
            <w:pPr>
              <w:pStyle w:val="Tabletextprimarysource"/>
            </w:pPr>
          </w:p>
        </w:tc>
      </w:tr>
      <w:tr w:rsidR="00C978F0" w:rsidRPr="00DA352E" w14:paraId="2C83047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8FCFD0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F33A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2F33A4">
                  <w:t>NA</w:t>
                </w:r>
                <w:proofErr w:type="spellEnd"/>
              </w:sdtContent>
            </w:sdt>
          </w:p>
        </w:tc>
      </w:tr>
      <w:tr w:rsidR="00C978F0" w:rsidRPr="00DA352E" w14:paraId="3CB39AE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94F927D" w14:textId="7AA8C156" w:rsidR="00C978F0" w:rsidRPr="00DA352E" w:rsidRDefault="002F33A4" w:rsidP="003365A5">
            <w:pPr>
              <w:pStyle w:val="Tabletextprimarysource"/>
            </w:pPr>
            <w:r>
              <w:t>No report</w:t>
            </w:r>
            <w:r w:rsidR="008D5826">
              <w:t>.</w:t>
            </w:r>
          </w:p>
        </w:tc>
      </w:tr>
      <w:tr w:rsidR="00DA352E" w:rsidRPr="00DA352E" w14:paraId="303AD87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14A736C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F33A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2F33A4">
                  <w:t>NA</w:t>
                </w:r>
                <w:proofErr w:type="spellEnd"/>
              </w:sdtContent>
            </w:sdt>
          </w:p>
        </w:tc>
      </w:tr>
      <w:tr w:rsidR="00DA352E" w:rsidRPr="00DA352E" w14:paraId="7B9B468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C8F2C17" w14:textId="3E4E0F67" w:rsidR="00DA352E" w:rsidRPr="00DA352E" w:rsidRDefault="002F33A4" w:rsidP="003365A5">
            <w:pPr>
              <w:pStyle w:val="Tabletextprimarysource"/>
            </w:pPr>
            <w:r>
              <w:t>No report</w:t>
            </w:r>
            <w:r w:rsidR="008D5826">
              <w:t>.</w:t>
            </w:r>
          </w:p>
        </w:tc>
      </w:tr>
      <w:tr w:rsidR="00DA352E" w:rsidRPr="00DA352E" w14:paraId="644E0C8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EEE3AAF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E219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3E219D">
                  <w:t>NA</w:t>
                </w:r>
                <w:proofErr w:type="spellEnd"/>
              </w:sdtContent>
            </w:sdt>
          </w:p>
        </w:tc>
      </w:tr>
      <w:tr w:rsidR="00DA352E" w:rsidRPr="00DA352E" w14:paraId="4193DB6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143D01E" w14:textId="5D943C53" w:rsidR="00DA352E" w:rsidRPr="00DA352E" w:rsidRDefault="003E219D" w:rsidP="003365A5">
            <w:pPr>
              <w:pStyle w:val="Tabletextprimarysource"/>
            </w:pPr>
            <w:r>
              <w:t>No report</w:t>
            </w:r>
            <w:r w:rsidR="008D5826">
              <w:t>.</w:t>
            </w:r>
          </w:p>
        </w:tc>
      </w:tr>
    </w:tbl>
    <w:p w14:paraId="6054C35A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3221B736" w14:textId="77777777" w:rsidTr="00B03396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2ED731BB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09BAB34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F039C5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0890B2A2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4F0A331" w14:textId="77777777" w:rsidTr="00B03396">
        <w:trPr>
          <w:cantSplit/>
        </w:trPr>
        <w:tc>
          <w:tcPr>
            <w:tcW w:w="1496" w:type="dxa"/>
          </w:tcPr>
          <w:p w14:paraId="527E5B99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548CD346" w14:textId="77777777" w:rsidR="004966BF" w:rsidRPr="00CE617F" w:rsidRDefault="001B75B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6497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9920457" w14:textId="77777777" w:rsidR="004966BF" w:rsidRPr="004C23F4" w:rsidRDefault="0076497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6" w:type="dxa"/>
          </w:tcPr>
          <w:p w14:paraId="31BD4444" w14:textId="77777777" w:rsidR="004966BF" w:rsidRPr="004C23F4" w:rsidRDefault="0076497E" w:rsidP="0076497E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‘</w:t>
            </w:r>
            <w:r w:rsidRPr="0076497E">
              <w:rPr>
                <w:rStyle w:val="checkbox"/>
                <w:rFonts w:ascii="Arial" w:hAnsi="Arial" w:cs="Arial"/>
                <w:i/>
              </w:rPr>
              <w:t>Industrial use of this chemical is prohibited under state and territory workplace health and safety legislation’</w:t>
            </w:r>
          </w:p>
        </w:tc>
      </w:tr>
      <w:tr w:rsidR="004966BF" w:rsidRPr="004C23F4" w14:paraId="4FA606BF" w14:textId="77777777" w:rsidTr="00B03396">
        <w:trPr>
          <w:cantSplit/>
        </w:trPr>
        <w:tc>
          <w:tcPr>
            <w:tcW w:w="1496" w:type="dxa"/>
          </w:tcPr>
          <w:p w14:paraId="5EB17B5F" w14:textId="77777777" w:rsidR="004966BF" w:rsidRPr="004C23F4" w:rsidRDefault="004966BF" w:rsidP="00224EE2">
            <w:pPr>
              <w:pStyle w:val="Tablefont"/>
            </w:pPr>
            <w:r>
              <w:lastRenderedPageBreak/>
              <w:t>US EPA</w:t>
            </w:r>
          </w:p>
        </w:tc>
        <w:tc>
          <w:tcPr>
            <w:tcW w:w="423" w:type="dxa"/>
          </w:tcPr>
          <w:p w14:paraId="59D6CCEB" w14:textId="77777777" w:rsidR="004966BF" w:rsidRPr="00CE617F" w:rsidRDefault="001B75B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E219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080324F" w14:textId="77777777" w:rsidR="004966BF" w:rsidRPr="004C23F4" w:rsidRDefault="003E219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1989</w:t>
            </w:r>
          </w:p>
        </w:tc>
        <w:tc>
          <w:tcPr>
            <w:tcW w:w="6446" w:type="dxa"/>
          </w:tcPr>
          <w:p w14:paraId="7116B97E" w14:textId="77777777" w:rsidR="00927192" w:rsidRDefault="00927192" w:rsidP="001F650E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Carcinogenicity in humans and animals</w:t>
            </w:r>
          </w:p>
          <w:p w14:paraId="0FD70AD7" w14:textId="77777777" w:rsidR="00927192" w:rsidRDefault="00927192" w:rsidP="001F650E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Positive results in mutagenicity tests</w:t>
            </w:r>
          </w:p>
          <w:p w14:paraId="47C79B85" w14:textId="77777777" w:rsidR="004966BF" w:rsidRPr="004C23F4" w:rsidRDefault="001F650E" w:rsidP="008A0788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Inhalation unit risk factor based </w:t>
            </w:r>
            <w:r w:rsidR="00D406A4">
              <w:rPr>
                <w:rStyle w:val="checkbox"/>
                <w:rFonts w:ascii="Arial" w:hAnsi="Arial" w:cs="Arial"/>
              </w:rPr>
              <w:t xml:space="preserve">on </w:t>
            </w:r>
            <w:r>
              <w:rPr>
                <w:rStyle w:val="checkbox"/>
                <w:rFonts w:ascii="Arial" w:hAnsi="Arial" w:cs="Arial"/>
              </w:rPr>
              <w:t>a study reporting 11 cases of bladder cancer in 25 exposed workers (0.005</w:t>
            </w:r>
            <w:r w:rsidR="008A0788">
              <w:rPr>
                <w:rStyle w:val="checkbox"/>
                <w:rFonts w:ascii="Arial" w:hAnsi="Arial" w:cs="Arial"/>
              </w:rPr>
              <w:t>–</w:t>
            </w:r>
            <w:r>
              <w:rPr>
                <w:rStyle w:val="checkbox"/>
                <w:rFonts w:ascii="Arial" w:hAnsi="Arial" w:cs="Arial"/>
              </w:rPr>
              <w:t>17.6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; mean period of 11.46 </w:t>
            </w:r>
            <w:proofErr w:type="spellStart"/>
            <w:r>
              <w:rPr>
                <w:rStyle w:val="checkbox"/>
                <w:rFonts w:ascii="Arial" w:hAnsi="Arial" w:cs="Arial"/>
              </w:rPr>
              <w:t>yr</w:t>
            </w:r>
            <w:proofErr w:type="spellEnd"/>
            <w:r>
              <w:rPr>
                <w:rStyle w:val="checkbox"/>
                <w:rFonts w:ascii="Arial" w:hAnsi="Arial" w:cs="Arial"/>
              </w:rPr>
              <w:t>)</w:t>
            </w:r>
            <w:r w:rsidR="003F6BD5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2F5DA78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8"/>
        <w:gridCol w:w="2418"/>
      </w:tblGrid>
      <w:tr w:rsidR="002E0D61" w14:paraId="07A6108C" w14:textId="77777777" w:rsidTr="00610F2E">
        <w:trPr>
          <w:trHeight w:val="454"/>
          <w:tblHeader/>
        </w:trPr>
        <w:tc>
          <w:tcPr>
            <w:tcW w:w="6771" w:type="dxa"/>
            <w:vAlign w:val="center"/>
          </w:tcPr>
          <w:p w14:paraId="36F0AD3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4A3252FA" w14:textId="77777777" w:rsidR="002E0D61" w:rsidRDefault="003E219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694C7D86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08D5888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02E36954" w14:textId="77777777" w:rsidR="008A36CF" w:rsidRDefault="003E219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02031633" w14:textId="77777777" w:rsidTr="006901A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771" w:type="dxa"/>
                <w:vAlign w:val="center"/>
              </w:tcPr>
              <w:p w14:paraId="36787EDC" w14:textId="77777777" w:rsidR="008A36CF" w:rsidRPr="006901A2" w:rsidRDefault="003E219D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71" w:type="dxa"/>
            <w:vAlign w:val="center"/>
          </w:tcPr>
          <w:p w14:paraId="47A78E1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  <w:tr w:rsidR="008A36CF" w14:paraId="590A3A4C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4B77501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 w:rsidRPr="008A36CF">
              <w:t>Is a cancer slope factor or inhalation unit risk value available?</w:t>
            </w:r>
          </w:p>
        </w:tc>
        <w:sdt>
          <w:sdtPr>
            <w:id w:val="1304347970"/>
            <w:placeholder>
              <w:docPart w:val="047AD93791DC493F8562BB3488160D64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3B482041" w14:textId="77777777" w:rsidR="008A36CF" w:rsidRDefault="003E219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30A2D8A6" w14:textId="77777777" w:rsidTr="006901A2">
        <w:trPr>
          <w:trHeight w:val="454"/>
        </w:trPr>
        <w:sdt>
          <w:sdtPr>
            <w:alias w:val="Dropdown"/>
            <w:tag w:val="Dropdown"/>
            <w:id w:val="-1733531363"/>
            <w:placeholder>
              <w:docPart w:val="7B0BAA2441D5427984E6018FB38900E7"/>
            </w:placeholder>
            <w:comboBox>
              <w:listItem w:value="Choose an item."/>
              <w:listItem w:displayText="Cancer slope factor (1/(mg/kg/day))" w:value="Cancer slope factor (1/(mg/kg/day))"/>
              <w:listItem w:displayText="Inhalation unit risk value (1/(µg/m³))" w:value="Inhalation unit risk value (1/(µg/m³))"/>
            </w:comboBox>
          </w:sdtPr>
          <w:sdtEndPr/>
          <w:sdtContent>
            <w:tc>
              <w:tcPr>
                <w:tcW w:w="6771" w:type="dxa"/>
                <w:vAlign w:val="center"/>
              </w:tcPr>
              <w:p w14:paraId="786B69E5" w14:textId="77777777" w:rsidR="008A36CF" w:rsidRDefault="00B0339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Inhalation unit risk value (1/(µg/m³))</w:t>
                </w:r>
              </w:p>
            </w:tc>
          </w:sdtContent>
        </w:sdt>
        <w:sdt>
          <w:sdtPr>
            <w:alias w:val="SlopeFactor"/>
            <w:tag w:val="SlopeFactor"/>
            <w:id w:val="-1925646767"/>
            <w:placeholder>
              <w:docPart w:val="5C1D38B030D146B59436754F8399D502"/>
            </w:placeholder>
          </w:sdtPr>
          <w:sdtEndPr/>
          <w:sdtContent>
            <w:tc>
              <w:tcPr>
                <w:tcW w:w="2471" w:type="dxa"/>
                <w:vAlign w:val="center"/>
              </w:tcPr>
              <w:p w14:paraId="4BCA72CC" w14:textId="77777777" w:rsidR="008A36CF" w:rsidRDefault="003E219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0.067</w:t>
                </w:r>
              </w:p>
            </w:tc>
          </w:sdtContent>
        </w:sdt>
      </w:tr>
      <w:tr w:rsidR="008A36CF" w14:paraId="328588B9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725E184A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Calculated TWA value (</w:t>
            </w:r>
            <w:r>
              <w:rPr>
                <w:rFonts w:cs="Arial"/>
              </w:rPr>
              <w:t>µ</w:t>
            </w:r>
            <w:r>
              <w:t>g/m</w:t>
            </w:r>
            <w:r w:rsidRPr="008A36CF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471" w:type="dxa"/>
            <w:vAlign w:val="center"/>
          </w:tcPr>
          <w:p w14:paraId="1ED6D3BC" w14:textId="77777777" w:rsidR="008A36CF" w:rsidRDefault="003E219D" w:rsidP="008A36CF">
            <w:pPr>
              <w:pStyle w:val="Tablefont"/>
              <w:keepNext/>
              <w:keepLines/>
              <w:spacing w:before="40" w:after="40"/>
            </w:pPr>
            <w:r>
              <w:t>0.002</w:t>
            </w:r>
          </w:p>
        </w:tc>
      </w:tr>
    </w:tbl>
    <w:bookmarkEnd w:id="2"/>
    <w:p w14:paraId="47DAE83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0A6DFF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40C4D7E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705B2B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C12E5B9" w14:textId="77777777" w:rsidTr="00812887">
        <w:trPr>
          <w:cantSplit/>
        </w:trPr>
        <w:tc>
          <w:tcPr>
            <w:tcW w:w="3227" w:type="dxa"/>
          </w:tcPr>
          <w:p w14:paraId="6CE9EDE0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5579598" w14:textId="77777777" w:rsidR="00687890" w:rsidRPr="00DD2F9B" w:rsidRDefault="000D1D21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626E9E26" w14:textId="77777777" w:rsidTr="00812887">
        <w:trPr>
          <w:cantSplit/>
        </w:trPr>
        <w:tc>
          <w:tcPr>
            <w:tcW w:w="3227" w:type="dxa"/>
          </w:tcPr>
          <w:p w14:paraId="2C03CD9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8F1E1C2" w14:textId="77777777" w:rsidR="007925F0" w:rsidRPr="00F13281" w:rsidRDefault="00B22A81" w:rsidP="00DD2F9B">
            <w:pPr>
              <w:pStyle w:val="Tablefont"/>
            </w:pPr>
            <w:r w:rsidRPr="00F13281"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Carcinogenicity – category 1A</w:t>
            </w:r>
          </w:p>
        </w:tc>
      </w:tr>
      <w:tr w:rsidR="00AF483F" w:rsidRPr="004C23F4" w14:paraId="24F623F9" w14:textId="77777777" w:rsidTr="00812887">
        <w:trPr>
          <w:cantSplit/>
        </w:trPr>
        <w:tc>
          <w:tcPr>
            <w:tcW w:w="3227" w:type="dxa"/>
          </w:tcPr>
          <w:p w14:paraId="48B60D5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B2BA8C4" w14:textId="77777777" w:rsidR="00AF483F" w:rsidRPr="00DD2F9B" w:rsidRDefault="000D1D21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2348A25" w14:textId="77777777" w:rsidTr="00812887">
        <w:trPr>
          <w:cantSplit/>
        </w:trPr>
        <w:tc>
          <w:tcPr>
            <w:tcW w:w="3227" w:type="dxa"/>
          </w:tcPr>
          <w:p w14:paraId="11CEC6D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4AF3FEF" w14:textId="77777777" w:rsidR="00687890" w:rsidRPr="00DD2F9B" w:rsidRDefault="00BE7E94" w:rsidP="00DD2F9B">
            <w:pPr>
              <w:pStyle w:val="Tablefont"/>
            </w:pPr>
            <w:r>
              <w:t>Carc</w:t>
            </w:r>
            <w:r w:rsidR="000D1D21">
              <w:t xml:space="preserve">inogenicity </w:t>
            </w:r>
            <w:r w:rsidR="000D1D21" w:rsidRPr="002F33A4">
              <w:t xml:space="preserve">– </w:t>
            </w:r>
            <w:r w:rsidR="000D1D21">
              <w:t xml:space="preserve">Category </w:t>
            </w:r>
            <w:r>
              <w:t xml:space="preserve">1A </w:t>
            </w:r>
          </w:p>
        </w:tc>
      </w:tr>
      <w:tr w:rsidR="00E41A26" w:rsidRPr="004C23F4" w14:paraId="5FFC1664" w14:textId="77777777" w:rsidTr="00812887">
        <w:trPr>
          <w:cantSplit/>
        </w:trPr>
        <w:tc>
          <w:tcPr>
            <w:tcW w:w="3227" w:type="dxa"/>
          </w:tcPr>
          <w:p w14:paraId="04A46A8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296D87E" w14:textId="77777777" w:rsidR="00E41A26" w:rsidRPr="00DD2F9B" w:rsidRDefault="00D406A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1E91B697" w14:textId="77777777" w:rsidTr="00812887">
        <w:trPr>
          <w:cantSplit/>
        </w:trPr>
        <w:tc>
          <w:tcPr>
            <w:tcW w:w="3227" w:type="dxa"/>
          </w:tcPr>
          <w:p w14:paraId="64F3D22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8D1AAC8" w14:textId="77777777" w:rsidR="002E0D61" w:rsidRPr="00DD2F9B" w:rsidRDefault="00C66557" w:rsidP="00DD2F9B">
            <w:pPr>
              <w:pStyle w:val="Tablefont"/>
            </w:pPr>
            <w:r w:rsidRPr="00C66557">
              <w:t>Carcinogenicity – A1</w:t>
            </w:r>
            <w:r>
              <w:t>; Skin</w:t>
            </w:r>
          </w:p>
        </w:tc>
      </w:tr>
      <w:tr w:rsidR="002E0D61" w:rsidRPr="004C23F4" w14:paraId="3CE4BA1F" w14:textId="77777777" w:rsidTr="00812887">
        <w:trPr>
          <w:cantSplit/>
        </w:trPr>
        <w:tc>
          <w:tcPr>
            <w:tcW w:w="3227" w:type="dxa"/>
          </w:tcPr>
          <w:p w14:paraId="5716831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5B0DB96" w14:textId="77777777" w:rsidR="002E0D61" w:rsidRPr="00DD2F9B" w:rsidRDefault="002F33A4" w:rsidP="00DD2F9B">
            <w:pPr>
              <w:pStyle w:val="Tablefont"/>
            </w:pPr>
            <w:r w:rsidRPr="002F33A4">
              <w:t>Carcinogenicity – 1</w:t>
            </w:r>
            <w:r>
              <w:t>; H (skin)</w:t>
            </w:r>
          </w:p>
        </w:tc>
      </w:tr>
      <w:tr w:rsidR="002E0D61" w:rsidRPr="004C23F4" w14:paraId="1D5AC4BE" w14:textId="77777777" w:rsidTr="00812887">
        <w:trPr>
          <w:cantSplit/>
        </w:trPr>
        <w:tc>
          <w:tcPr>
            <w:tcW w:w="3227" w:type="dxa"/>
          </w:tcPr>
          <w:p w14:paraId="2DC50CA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B844BBE" w14:textId="77777777" w:rsidR="002E0D61" w:rsidRPr="00DD2F9B" w:rsidRDefault="00BE7E9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C034A60" w14:textId="77777777" w:rsidTr="00812887">
        <w:trPr>
          <w:cantSplit/>
        </w:trPr>
        <w:tc>
          <w:tcPr>
            <w:tcW w:w="3227" w:type="dxa"/>
          </w:tcPr>
          <w:p w14:paraId="3E3A654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14CD7E5" w14:textId="77777777" w:rsidR="002E0D61" w:rsidRPr="00DD2F9B" w:rsidRDefault="00BE7E9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8D60585" w14:textId="77777777" w:rsidTr="00812887">
        <w:trPr>
          <w:cantSplit/>
        </w:trPr>
        <w:tc>
          <w:tcPr>
            <w:tcW w:w="3227" w:type="dxa"/>
          </w:tcPr>
          <w:p w14:paraId="05492B1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3066ED0" w14:textId="77777777" w:rsidR="00386093" w:rsidRPr="00DD2F9B" w:rsidRDefault="000D1D21" w:rsidP="00DD2F9B">
            <w:pPr>
              <w:pStyle w:val="Tablefont"/>
            </w:pPr>
            <w:r>
              <w:t xml:space="preserve">Carcinogenicity </w:t>
            </w:r>
            <w:r w:rsidRPr="002F33A4">
              <w:t xml:space="preserve">– </w:t>
            </w:r>
            <w:r w:rsidR="00BE7E94">
              <w:t>Group 1</w:t>
            </w:r>
          </w:p>
        </w:tc>
      </w:tr>
      <w:tr w:rsidR="00386093" w:rsidRPr="004C23F4" w14:paraId="75E6E7FB" w14:textId="77777777" w:rsidTr="00812887">
        <w:trPr>
          <w:cantSplit/>
        </w:trPr>
        <w:tc>
          <w:tcPr>
            <w:tcW w:w="3227" w:type="dxa"/>
          </w:tcPr>
          <w:p w14:paraId="159E7EA2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C6CD2FB" w14:textId="77777777" w:rsidR="00386093" w:rsidRPr="00DD2F9B" w:rsidRDefault="000D1D2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365E91A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5077FA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569809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BB9E3E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D7F0C4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B761E8E" w14:textId="77777777" w:rsidR="00932DCE" w:rsidRPr="004C23F4" w:rsidRDefault="003E219D" w:rsidP="00F9496B">
            <w:pPr>
              <w:pStyle w:val="Tablefont"/>
            </w:pPr>
            <w:r>
              <w:t xml:space="preserve">Insufficient </w:t>
            </w:r>
            <w:r w:rsidR="00B22A81">
              <w:t xml:space="preserve">data to assign a skin notation </w:t>
            </w:r>
          </w:p>
        </w:tc>
      </w:tr>
    </w:tbl>
    <w:bookmarkEnd w:id="4"/>
    <w:p w14:paraId="5E0789DD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0"/>
        <w:gridCol w:w="4766"/>
      </w:tblGrid>
      <w:tr w:rsidR="00EB3D1B" w14:paraId="4BFCE8AC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240BD59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8ACE5E8" w14:textId="77777777" w:rsidR="00EB3D1B" w:rsidRDefault="003E219D" w:rsidP="00EB3D1B">
                <w:pPr>
                  <w:pStyle w:val="Tablefont"/>
                </w:pPr>
                <w:r>
                  <w:t>No, the chemical is a genotoxic carcinogen</w:t>
                </w:r>
              </w:p>
            </w:tc>
          </w:sdtContent>
        </w:sdt>
      </w:tr>
    </w:tbl>
    <w:p w14:paraId="4076DDD5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0ADC0D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B291BE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3215459" w14:textId="77777777" w:rsidR="001B79E5" w:rsidRDefault="00BE7E94" w:rsidP="001B79E5">
                <w:pPr>
                  <w:pStyle w:val="Tablefont"/>
                </w:pPr>
                <w:r>
                  <w:t>184.3</w:t>
                </w:r>
              </w:p>
            </w:tc>
          </w:sdtContent>
        </w:sdt>
      </w:tr>
      <w:tr w:rsidR="00A31D99" w:rsidRPr="004C23F4" w14:paraId="1BF912E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4CB97C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418B66F1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154DB0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D5607B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87310B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310EAD0" w14:textId="77777777" w:rsidTr="00EA6243">
        <w:trPr>
          <w:cantSplit/>
        </w:trPr>
        <w:tc>
          <w:tcPr>
            <w:tcW w:w="4077" w:type="dxa"/>
            <w:vAlign w:val="center"/>
          </w:tcPr>
          <w:p w14:paraId="0F645FC3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8BA6DB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2C11C26" w14:textId="77777777" w:rsidTr="00EA6243">
        <w:trPr>
          <w:cantSplit/>
        </w:trPr>
        <w:tc>
          <w:tcPr>
            <w:tcW w:w="4077" w:type="dxa"/>
            <w:vAlign w:val="center"/>
          </w:tcPr>
          <w:p w14:paraId="7B0D10C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F491BED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61E2EAF" w14:textId="77777777" w:rsidTr="00EA6243">
        <w:trPr>
          <w:cantSplit/>
        </w:trPr>
        <w:tc>
          <w:tcPr>
            <w:tcW w:w="4077" w:type="dxa"/>
            <w:vAlign w:val="center"/>
          </w:tcPr>
          <w:p w14:paraId="7561E1D3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7215DF4" w14:textId="77777777" w:rsidR="00E06F40" w:rsidRPr="00A006A0" w:rsidRDefault="001B75B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EF1CFA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25CFB8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DB74E7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C49480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8E2206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42937D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C50F56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60279B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804614F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B15E8E5" w14:textId="45124E7D" w:rsidR="003E219D" w:rsidRDefault="003E219D" w:rsidP="003E219D">
      <w:r w:rsidRPr="003E219D">
        <w:t>Deutsche Fo</w:t>
      </w:r>
      <w:r>
        <w:t>rschungsgemeinschaft (DFG) (2018</w:t>
      </w:r>
      <w:r w:rsidRPr="003E219D">
        <w:t xml:space="preserve">) </w:t>
      </w:r>
      <w:r>
        <w:t>List of MAK and BAT Values</w:t>
      </w:r>
      <w:r w:rsidRPr="003E219D">
        <w:t>.</w:t>
      </w:r>
    </w:p>
    <w:p w14:paraId="78D548FA" w14:textId="284141BD" w:rsidR="00474DA7" w:rsidRDefault="00474DA7" w:rsidP="00474DA7">
      <w:r>
        <w:t>International Agency for Research on Cancer (IRAC) (2012) 100F Dyes Metabolized to Benzidine. IRAC Monographs on the evaluation of the carcinogenic risk to humans.</w:t>
      </w:r>
    </w:p>
    <w:p w14:paraId="329460D3" w14:textId="74CFEF20" w:rsidR="0076497E" w:rsidRDefault="0076497E" w:rsidP="003E219D">
      <w:r w:rsidRPr="0076497E">
        <w:t xml:space="preserve">National Industrial Chemicals Notification and </w:t>
      </w:r>
      <w:r>
        <w:t>Assessment Scheme (NICNAS) (2019</w:t>
      </w:r>
      <w:r w:rsidRPr="0076497E">
        <w:t xml:space="preserve">) </w:t>
      </w:r>
      <w:r w:rsidR="00B03396" w:rsidRPr="00B03396">
        <w:t>[1</w:t>
      </w:r>
      <w:proofErr w:type="gramStart"/>
      <w:r w:rsidR="00B03396" w:rsidRPr="00B03396">
        <w:t>,1'</w:t>
      </w:r>
      <w:proofErr w:type="gramEnd"/>
      <w:r w:rsidR="00B03396" w:rsidRPr="00B03396">
        <w:t>-Biphenyl]-4,4'-diamine</w:t>
      </w:r>
      <w:r w:rsidR="00B03396">
        <w:t>: Human health tier I</w:t>
      </w:r>
      <w:r w:rsidRPr="0076497E">
        <w:t xml:space="preserve"> assessment – IMAP report.</w:t>
      </w:r>
    </w:p>
    <w:p w14:paraId="39A0EFA0" w14:textId="77777777" w:rsidR="00474DA7" w:rsidRDefault="00474DA7" w:rsidP="00474DA7">
      <w:r>
        <w:t>Tenth Adaptation to Technical Progress Commission Regulation (EU) No 2017/776 amending, for the purpose of its adaptation to technical and scientific progress, Regulation (EC) No 1272/2008 of the European Parliament and of the Council on classification, labelling and packaging of substances and mixtures (the CLP Regulation).</w:t>
      </w:r>
    </w:p>
    <w:p w14:paraId="01534B02" w14:textId="77777777" w:rsidR="001F650E" w:rsidRPr="00351FE0" w:rsidRDefault="001F650E" w:rsidP="003E219D">
      <w:r w:rsidRPr="001F650E">
        <w:t xml:space="preserve">US Environmental </w:t>
      </w:r>
      <w:r>
        <w:t>Protection Agency (US EPA) (1989</w:t>
      </w:r>
      <w:r w:rsidRPr="001F650E">
        <w:t xml:space="preserve">) </w:t>
      </w:r>
      <w:r>
        <w:t>Benzidine. Integrated Risk Information System (IRIS) Chemical Assessment Summary</w:t>
      </w:r>
    </w:p>
    <w:sectPr w:rsidR="001F650E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1261B" w14:textId="77777777" w:rsidR="008C79E7" w:rsidRDefault="008C79E7" w:rsidP="00F43AD5">
      <w:pPr>
        <w:spacing w:after="0" w:line="240" w:lineRule="auto"/>
      </w:pPr>
      <w:r>
        <w:separator/>
      </w:r>
    </w:p>
  </w:endnote>
  <w:endnote w:type="continuationSeparator" w:id="0">
    <w:p w14:paraId="5444DF72" w14:textId="77777777" w:rsidR="008C79E7" w:rsidRDefault="008C79E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8D6AAF" w14:textId="77777777" w:rsidR="008A36CF" w:rsidRDefault="00CF03B3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Benzidine</w:t>
        </w:r>
        <w:r w:rsidR="008A36CF">
          <w:rPr>
            <w:b/>
            <w:sz w:val="18"/>
            <w:szCs w:val="18"/>
          </w:rPr>
          <w:t xml:space="preserve"> (</w:t>
        </w:r>
        <w:r w:rsidRPr="00CF03B3">
          <w:rPr>
            <w:b/>
            <w:sz w:val="18"/>
            <w:szCs w:val="18"/>
          </w:rPr>
          <w:t>92-87-5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3142756C" w14:textId="7F50C7A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B75B1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00337" w14:textId="77777777" w:rsidR="008C79E7" w:rsidRDefault="008C79E7" w:rsidP="00F43AD5">
      <w:pPr>
        <w:spacing w:after="0" w:line="240" w:lineRule="auto"/>
      </w:pPr>
      <w:r>
        <w:separator/>
      </w:r>
    </w:p>
  </w:footnote>
  <w:footnote w:type="continuationSeparator" w:id="0">
    <w:p w14:paraId="4D6AE0EC" w14:textId="77777777" w:rsidR="008C79E7" w:rsidRDefault="008C79E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5D38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6906B1CF" wp14:editId="40E039FA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E7FC9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8BA91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528E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1D21"/>
    <w:rsid w:val="000D291C"/>
    <w:rsid w:val="000E3E8E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5B1"/>
    <w:rsid w:val="001B79E5"/>
    <w:rsid w:val="001D56F0"/>
    <w:rsid w:val="001D663B"/>
    <w:rsid w:val="001D7B41"/>
    <w:rsid w:val="001E46DA"/>
    <w:rsid w:val="001E7D80"/>
    <w:rsid w:val="001F4B6C"/>
    <w:rsid w:val="001F62CB"/>
    <w:rsid w:val="001F650E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6424"/>
    <w:rsid w:val="00227EC7"/>
    <w:rsid w:val="00244AD1"/>
    <w:rsid w:val="002463BC"/>
    <w:rsid w:val="002465CE"/>
    <w:rsid w:val="0025183A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F33A4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219D"/>
    <w:rsid w:val="003E51FB"/>
    <w:rsid w:val="003E6B39"/>
    <w:rsid w:val="003F07E1"/>
    <w:rsid w:val="003F6BD5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DA7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2A1E"/>
    <w:rsid w:val="004D4AA1"/>
    <w:rsid w:val="004D6D68"/>
    <w:rsid w:val="004E52A6"/>
    <w:rsid w:val="004E5EDD"/>
    <w:rsid w:val="004F448A"/>
    <w:rsid w:val="004F493D"/>
    <w:rsid w:val="004F65E8"/>
    <w:rsid w:val="0050005E"/>
    <w:rsid w:val="00502B88"/>
    <w:rsid w:val="005142C4"/>
    <w:rsid w:val="0051509C"/>
    <w:rsid w:val="005267E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A46B3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44B2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3ED5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3239"/>
    <w:rsid w:val="007365D1"/>
    <w:rsid w:val="00740E0E"/>
    <w:rsid w:val="00750212"/>
    <w:rsid w:val="00754779"/>
    <w:rsid w:val="0075716D"/>
    <w:rsid w:val="0076497E"/>
    <w:rsid w:val="00765F14"/>
    <w:rsid w:val="00770E31"/>
    <w:rsid w:val="007770F1"/>
    <w:rsid w:val="00783FB1"/>
    <w:rsid w:val="00785CDD"/>
    <w:rsid w:val="0078602E"/>
    <w:rsid w:val="00791847"/>
    <w:rsid w:val="007925F0"/>
    <w:rsid w:val="007939B3"/>
    <w:rsid w:val="0079509C"/>
    <w:rsid w:val="00796708"/>
    <w:rsid w:val="007B1B42"/>
    <w:rsid w:val="007C30EB"/>
    <w:rsid w:val="007D7C84"/>
    <w:rsid w:val="007E063C"/>
    <w:rsid w:val="007E2A4B"/>
    <w:rsid w:val="007E307D"/>
    <w:rsid w:val="007E6A4E"/>
    <w:rsid w:val="007E6C94"/>
    <w:rsid w:val="007F1005"/>
    <w:rsid w:val="007F25E0"/>
    <w:rsid w:val="007F5328"/>
    <w:rsid w:val="007F5B46"/>
    <w:rsid w:val="00804F5A"/>
    <w:rsid w:val="00810C6D"/>
    <w:rsid w:val="00812887"/>
    <w:rsid w:val="00826F21"/>
    <w:rsid w:val="00832AF3"/>
    <w:rsid w:val="00834CC8"/>
    <w:rsid w:val="00835E00"/>
    <w:rsid w:val="00837113"/>
    <w:rsid w:val="008414E4"/>
    <w:rsid w:val="00843E21"/>
    <w:rsid w:val="0084508E"/>
    <w:rsid w:val="0085708F"/>
    <w:rsid w:val="00857A8A"/>
    <w:rsid w:val="008630EE"/>
    <w:rsid w:val="00864D13"/>
    <w:rsid w:val="00871CD5"/>
    <w:rsid w:val="008745A2"/>
    <w:rsid w:val="008768A8"/>
    <w:rsid w:val="00884DC1"/>
    <w:rsid w:val="0088798F"/>
    <w:rsid w:val="00887E4B"/>
    <w:rsid w:val="008915C8"/>
    <w:rsid w:val="008A0788"/>
    <w:rsid w:val="008A36CF"/>
    <w:rsid w:val="008A3BC4"/>
    <w:rsid w:val="008B403C"/>
    <w:rsid w:val="008B7983"/>
    <w:rsid w:val="008C2511"/>
    <w:rsid w:val="008C79E7"/>
    <w:rsid w:val="008D026D"/>
    <w:rsid w:val="008D23AB"/>
    <w:rsid w:val="008D4B8B"/>
    <w:rsid w:val="008D5826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7192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36455"/>
    <w:rsid w:val="00A402A3"/>
    <w:rsid w:val="00A47BA5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3396"/>
    <w:rsid w:val="00B1422A"/>
    <w:rsid w:val="00B1765C"/>
    <w:rsid w:val="00B213C4"/>
    <w:rsid w:val="00B22A81"/>
    <w:rsid w:val="00B40C60"/>
    <w:rsid w:val="00B479A9"/>
    <w:rsid w:val="00B52EDF"/>
    <w:rsid w:val="00B67961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13A6"/>
    <w:rsid w:val="00BD499F"/>
    <w:rsid w:val="00BD56DE"/>
    <w:rsid w:val="00BE7E94"/>
    <w:rsid w:val="00BF2406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6557"/>
    <w:rsid w:val="00C67FFB"/>
    <w:rsid w:val="00C7155E"/>
    <w:rsid w:val="00C71D1E"/>
    <w:rsid w:val="00C71D7D"/>
    <w:rsid w:val="00C74833"/>
    <w:rsid w:val="00C76368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8B5"/>
    <w:rsid w:val="00CE5AD6"/>
    <w:rsid w:val="00CE617F"/>
    <w:rsid w:val="00CE78EF"/>
    <w:rsid w:val="00CF03B3"/>
    <w:rsid w:val="00D048F7"/>
    <w:rsid w:val="00D0517E"/>
    <w:rsid w:val="00D140FC"/>
    <w:rsid w:val="00D168B2"/>
    <w:rsid w:val="00D21D8C"/>
    <w:rsid w:val="00D31357"/>
    <w:rsid w:val="00D33220"/>
    <w:rsid w:val="00D334D1"/>
    <w:rsid w:val="00D406A4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4AD3"/>
    <w:rsid w:val="00E26A07"/>
    <w:rsid w:val="00E32595"/>
    <w:rsid w:val="00E37CFD"/>
    <w:rsid w:val="00E41A26"/>
    <w:rsid w:val="00E46BCB"/>
    <w:rsid w:val="00E51CAF"/>
    <w:rsid w:val="00E60F04"/>
    <w:rsid w:val="00E61459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3281"/>
    <w:rsid w:val="00F16019"/>
    <w:rsid w:val="00F20E68"/>
    <w:rsid w:val="00F22093"/>
    <w:rsid w:val="00F236DF"/>
    <w:rsid w:val="00F43AD5"/>
    <w:rsid w:val="00F4402E"/>
    <w:rsid w:val="00F56DD0"/>
    <w:rsid w:val="00F61990"/>
    <w:rsid w:val="00F6491C"/>
    <w:rsid w:val="00F67BBB"/>
    <w:rsid w:val="00F87D92"/>
    <w:rsid w:val="00F90AA7"/>
    <w:rsid w:val="00F92498"/>
    <w:rsid w:val="00F9496B"/>
    <w:rsid w:val="00F970C9"/>
    <w:rsid w:val="00FA06A8"/>
    <w:rsid w:val="00FA22D8"/>
    <w:rsid w:val="00FA3DF5"/>
    <w:rsid w:val="00FA741F"/>
    <w:rsid w:val="00FB37E3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1CF53F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832AF3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E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ED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ED5"/>
    <w:rPr>
      <w:b/>
      <w:bCs/>
      <w:szCs w:val="20"/>
    </w:rPr>
  </w:style>
  <w:style w:type="paragraph" w:styleId="Revision">
    <w:name w:val="Revision"/>
    <w:hidden/>
    <w:uiPriority w:val="99"/>
    <w:semiHidden/>
    <w:rsid w:val="00D40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047AD93791DC493F8562BB34881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63B6-C115-4EF7-97B0-A1A4995B6C1D}"/>
      </w:docPartPr>
      <w:docPartBody>
        <w:p w:rsidR="00D21A9F" w:rsidRDefault="00D21A9F">
          <w:pPr>
            <w:pStyle w:val="047AD93791DC493F8562BB3488160D6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7B0BAA2441D5427984E6018FB389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5C92-832B-40AB-8BE2-B7067B457426}"/>
      </w:docPartPr>
      <w:docPartBody>
        <w:p w:rsidR="00D21A9F" w:rsidRDefault="00D21A9F">
          <w:pPr>
            <w:pStyle w:val="7B0BAA2441D5427984E6018FB38900E7"/>
          </w:pPr>
          <w:r w:rsidRPr="00CA109A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1D38B030D146B59436754F8399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45D3-FCC7-4128-9931-F2D9B6FFD50C}"/>
      </w:docPartPr>
      <w:docPartBody>
        <w:p w:rsidR="00D21A9F" w:rsidRDefault="00D21A9F">
          <w:pPr>
            <w:pStyle w:val="5C1D38B030D146B59436754F8399D502"/>
          </w:pPr>
          <w:r w:rsidRPr="00121186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C4993"/>
    <w:rsid w:val="00511EEA"/>
    <w:rsid w:val="00C35004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BE83-C261-494D-8B3A-0989BE92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9632C7-01AA-400A-8FA8-12E6BDAC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FD143F17.dotm</Template>
  <TotalTime>37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11</cp:revision>
  <cp:lastPrinted>2018-10-22T22:41:00Z</cp:lastPrinted>
  <dcterms:created xsi:type="dcterms:W3CDTF">2019-07-05T05:03:00Z</dcterms:created>
  <dcterms:modified xsi:type="dcterms:W3CDTF">2019-08-15T23:30:00Z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