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AA3D2A1" w14:textId="77777777" w:rsidR="00BD499F" w:rsidRPr="004C23F4" w:rsidRDefault="005C309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m-phenylenediamine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0D914D05" w14:textId="77777777" w:rsidTr="00B76A41">
        <w:trPr>
          <w:cantSplit/>
          <w:tblHeader/>
        </w:trPr>
        <w:tc>
          <w:tcPr>
            <w:tcW w:w="4077" w:type="dxa"/>
          </w:tcPr>
          <w:p w14:paraId="49D42B8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B96A6FE" w14:textId="77777777" w:rsidR="00F43AD5" w:rsidRPr="00717D45" w:rsidRDefault="005C309A" w:rsidP="00B76A41">
            <w:pPr>
              <w:pStyle w:val="Tablefont"/>
            </w:pPr>
            <w:r>
              <w:t>108-45-2</w:t>
            </w:r>
          </w:p>
        </w:tc>
      </w:tr>
      <w:tr w:rsidR="00F43AD5" w:rsidRPr="004C23F4" w14:paraId="1E793886" w14:textId="77777777" w:rsidTr="00B76A41">
        <w:trPr>
          <w:cantSplit/>
        </w:trPr>
        <w:tc>
          <w:tcPr>
            <w:tcW w:w="4077" w:type="dxa"/>
          </w:tcPr>
          <w:p w14:paraId="1A447E4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0AD2BE1" w14:textId="77777777" w:rsidR="00F43AD5" w:rsidRPr="00717D45" w:rsidRDefault="005C309A" w:rsidP="00B76A41">
            <w:pPr>
              <w:pStyle w:val="Tablefont"/>
            </w:pPr>
            <w:r>
              <w:t xml:space="preserve">1,3-Benzenediamine, </w:t>
            </w:r>
            <w:r w:rsidRPr="000B1C0B">
              <w:rPr>
                <w:i/>
              </w:rPr>
              <w:t>m</w:t>
            </w:r>
            <w:r>
              <w:t>-diaminobenzene</w:t>
            </w:r>
          </w:p>
        </w:tc>
      </w:tr>
      <w:tr w:rsidR="00F43AD5" w:rsidRPr="004C23F4" w14:paraId="741403FB" w14:textId="77777777" w:rsidTr="00B76A41">
        <w:trPr>
          <w:cantSplit/>
        </w:trPr>
        <w:tc>
          <w:tcPr>
            <w:tcW w:w="4077" w:type="dxa"/>
          </w:tcPr>
          <w:p w14:paraId="2B7A21B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76CCD7E" w14:textId="77777777" w:rsidR="00F43AD5" w:rsidRPr="00717D45" w:rsidRDefault="0081001A" w:rsidP="00B76A41">
            <w:pPr>
              <w:pStyle w:val="Tablefont"/>
            </w:pPr>
            <w:r>
              <w:t>C</w:t>
            </w:r>
            <w:r w:rsidRPr="0081001A">
              <w:rPr>
                <w:vertAlign w:val="subscript"/>
              </w:rPr>
              <w:t>6</w:t>
            </w:r>
            <w:r>
              <w:t>H</w:t>
            </w:r>
            <w:r w:rsidRPr="0081001A">
              <w:rPr>
                <w:vertAlign w:val="subscript"/>
              </w:rPr>
              <w:t>8</w:t>
            </w:r>
            <w:r>
              <w:t>N</w:t>
            </w:r>
            <w:r w:rsidRPr="0081001A">
              <w:rPr>
                <w:vertAlign w:val="subscript"/>
              </w:rPr>
              <w:t>2</w:t>
            </w:r>
          </w:p>
        </w:tc>
      </w:tr>
      <w:tr w:rsidR="00F43AD5" w:rsidRPr="004C23F4" w14:paraId="409F76F1" w14:textId="77777777" w:rsidTr="00B76A41">
        <w:trPr>
          <w:cantSplit/>
        </w:trPr>
        <w:tc>
          <w:tcPr>
            <w:tcW w:w="4077" w:type="dxa"/>
          </w:tcPr>
          <w:p w14:paraId="3EE9B0A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62A522E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0A2D949" w14:textId="081713B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C736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CFDD11A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4276A84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D226EB4" w14:textId="064785F6" w:rsidR="002C7AFE" w:rsidRPr="005C7367" w:rsidRDefault="005C7367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5646270B" w14:textId="77777777" w:rsidTr="00037E52">
        <w:trPr>
          <w:cantSplit/>
        </w:trPr>
        <w:tc>
          <w:tcPr>
            <w:tcW w:w="4010" w:type="dxa"/>
            <w:vAlign w:val="center"/>
          </w:tcPr>
          <w:p w14:paraId="004B808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B8E89B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25B441F" w14:textId="77777777" w:rsidTr="00037E52">
        <w:trPr>
          <w:cantSplit/>
        </w:trPr>
        <w:tc>
          <w:tcPr>
            <w:tcW w:w="4010" w:type="dxa"/>
            <w:vAlign w:val="center"/>
          </w:tcPr>
          <w:p w14:paraId="5C54B912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394CCCD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48CED59" w14:textId="77777777" w:rsidTr="00037E52">
        <w:trPr>
          <w:cantSplit/>
        </w:trPr>
        <w:tc>
          <w:tcPr>
            <w:tcW w:w="4010" w:type="dxa"/>
          </w:tcPr>
          <w:p w14:paraId="1251484F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34FB984" w14:textId="4637ED06" w:rsidR="00037E52" w:rsidRPr="00EB3D1B" w:rsidRDefault="000B1C0B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Sk., DSEN</w:t>
            </w:r>
          </w:p>
        </w:tc>
      </w:tr>
      <w:tr w:rsidR="00037E52" w:rsidRPr="004C23F4" w14:paraId="52C75299" w14:textId="77777777" w:rsidTr="00037E52">
        <w:trPr>
          <w:cantSplit/>
        </w:trPr>
        <w:tc>
          <w:tcPr>
            <w:tcW w:w="4010" w:type="dxa"/>
            <w:vAlign w:val="center"/>
          </w:tcPr>
          <w:p w14:paraId="1D7A347E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43C925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627946" w:rsidRPr="004C23F4" w14:paraId="3D3C4A74" w14:textId="77777777" w:rsidTr="00390DA1">
        <w:trPr>
          <w:cantSplit/>
        </w:trPr>
        <w:tc>
          <w:tcPr>
            <w:tcW w:w="9026" w:type="dxa"/>
            <w:gridSpan w:val="2"/>
            <w:vAlign w:val="center"/>
          </w:tcPr>
          <w:p w14:paraId="1AB56DA6" w14:textId="7175AD51" w:rsidR="00627946" w:rsidRPr="00EB3D1B" w:rsidRDefault="00627946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Sampling and</w:t>
            </w:r>
            <w:r w:rsidRPr="00627946">
              <w:rPr>
                <w:b/>
              </w:rPr>
              <w:t xml:space="preserve"> analysis:</w:t>
            </w:r>
            <w:r w:rsidRPr="00627946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0B26E7B01A54D3886E8E5835F48741B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B1C0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D01131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D472A9C" w14:textId="19372D16" w:rsidR="006639B4" w:rsidRPr="004C23F4" w:rsidRDefault="005C7367" w:rsidP="000C139A">
      <w:pPr>
        <w:rPr>
          <w:rFonts w:cs="Arial"/>
        </w:rPr>
      </w:pPr>
      <w:r>
        <w:t>A</w:t>
      </w:r>
      <w:r w:rsidRPr="00086A46">
        <w:t xml:space="preserve"> TWA of </w:t>
      </w:r>
      <w:r>
        <w:t>0.1 mg/m</w:t>
      </w:r>
      <w:r>
        <w:rPr>
          <w:vertAlign w:val="superscript"/>
        </w:rPr>
        <w:t>3</w:t>
      </w:r>
      <w:r w:rsidRPr="00086A46">
        <w:t xml:space="preserve"> is recommended to </w:t>
      </w:r>
      <w:r>
        <w:t>protect for potential liver effects and skin irritation in exposed workers.</w:t>
      </w:r>
    </w:p>
    <w:p w14:paraId="6E3A6BC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FEE4E2C" w14:textId="50FB3C75" w:rsidR="00925054" w:rsidRPr="00E62D9E" w:rsidRDefault="00721A59" w:rsidP="006639B4">
      <w:proofErr w:type="gramStart"/>
      <w:r w:rsidRPr="00E62D9E">
        <w:rPr>
          <w:rFonts w:cs="Arial"/>
          <w:i/>
        </w:rPr>
        <w:t>m</w:t>
      </w:r>
      <w:r w:rsidRPr="00E62D9E">
        <w:rPr>
          <w:rFonts w:cs="Arial"/>
        </w:rPr>
        <w:t>-</w:t>
      </w:r>
      <w:proofErr w:type="spellStart"/>
      <w:r w:rsidRPr="00E62D9E">
        <w:rPr>
          <w:rFonts w:cs="Arial"/>
        </w:rPr>
        <w:t>Phenylenediamine</w:t>
      </w:r>
      <w:proofErr w:type="spellEnd"/>
      <w:proofErr w:type="gramEnd"/>
      <w:r w:rsidRPr="00E62D9E">
        <w:rPr>
          <w:rFonts w:cs="Arial"/>
        </w:rPr>
        <w:t xml:space="preserve"> </w:t>
      </w:r>
      <w:r w:rsidR="008C3834" w:rsidRPr="00E62D9E">
        <w:rPr>
          <w:rFonts w:cs="Arial"/>
        </w:rPr>
        <w:t>is</w:t>
      </w:r>
      <w:r w:rsidRPr="00E62D9E">
        <w:rPr>
          <w:rFonts w:cs="Arial"/>
        </w:rPr>
        <w:t xml:space="preserve"> use</w:t>
      </w:r>
      <w:r w:rsidR="008C3834" w:rsidRPr="00E62D9E">
        <w:rPr>
          <w:rFonts w:cs="Arial"/>
        </w:rPr>
        <w:t>d</w:t>
      </w:r>
      <w:r w:rsidRPr="00E62D9E">
        <w:rPr>
          <w:rFonts w:cs="Arial"/>
        </w:rPr>
        <w:t xml:space="preserve"> in permanent hair dye preparations. It is also used </w:t>
      </w:r>
      <w:r w:rsidR="0057760B" w:rsidRPr="00E62D9E">
        <w:t>in dyes</w:t>
      </w:r>
      <w:r w:rsidRPr="00E62D9E">
        <w:t xml:space="preserve"> for textiles and other materials and as a component of photographic developing.</w:t>
      </w:r>
      <w:r w:rsidR="0057760B" w:rsidRPr="00E62D9E">
        <w:t xml:space="preserve"> </w:t>
      </w:r>
    </w:p>
    <w:p w14:paraId="636038C7" w14:textId="77777777" w:rsidR="00B64120" w:rsidRPr="00E62D9E" w:rsidRDefault="0057760B" w:rsidP="00086A46">
      <w:r w:rsidRPr="00E62D9E">
        <w:t xml:space="preserve">Critical effects </w:t>
      </w:r>
      <w:r w:rsidR="00925054" w:rsidRPr="00E62D9E">
        <w:t xml:space="preserve">of </w:t>
      </w:r>
      <w:r w:rsidRPr="00E62D9E">
        <w:t>exposure are potential liver injury, skin irritation and dermatitis.</w:t>
      </w:r>
      <w:r w:rsidR="00925054" w:rsidRPr="00E62D9E">
        <w:t xml:space="preserve"> </w:t>
      </w:r>
    </w:p>
    <w:p w14:paraId="1F6FC8F5" w14:textId="48AD04E7" w:rsidR="00086A46" w:rsidRPr="00E62D9E" w:rsidRDefault="009050FC" w:rsidP="00086A46">
      <w:r w:rsidRPr="00E62D9E">
        <w:t xml:space="preserve">No inhalation data </w:t>
      </w:r>
      <w:r w:rsidR="008C3834" w:rsidRPr="00E62D9E">
        <w:t>are</w:t>
      </w:r>
      <w:r w:rsidRPr="00E62D9E">
        <w:t xml:space="preserve"> available. </w:t>
      </w:r>
      <w:proofErr w:type="gramStart"/>
      <w:r w:rsidR="000B1C0B" w:rsidRPr="00E62D9E">
        <w:rPr>
          <w:i/>
        </w:rPr>
        <w:t>m</w:t>
      </w:r>
      <w:r w:rsidR="000B1C0B" w:rsidRPr="00E62D9E">
        <w:t>-</w:t>
      </w:r>
      <w:proofErr w:type="spellStart"/>
      <w:r w:rsidR="000B1C0B" w:rsidRPr="00E62D9E">
        <w:t>P</w:t>
      </w:r>
      <w:r w:rsidR="0057760B" w:rsidRPr="00E62D9E">
        <w:t>henylenediamine</w:t>
      </w:r>
      <w:proofErr w:type="spellEnd"/>
      <w:proofErr w:type="gramEnd"/>
      <w:r w:rsidR="0057760B" w:rsidRPr="00E62D9E">
        <w:t xml:space="preserve"> produced a slight burning and itching of the skin</w:t>
      </w:r>
      <w:r w:rsidRPr="00E62D9E">
        <w:t xml:space="preserve"> when applied topically to humans. It also produced allergic reaction in workers exposed during production of the chemical. A</w:t>
      </w:r>
      <w:r w:rsidR="00B64120" w:rsidRPr="00E62D9E">
        <w:t xml:space="preserve"> NOAEL of 6 mg/kg/day for effects on the liver</w:t>
      </w:r>
      <w:r w:rsidR="00B64120" w:rsidRPr="00E62D9E" w:rsidDel="00B64120">
        <w:t xml:space="preserve"> </w:t>
      </w:r>
      <w:r w:rsidR="00B64120" w:rsidRPr="00E62D9E">
        <w:t xml:space="preserve">reported in a </w:t>
      </w:r>
      <w:r w:rsidR="00EC0454" w:rsidRPr="00E62D9E">
        <w:t xml:space="preserve">90-day </w:t>
      </w:r>
      <w:r w:rsidR="00B64120" w:rsidRPr="00E62D9E">
        <w:t xml:space="preserve">rat </w:t>
      </w:r>
      <w:r w:rsidRPr="00E62D9E">
        <w:t xml:space="preserve">study </w:t>
      </w:r>
      <w:r w:rsidR="00B64120" w:rsidRPr="00E62D9E">
        <w:t>by gavage</w:t>
      </w:r>
      <w:r w:rsidRPr="00E62D9E">
        <w:t>.</w:t>
      </w:r>
      <w:r w:rsidR="00086A46" w:rsidRPr="00E62D9E">
        <w:t xml:space="preserve"> A 10% alcoholic m-</w:t>
      </w:r>
      <w:proofErr w:type="spellStart"/>
      <w:r w:rsidR="00086A46" w:rsidRPr="00E62D9E">
        <w:t>phenylenediamine</w:t>
      </w:r>
      <w:proofErr w:type="spellEnd"/>
      <w:r w:rsidR="00086A46" w:rsidRPr="00E62D9E">
        <w:t xml:space="preserve"> solution applied to the skin of rabbits caused </w:t>
      </w:r>
      <w:r w:rsidR="00B64120" w:rsidRPr="00E62D9E">
        <w:t xml:space="preserve">local, moderate dermatitis but </w:t>
      </w:r>
      <w:r w:rsidR="00086A46" w:rsidRPr="00E62D9E">
        <w:t>no sign of systemic toxicity (ACGIH, 2018).</w:t>
      </w:r>
    </w:p>
    <w:p w14:paraId="57B872E7" w14:textId="643B2C1D" w:rsidR="0057760B" w:rsidRPr="00E62D9E" w:rsidRDefault="00086A46" w:rsidP="006639B4">
      <w:pPr>
        <w:rPr>
          <w:rFonts w:cs="Arial"/>
        </w:rPr>
      </w:pPr>
      <w:r w:rsidRPr="00E62D9E">
        <w:t xml:space="preserve">Given the limited available data, the </w:t>
      </w:r>
      <w:r w:rsidR="00B64120" w:rsidRPr="00E62D9E">
        <w:t xml:space="preserve">SWA </w:t>
      </w:r>
      <w:r w:rsidRPr="00E62D9E">
        <w:t>TWA of 0.1 mg/m</w:t>
      </w:r>
      <w:r w:rsidRPr="00E62D9E">
        <w:rPr>
          <w:vertAlign w:val="superscript"/>
        </w:rPr>
        <w:t>3</w:t>
      </w:r>
      <w:r w:rsidR="00B64120" w:rsidRPr="00E62D9E">
        <w:t>, the same as the TLV-TWA by ACGIH (2018)</w:t>
      </w:r>
      <w:r w:rsidRPr="00E62D9E">
        <w:t xml:space="preserve"> is recommended to limit any liver and irritant effects.</w:t>
      </w:r>
    </w:p>
    <w:p w14:paraId="7513C92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31A04D1" w14:textId="56FF5956" w:rsidR="008E4F1F" w:rsidRPr="005C7367" w:rsidRDefault="008E4F1F" w:rsidP="008E4F1F">
      <w:pPr>
        <w:rPr>
          <w:rFonts w:cs="Arial"/>
        </w:rPr>
      </w:pPr>
      <w:r w:rsidRPr="005C7367">
        <w:rPr>
          <w:rFonts w:cs="Arial"/>
        </w:rPr>
        <w:t>Not classified as a carcinogen according to the Globally Harmonized System of Classification and Labelling o</w:t>
      </w:r>
      <w:r w:rsidR="002A065E">
        <w:rPr>
          <w:rFonts w:cs="Arial"/>
        </w:rPr>
        <w:t>f</w:t>
      </w:r>
      <w:r w:rsidRPr="005C7367">
        <w:rPr>
          <w:rFonts w:cs="Arial"/>
        </w:rPr>
        <w:t xml:space="preserve"> Chemicals (GHS). </w:t>
      </w:r>
    </w:p>
    <w:p w14:paraId="68377966" w14:textId="78EDDF16" w:rsidR="008E4F1F" w:rsidRPr="005C7367" w:rsidRDefault="005C7367" w:rsidP="008E4F1F">
      <w:pPr>
        <w:rPr>
          <w:rFonts w:cs="Arial"/>
        </w:rPr>
      </w:pPr>
      <w:r w:rsidRPr="005C7367">
        <w:rPr>
          <w:rFonts w:cs="Arial"/>
        </w:rPr>
        <w:t>C</w:t>
      </w:r>
      <w:r w:rsidR="008E4F1F" w:rsidRPr="005C7367">
        <w:rPr>
          <w:rFonts w:cs="Arial"/>
        </w:rPr>
        <w:t>lassified as a skin</w:t>
      </w:r>
      <w:r w:rsidRPr="005C7367">
        <w:rPr>
          <w:rFonts w:cs="Arial"/>
        </w:rPr>
        <w:t xml:space="preserve"> sensitiser</w:t>
      </w:r>
      <w:r w:rsidR="008E4F1F" w:rsidRPr="005C7367">
        <w:rPr>
          <w:rFonts w:cs="Arial"/>
        </w:rPr>
        <w:t xml:space="preserve"> </w:t>
      </w:r>
      <w:r w:rsidR="00925054">
        <w:rPr>
          <w:rFonts w:cs="Arial"/>
        </w:rPr>
        <w:t>and</w:t>
      </w:r>
      <w:r w:rsidR="00925054" w:rsidRPr="005C7367">
        <w:rPr>
          <w:rFonts w:cs="Arial"/>
        </w:rPr>
        <w:t xml:space="preserve"> </w:t>
      </w:r>
      <w:r w:rsidRPr="005C7367">
        <w:rPr>
          <w:rFonts w:cs="Arial"/>
        </w:rPr>
        <w:t>not a</w:t>
      </w:r>
      <w:r w:rsidR="008E4F1F" w:rsidRPr="005C7367">
        <w:rPr>
          <w:rFonts w:cs="Arial"/>
        </w:rPr>
        <w:t xml:space="preserve"> respiratory sensitiser according to the GHS.</w:t>
      </w:r>
    </w:p>
    <w:p w14:paraId="33393617" w14:textId="32CBF775" w:rsidR="004529F0" w:rsidRPr="004C23F4" w:rsidRDefault="005C7367" w:rsidP="008E4F1F">
      <w:pPr>
        <w:rPr>
          <w:rFonts w:cs="Arial"/>
        </w:rPr>
      </w:pPr>
      <w:r w:rsidRPr="005C7367">
        <w:rPr>
          <w:rFonts w:cs="Arial"/>
        </w:rPr>
        <w:t>A skin notation is recommended based on evidence of systemic effects following dermal exposure in humans</w:t>
      </w:r>
      <w:r w:rsidR="00DE2841">
        <w:rPr>
          <w:rFonts w:cs="Arial"/>
        </w:rPr>
        <w:t>.</w:t>
      </w:r>
    </w:p>
    <w:p w14:paraId="34DCE9BF" w14:textId="77777777" w:rsidR="0025734A" w:rsidRPr="004C23F4" w:rsidRDefault="0025734A">
      <w:pPr>
        <w:rPr>
          <w:rFonts w:cs="Arial"/>
        </w:rPr>
      </w:pPr>
    </w:p>
    <w:p w14:paraId="1A00129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FD6DCC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0E0FD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773EBD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264934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4F6C3F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2C0633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1665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1665A">
                  <w:t>TWA: 0.1 mg/m</w:t>
                </w:r>
                <w:r w:rsidR="00F1665A" w:rsidRPr="00F1665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98F53F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C8DB3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6583AD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958D3C" w14:textId="01410ED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46B6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46B6B">
                  <w:t>TLV-</w:t>
                </w:r>
                <w:r w:rsidR="00246B6B" w:rsidRPr="00246B6B">
                  <w:t>TWA: 0.1 mg/m</w:t>
                </w:r>
                <w:r w:rsidR="00246B6B" w:rsidRPr="00246B6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2BF940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F31039" w14:textId="2795FED9" w:rsidR="00C978F0" w:rsidRDefault="00721A59" w:rsidP="002A065E">
            <w:pPr>
              <w:pStyle w:val="Tabletextprimarysource"/>
            </w:pPr>
            <w:r>
              <w:t>TLV-TWA recommended to minimise the potential for possible liver injury, skin irritation and dermatitis.</w:t>
            </w:r>
          </w:p>
          <w:p w14:paraId="2D3B5E09" w14:textId="77777777" w:rsidR="00721A59" w:rsidRDefault="00721A59" w:rsidP="002A065E">
            <w:pPr>
              <w:pStyle w:val="Tabletextprimarysource"/>
            </w:pPr>
            <w:r>
              <w:t>Summary of data:</w:t>
            </w:r>
          </w:p>
          <w:p w14:paraId="1B85A226" w14:textId="77777777" w:rsidR="008C3834" w:rsidRDefault="00721A59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Shares same toxicity profile as </w:t>
            </w:r>
            <w:r w:rsidRPr="008C3834">
              <w:rPr>
                <w:i/>
              </w:rPr>
              <w:t>p</w:t>
            </w:r>
            <w:r>
              <w:t>-</w:t>
            </w:r>
            <w:proofErr w:type="spellStart"/>
            <w:r>
              <w:t>phenylenediamine</w:t>
            </w:r>
            <w:proofErr w:type="spellEnd"/>
          </w:p>
          <w:p w14:paraId="53C16F98" w14:textId="1377A1FF" w:rsidR="008C3834" w:rsidRDefault="00461888" w:rsidP="008C383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TLV-TWA of 0.1 mg/m</w:t>
            </w:r>
            <w:r>
              <w:rPr>
                <w:vertAlign w:val="superscript"/>
              </w:rPr>
              <w:t>3</w:t>
            </w:r>
            <w:r>
              <w:t xml:space="preserve"> to minimise potential for respiratory and skin sensitisation</w:t>
            </w:r>
          </w:p>
          <w:p w14:paraId="3B2C29F5" w14:textId="46052A79" w:rsidR="00721A59" w:rsidRDefault="00461888" w:rsidP="008C383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proofErr w:type="gramStart"/>
            <w:r>
              <w:t>protection</w:t>
            </w:r>
            <w:proofErr w:type="gramEnd"/>
            <w:r>
              <w:t xml:space="preserve"> from eye and skin irritation, dermatitis</w:t>
            </w:r>
            <w:r w:rsidR="00A644F0">
              <w:t xml:space="preserve"> </w:t>
            </w:r>
            <w:r>
              <w:t xml:space="preserve">and blood </w:t>
            </w:r>
            <w:proofErr w:type="spellStart"/>
            <w:r>
              <w:t>dyscrasia</w:t>
            </w:r>
            <w:proofErr w:type="spellEnd"/>
            <w:r w:rsidR="002A065E">
              <w:t>.</w:t>
            </w:r>
          </w:p>
          <w:p w14:paraId="611174FF" w14:textId="77777777" w:rsidR="00C80595" w:rsidRDefault="00C80595" w:rsidP="002A065E">
            <w:pPr>
              <w:pStyle w:val="Tabletextprimarysource"/>
            </w:pPr>
            <w:r>
              <w:t>Human data:</w:t>
            </w:r>
          </w:p>
          <w:p w14:paraId="005D3706" w14:textId="78DBF70B" w:rsidR="00C80595" w:rsidRDefault="00C80595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Application of </w:t>
            </w:r>
            <w:r w:rsidR="000B1C0B">
              <w:t>10% alcoholic</w:t>
            </w:r>
            <w:r w:rsidR="00101D32">
              <w:t xml:space="preserve"> solution </w:t>
            </w:r>
            <w:r>
              <w:t>directly to 1</w:t>
            </w:r>
            <w:r w:rsidR="002A065E">
              <w:t>–</w:t>
            </w:r>
            <w:r>
              <w:t>5 cm</w:t>
            </w:r>
            <w:r>
              <w:rPr>
                <w:vertAlign w:val="superscript"/>
              </w:rPr>
              <w:t xml:space="preserve">2 </w:t>
            </w:r>
            <w:r>
              <w:t xml:space="preserve">of intact skin and left uncovered produced a slight burning </w:t>
            </w:r>
            <w:r w:rsidR="00101D32">
              <w:t xml:space="preserve">and itching sensation; </w:t>
            </w:r>
            <w:r>
              <w:t>no further details</w:t>
            </w:r>
          </w:p>
          <w:p w14:paraId="7F37E3A1" w14:textId="602BC8C5" w:rsidR="00C80595" w:rsidRDefault="00B64120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>No local or systemic effects reported for dermal exposure of</w:t>
            </w:r>
            <w:r w:rsidRPr="000B1C0B">
              <w:rPr>
                <w:i/>
              </w:rPr>
              <w:t xml:space="preserve"> </w:t>
            </w:r>
            <w:r w:rsidR="000B1C0B" w:rsidRPr="000B1C0B">
              <w:rPr>
                <w:i/>
              </w:rPr>
              <w:t>o</w:t>
            </w:r>
            <w:r w:rsidR="0088608C">
              <w:t xml:space="preserve">- and </w:t>
            </w:r>
            <w:r w:rsidR="0088608C" w:rsidRPr="000B1C0B">
              <w:rPr>
                <w:i/>
              </w:rPr>
              <w:t>m</w:t>
            </w:r>
            <w:r>
              <w:noBreakHyphen/>
            </w:r>
            <w:proofErr w:type="spellStart"/>
            <w:r w:rsidR="0088608C">
              <w:t>phenylenediamine</w:t>
            </w:r>
            <w:proofErr w:type="spellEnd"/>
            <w:r w:rsidR="0088608C">
              <w:t xml:space="preserve"> applied to </w:t>
            </w:r>
            <w:r w:rsidR="00925054">
              <w:rPr>
                <w:rFonts w:cs="Arial"/>
              </w:rPr>
              <w:t>≈</w:t>
            </w:r>
            <w:r w:rsidR="0088608C">
              <w:t>4 cm</w:t>
            </w:r>
            <w:r w:rsidR="0088608C">
              <w:rPr>
                <w:vertAlign w:val="superscript"/>
              </w:rPr>
              <w:t>2</w:t>
            </w:r>
            <w:r w:rsidR="0088608C">
              <w:t xml:space="preserve"> of clean forearm skin left uncovered for 24 h </w:t>
            </w:r>
          </w:p>
          <w:p w14:paraId="206BF41B" w14:textId="136E7D31" w:rsidR="008C3834" w:rsidRPr="00EC0454" w:rsidRDefault="0046561F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>8%</w:t>
            </w:r>
            <w:r w:rsidR="0088608C">
              <w:t xml:space="preserve"> of </w:t>
            </w:r>
            <w:r w:rsidR="0088608C" w:rsidRPr="00EC0454">
              <w:t>workers potentially exposed for 5</w:t>
            </w:r>
            <w:r w:rsidR="002A065E" w:rsidRPr="00EC0454">
              <w:t>–</w:t>
            </w:r>
            <w:r w:rsidR="0088608C" w:rsidRPr="00EC0454">
              <w:t xml:space="preserve">10 </w:t>
            </w:r>
            <w:proofErr w:type="spellStart"/>
            <w:r w:rsidR="0088608C" w:rsidRPr="00EC0454">
              <w:t>yr</w:t>
            </w:r>
            <w:proofErr w:type="spellEnd"/>
            <w:r w:rsidR="0088608C" w:rsidRPr="00EC0454">
              <w:t xml:space="preserve"> to </w:t>
            </w:r>
            <w:r w:rsidR="0088608C" w:rsidRPr="00EC0454">
              <w:rPr>
                <w:i/>
              </w:rPr>
              <w:t>m</w:t>
            </w:r>
            <w:r w:rsidR="0088608C" w:rsidRPr="00EC0454">
              <w:t>-</w:t>
            </w:r>
            <w:proofErr w:type="spellStart"/>
            <w:r w:rsidR="0088608C" w:rsidRPr="00EC0454">
              <w:t>phenylenediamine</w:t>
            </w:r>
            <w:proofErr w:type="spellEnd"/>
            <w:r w:rsidR="0088608C" w:rsidRPr="00EC0454">
              <w:t xml:space="preserve"> during production</w:t>
            </w:r>
            <w:r w:rsidRPr="00EC0454">
              <w:t xml:space="preserve"> returned positive result for the scratch test (with </w:t>
            </w:r>
            <w:r w:rsidRPr="00EC0454">
              <w:rPr>
                <w:i/>
              </w:rPr>
              <w:t>m</w:t>
            </w:r>
            <w:r w:rsidRPr="00EC0454">
              <w:t>-</w:t>
            </w:r>
            <w:proofErr w:type="spellStart"/>
            <w:r w:rsidRPr="00EC0454">
              <w:t>phenylenediamine</w:t>
            </w:r>
            <w:proofErr w:type="spellEnd"/>
            <w:r w:rsidRPr="00EC0454">
              <w:t xml:space="preserve"> allergen)</w:t>
            </w:r>
            <w:r w:rsidR="00EC0454" w:rsidRPr="00EC0454">
              <w:t>:</w:t>
            </w:r>
          </w:p>
          <w:p w14:paraId="6EFCC09B" w14:textId="4AE45186" w:rsidR="0088608C" w:rsidRPr="00EC0454" w:rsidRDefault="00716FD9" w:rsidP="008C383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proofErr w:type="gramStart"/>
            <w:r w:rsidRPr="00EC0454">
              <w:rPr>
                <w:rFonts w:cs="Arial"/>
              </w:rPr>
              <w:t>caused</w:t>
            </w:r>
            <w:proofErr w:type="gramEnd"/>
            <w:r w:rsidRPr="00EC0454">
              <w:rPr>
                <w:rFonts w:cs="Arial"/>
              </w:rPr>
              <w:t xml:space="preserve"> dysuria</w:t>
            </w:r>
            <w:r w:rsidR="002A065E" w:rsidRPr="00EC0454">
              <w:rPr>
                <w:rStyle w:val="Strong"/>
              </w:rPr>
              <w:t xml:space="preserve"> </w:t>
            </w:r>
            <w:r w:rsidRPr="00EC0454">
              <w:rPr>
                <w:rFonts w:cs="Arial"/>
              </w:rPr>
              <w:t>(painful urination) in 13.4 % of workers</w:t>
            </w:r>
            <w:r w:rsidR="002A065E" w:rsidRPr="00EC0454">
              <w:rPr>
                <w:rFonts w:cs="Arial"/>
              </w:rPr>
              <w:t>.</w:t>
            </w:r>
          </w:p>
          <w:p w14:paraId="507B4094" w14:textId="77777777" w:rsidR="00934C72" w:rsidRDefault="00934C72" w:rsidP="002A065E">
            <w:pPr>
              <w:pStyle w:val="Tabletextprimarysource"/>
            </w:pPr>
            <w:r>
              <w:t>Animal data:</w:t>
            </w:r>
          </w:p>
          <w:p w14:paraId="05073FF0" w14:textId="2A10688B" w:rsidR="00934C72" w:rsidRDefault="00101D32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0B1C0B">
              <w:t>: 650 mg/kg (rats, oral)</w:t>
            </w:r>
          </w:p>
          <w:p w14:paraId="49B39D7F" w14:textId="0CB863DF" w:rsidR="00101D32" w:rsidRDefault="00101D32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10% alcoholic solution applied to the skin of rabbits caused no sign of systemic toxicity </w:t>
            </w:r>
            <w:r w:rsidR="008C3834">
              <w:t>and</w:t>
            </w:r>
            <w:r>
              <w:t xml:space="preserve"> produced a </w:t>
            </w:r>
            <w:r w:rsidR="00FA2921">
              <w:t>local, moderate dermatitis</w:t>
            </w:r>
          </w:p>
          <w:p w14:paraId="0F3B89E1" w14:textId="6278FC7B" w:rsidR="008C3834" w:rsidRDefault="00FA2921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>90</w:t>
            </w:r>
            <w:r w:rsidR="008B72FA">
              <w:t>-</w:t>
            </w:r>
            <w:r>
              <w:t xml:space="preserve">d oral gavage study in rats; 0, 2, 6 or 18 mg/kg/d; significant increase of the absolute and relative liver weights and an abundance of degenerative lesions with a significant increase in the numbers of </w:t>
            </w:r>
            <w:proofErr w:type="spellStart"/>
            <w:r>
              <w:t>pyknotic</w:t>
            </w:r>
            <w:proofErr w:type="spellEnd"/>
            <w:r>
              <w:t xml:space="preserve"> hepatocytes in the livers in both males and females at 18 mg/kg/d</w:t>
            </w:r>
            <w:r w:rsidR="008B72FA">
              <w:t>:</w:t>
            </w:r>
          </w:p>
          <w:p w14:paraId="2F22C9B0" w14:textId="18DC1EB5" w:rsidR="00FA2921" w:rsidRDefault="00FA2921" w:rsidP="008C3834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NOAEL of 6 </w:t>
            </w:r>
            <w:r w:rsidRPr="008C3834">
              <w:rPr>
                <w:rFonts w:cs="Arial"/>
                <w:color w:val="262626"/>
              </w:rPr>
              <w:t>mg</w:t>
            </w:r>
            <w:r>
              <w:t>/kg/d</w:t>
            </w:r>
          </w:p>
          <w:p w14:paraId="3B8C519B" w14:textId="697FBF5B" w:rsidR="00BD61F4" w:rsidRDefault="00F24E95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>Not carcinogenic in rats and mice when administered orally or topically</w:t>
            </w:r>
          </w:p>
          <w:p w14:paraId="5B4F2D9A" w14:textId="6AF4D7FB" w:rsidR="00F24E95" w:rsidRDefault="00F24E95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Evidence of mutagenicity </w:t>
            </w:r>
            <w:r>
              <w:rPr>
                <w:i/>
              </w:rPr>
              <w:t>in vitro</w:t>
            </w:r>
            <w:r>
              <w:t xml:space="preserve"> </w:t>
            </w:r>
            <w:r w:rsidR="008C3834">
              <w:t>and</w:t>
            </w:r>
            <w:r>
              <w:t xml:space="preserve"> not </w:t>
            </w:r>
            <w:r>
              <w:rPr>
                <w:i/>
              </w:rPr>
              <w:t>in vivo</w:t>
            </w:r>
          </w:p>
          <w:p w14:paraId="79C7C6FC" w14:textId="4E0E9F22" w:rsidR="00F24E95" w:rsidRDefault="00F24E95" w:rsidP="000B1C0B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A commercially available hair-dye preparation, containing 1.5% produced no evidence of </w:t>
            </w:r>
            <w:proofErr w:type="spellStart"/>
            <w:r>
              <w:t>embryotoxicity</w:t>
            </w:r>
            <w:proofErr w:type="spellEnd"/>
            <w:r>
              <w:t xml:space="preserve"> or teratogenicity following topical application to 20 pregnant rats throughout gestation</w:t>
            </w:r>
            <w:r w:rsidR="002A065E">
              <w:t>.</w:t>
            </w:r>
          </w:p>
          <w:p w14:paraId="0CB7642B" w14:textId="77777777" w:rsidR="00A60EB7" w:rsidRDefault="00A60EB7" w:rsidP="002A065E">
            <w:pPr>
              <w:pStyle w:val="Tabletextprimarysource"/>
            </w:pPr>
            <w:r>
              <w:t>Derivation of TLV-TWA:</w:t>
            </w:r>
          </w:p>
          <w:p w14:paraId="04E13FF8" w14:textId="61C6D6E3" w:rsidR="008B72FA" w:rsidRDefault="00BE629C" w:rsidP="003C6782">
            <w:pPr>
              <w:pStyle w:val="ListBullet"/>
              <w:spacing w:before="60" w:after="0"/>
              <w:ind w:left="1080"/>
              <w:contextualSpacing w:val="0"/>
            </w:pPr>
            <w:r>
              <w:t>Starting with the NOAEL of 6 mg/kg/d and assuming a 70 kg worker inhales 10 m</w:t>
            </w:r>
            <w:r>
              <w:rPr>
                <w:vertAlign w:val="superscript"/>
              </w:rPr>
              <w:t xml:space="preserve">3 </w:t>
            </w:r>
            <w:r>
              <w:t>of air over an 8</w:t>
            </w:r>
            <w:r w:rsidR="008B72FA">
              <w:t>-</w:t>
            </w:r>
            <w:r>
              <w:t xml:space="preserve">h working day arrives at </w:t>
            </w:r>
            <w:r w:rsidR="00D64FEF">
              <w:rPr>
                <w:rFonts w:cs="Arial"/>
              </w:rPr>
              <w:t>≈</w:t>
            </w:r>
            <w:r>
              <w:t>1 mg/m</w:t>
            </w:r>
            <w:r>
              <w:rPr>
                <w:vertAlign w:val="superscript"/>
              </w:rPr>
              <w:t>3</w:t>
            </w:r>
            <w:r>
              <w:t xml:space="preserve">; it appears an </w:t>
            </w:r>
            <w:r w:rsidR="008C3834">
              <w:t>UF</w:t>
            </w:r>
            <w:r>
              <w:t xml:space="preserve"> of 10 is applied to arrive at a TWA of 0.1 mg/m</w:t>
            </w:r>
            <w:r>
              <w:rPr>
                <w:vertAlign w:val="superscript"/>
              </w:rPr>
              <w:t>3</w:t>
            </w:r>
            <w:r>
              <w:t>; no further details</w:t>
            </w:r>
            <w:r w:rsidR="002A065E">
              <w:t>.</w:t>
            </w:r>
          </w:p>
          <w:p w14:paraId="1F24D57D" w14:textId="77777777" w:rsidR="003C6782" w:rsidRDefault="003C6782" w:rsidP="003C6782">
            <w:pPr>
              <w:pStyle w:val="ListBullet"/>
              <w:numPr>
                <w:ilvl w:val="0"/>
                <w:numId w:val="0"/>
              </w:numPr>
              <w:spacing w:before="0" w:after="0"/>
              <w:ind w:left="357" w:hanging="357"/>
              <w:contextualSpacing w:val="0"/>
            </w:pPr>
          </w:p>
          <w:p w14:paraId="27ED4B46" w14:textId="5ED15132" w:rsidR="00BE629C" w:rsidRDefault="00BE629C" w:rsidP="003C6782">
            <w:pPr>
              <w:pStyle w:val="ListBullet"/>
              <w:numPr>
                <w:ilvl w:val="0"/>
                <w:numId w:val="0"/>
              </w:numPr>
              <w:spacing w:before="0" w:after="0"/>
              <w:ind w:left="357" w:hanging="357"/>
              <w:contextualSpacing w:val="0"/>
            </w:pPr>
            <w:r>
              <w:t>Insufficient data to recommend a sensitise</w:t>
            </w:r>
            <w:r w:rsidR="008C3834">
              <w:t>r</w:t>
            </w:r>
            <w:r>
              <w:t xml:space="preserve"> or skin notation or TLV-STEL</w:t>
            </w:r>
            <w:r w:rsidR="002A065E">
              <w:t>.</w:t>
            </w:r>
          </w:p>
          <w:p w14:paraId="11D5663B" w14:textId="1A28BD27" w:rsidR="008C3834" w:rsidRPr="00DA352E" w:rsidRDefault="008C3834" w:rsidP="002A065E">
            <w:pPr>
              <w:pStyle w:val="Tabletextprimarysource"/>
            </w:pPr>
          </w:p>
        </w:tc>
      </w:tr>
      <w:tr w:rsidR="00C978F0" w:rsidRPr="00DA352E" w14:paraId="551DBDE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9F1CB9" w14:textId="02A39A5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84CE9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84CE9">
                  <w:t>Not assigned</w:t>
                </w:r>
              </w:sdtContent>
            </w:sdt>
          </w:p>
        </w:tc>
      </w:tr>
      <w:tr w:rsidR="00C978F0" w:rsidRPr="00DA352E" w14:paraId="700F34E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7745CB" w14:textId="77643191" w:rsidR="000934C0" w:rsidRDefault="000B1C0B" w:rsidP="003C6782">
            <w:pPr>
              <w:pStyle w:val="Tabletextprimarysource"/>
            </w:pPr>
            <w:r>
              <w:t>Due to</w:t>
            </w:r>
            <w:r w:rsidR="000934C0">
              <w:t xml:space="preserve"> the lack of information as to the effects in humans and particularly sensiti</w:t>
            </w:r>
            <w:r>
              <w:t>s</w:t>
            </w:r>
            <w:r w:rsidR="000934C0">
              <w:t>ing potential of the substance, a MAK value cannot be established</w:t>
            </w:r>
            <w:r w:rsidR="003C6782">
              <w:t>; n</w:t>
            </w:r>
            <w:r w:rsidR="000934C0">
              <w:t>o further information</w:t>
            </w:r>
            <w:r w:rsidR="002A065E">
              <w:t>.</w:t>
            </w:r>
          </w:p>
          <w:p w14:paraId="710BE2F8" w14:textId="6F2C52F4" w:rsidR="008C3834" w:rsidRPr="00DA352E" w:rsidRDefault="008C3834" w:rsidP="008C383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9943CC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6EA3F2" w14:textId="0093CE0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77B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77B07">
                  <w:t>NA</w:t>
                </w:r>
              </w:sdtContent>
            </w:sdt>
          </w:p>
        </w:tc>
      </w:tr>
      <w:tr w:rsidR="00C978F0" w:rsidRPr="00DA352E" w14:paraId="36D8386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EC6B2C" w14:textId="2797AA3B" w:rsidR="00C978F0" w:rsidRPr="00DA352E" w:rsidRDefault="00877B07" w:rsidP="003365A5">
            <w:pPr>
              <w:pStyle w:val="Tabletextprimarysource"/>
            </w:pPr>
            <w:r>
              <w:t>No report</w:t>
            </w:r>
            <w:r w:rsidR="002A065E">
              <w:t>.</w:t>
            </w:r>
          </w:p>
        </w:tc>
      </w:tr>
      <w:tr w:rsidR="00DA352E" w:rsidRPr="00DA352E" w14:paraId="1819F13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F86A7D" w14:textId="5E2DAC0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77B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77B07">
                  <w:t>NA</w:t>
                </w:r>
                <w:proofErr w:type="spellEnd"/>
              </w:sdtContent>
            </w:sdt>
          </w:p>
        </w:tc>
      </w:tr>
      <w:tr w:rsidR="00DA352E" w:rsidRPr="00DA352E" w14:paraId="4A80EDA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46859F" w14:textId="63AE0F8E" w:rsidR="00DA352E" w:rsidRPr="00DA352E" w:rsidRDefault="00877B07" w:rsidP="003365A5">
            <w:pPr>
              <w:pStyle w:val="Tabletextprimarysource"/>
            </w:pPr>
            <w:r>
              <w:t>No report</w:t>
            </w:r>
            <w:r w:rsidR="002A065E">
              <w:t>.</w:t>
            </w:r>
          </w:p>
        </w:tc>
      </w:tr>
      <w:tr w:rsidR="00DA352E" w:rsidRPr="00DA352E" w14:paraId="2DD0AA8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F2A88D8" w14:textId="2802FFB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87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D87CCA">
                  <w:t>NA</w:t>
                </w:r>
                <w:proofErr w:type="spellEnd"/>
              </w:sdtContent>
            </w:sdt>
          </w:p>
        </w:tc>
      </w:tr>
      <w:tr w:rsidR="00DA352E" w:rsidRPr="00DA352E" w14:paraId="1055FF0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29B6C9" w14:textId="2A06D88B" w:rsidR="00DA352E" w:rsidRPr="00DA352E" w:rsidRDefault="00D87CCA" w:rsidP="003365A5">
            <w:pPr>
              <w:pStyle w:val="Tabletextprimarysource"/>
            </w:pPr>
            <w:r>
              <w:t>No report</w:t>
            </w:r>
            <w:r w:rsidR="002A065E">
              <w:t>.</w:t>
            </w:r>
          </w:p>
        </w:tc>
      </w:tr>
    </w:tbl>
    <w:p w14:paraId="4E25B0B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263255" w14:paraId="0356327D" w14:textId="77777777" w:rsidTr="0057760B">
        <w:trPr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16F9626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83FED6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783F4F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C59928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EA8A550" w14:textId="77777777" w:rsidTr="0057760B">
        <w:trPr>
          <w:cantSplit/>
        </w:trPr>
        <w:tc>
          <w:tcPr>
            <w:tcW w:w="1491" w:type="dxa"/>
          </w:tcPr>
          <w:p w14:paraId="06ED043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4DC651F2" w14:textId="46082E09" w:rsidR="004966BF" w:rsidRPr="00CE617F" w:rsidRDefault="003A149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16FD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C4286B5" w14:textId="7A9EC0A6" w:rsidR="004966BF" w:rsidRPr="004C23F4" w:rsidRDefault="00716FD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3BCC0726" w14:textId="432AA419" w:rsidR="00716FD9" w:rsidRPr="003C6782" w:rsidRDefault="00716FD9" w:rsidP="000B1C0B">
            <w:pPr>
              <w:pStyle w:val="ListBullet"/>
              <w:spacing w:before="60" w:after="60"/>
              <w:ind w:left="1080"/>
              <w:contextualSpacing w:val="0"/>
              <w:rPr>
                <w:rFonts w:cs="Arial"/>
              </w:rPr>
            </w:pPr>
            <w:r w:rsidRPr="003C6782">
              <w:rPr>
                <w:rFonts w:cs="Arial"/>
              </w:rPr>
              <w:t xml:space="preserve">Induced skin sensitisation in patch tests in 8/38 workers with </w:t>
            </w:r>
            <w:r w:rsidRPr="003C6782">
              <w:t>dermatitis</w:t>
            </w:r>
          </w:p>
          <w:p w14:paraId="55E630E4" w14:textId="404B4A09" w:rsidR="0057760B" w:rsidRPr="003C6782" w:rsidRDefault="0057760B" w:rsidP="000B1C0B">
            <w:pPr>
              <w:pStyle w:val="ListBullet"/>
              <w:spacing w:before="60" w:after="60"/>
              <w:ind w:left="1080"/>
              <w:contextualSpacing w:val="0"/>
              <w:rPr>
                <w:rStyle w:val="checkbox"/>
                <w:rFonts w:ascii="Arial" w:hAnsi="Arial" w:cs="Arial"/>
              </w:rPr>
            </w:pPr>
            <w:r w:rsidRPr="003C6782">
              <w:rPr>
                <w:rFonts w:cs="Arial"/>
              </w:rPr>
              <w:t>A scratch test in workers showed adverse reactions</w:t>
            </w:r>
            <w:r w:rsidR="003C6782" w:rsidRPr="003C6782">
              <w:rPr>
                <w:rFonts w:cs="Arial"/>
              </w:rPr>
              <w:t>;</w:t>
            </w:r>
            <w:r w:rsidRPr="003C6782">
              <w:rPr>
                <w:rFonts w:cs="Arial"/>
              </w:rPr>
              <w:t xml:space="preserve"> no further </w:t>
            </w:r>
            <w:r w:rsidRPr="003C6782">
              <w:t>details</w:t>
            </w:r>
            <w:r w:rsidRPr="003C6782">
              <w:rPr>
                <w:rFonts w:cs="Arial"/>
              </w:rPr>
              <w:t> </w:t>
            </w:r>
          </w:p>
          <w:p w14:paraId="5D1CCBC3" w14:textId="74D8CA0B" w:rsidR="004966BF" w:rsidRPr="003C6782" w:rsidRDefault="00716FD9" w:rsidP="000B1C0B">
            <w:pPr>
              <w:pStyle w:val="ListBullet"/>
              <w:spacing w:before="60" w:after="60"/>
              <w:ind w:left="1080"/>
              <w:contextualSpacing w:val="0"/>
              <w:rPr>
                <w:rStyle w:val="checkbox"/>
                <w:rFonts w:ascii="Arial" w:hAnsi="Arial" w:cs="Arial"/>
              </w:rPr>
            </w:pPr>
            <w:r w:rsidRPr="003C6782">
              <w:rPr>
                <w:rStyle w:val="checkbox"/>
                <w:rFonts w:ascii="Arial" w:hAnsi="Arial" w:cs="Arial"/>
              </w:rPr>
              <w:t>Induced mild sensitisation in guinea pigs</w:t>
            </w:r>
          </w:p>
          <w:p w14:paraId="2F36A6C5" w14:textId="13C1BBF7" w:rsidR="00716FD9" w:rsidRPr="004C23F4" w:rsidRDefault="0057760B" w:rsidP="000B1C0B">
            <w:pPr>
              <w:pStyle w:val="ListBullet"/>
              <w:spacing w:before="60" w:after="60"/>
              <w:ind w:left="1080"/>
              <w:contextualSpacing w:val="0"/>
              <w:rPr>
                <w:rStyle w:val="checkbox"/>
                <w:rFonts w:ascii="Arial" w:hAnsi="Arial" w:cs="Arial"/>
              </w:rPr>
            </w:pPr>
            <w:r w:rsidRPr="003C6782">
              <w:rPr>
                <w:rFonts w:cs="Arial"/>
              </w:rPr>
              <w:t xml:space="preserve">Considers critical health effects are mutagenicity, skin sensitisation, acute </w:t>
            </w:r>
            <w:r w:rsidRPr="003C6782">
              <w:t>toxicity</w:t>
            </w:r>
            <w:r w:rsidRPr="003C6782">
              <w:rPr>
                <w:rFonts w:cs="Arial"/>
              </w:rPr>
              <w:t xml:space="preserve"> and eye irritation</w:t>
            </w:r>
            <w:r w:rsidR="002A065E" w:rsidRPr="003C6782">
              <w:rPr>
                <w:rFonts w:cs="Arial"/>
              </w:rPr>
              <w:t>.</w:t>
            </w:r>
          </w:p>
        </w:tc>
      </w:tr>
    </w:tbl>
    <w:bookmarkEnd w:id="0"/>
    <w:p w14:paraId="4ED29B8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78AFF53" w14:textId="77777777" w:rsidTr="000934C0">
        <w:trPr>
          <w:trHeight w:val="454"/>
          <w:tblHeader/>
        </w:trPr>
        <w:tc>
          <w:tcPr>
            <w:tcW w:w="6597" w:type="dxa"/>
            <w:vAlign w:val="center"/>
          </w:tcPr>
          <w:p w14:paraId="00A5A5A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DD17539" w14:textId="0B94192C" w:rsidR="002E0D61" w:rsidRDefault="000934C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4CAFA24" w14:textId="77777777" w:rsidTr="000934C0">
        <w:trPr>
          <w:trHeight w:val="454"/>
        </w:trPr>
        <w:tc>
          <w:tcPr>
            <w:tcW w:w="6597" w:type="dxa"/>
            <w:vAlign w:val="center"/>
          </w:tcPr>
          <w:p w14:paraId="4A71DCA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D2AFA24" w14:textId="618DC04D" w:rsidR="008A36CF" w:rsidRDefault="000934C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E6DEA8C" w14:textId="77777777" w:rsidTr="000934C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39EB005C" w14:textId="5D6A8737" w:rsidR="008A36CF" w:rsidRPr="006901A2" w:rsidRDefault="000934C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077995A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26E8EFB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1E639D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141F7A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AC5D0C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6260D55" w14:textId="77777777" w:rsidTr="00812887">
        <w:trPr>
          <w:cantSplit/>
        </w:trPr>
        <w:tc>
          <w:tcPr>
            <w:tcW w:w="3227" w:type="dxa"/>
          </w:tcPr>
          <w:p w14:paraId="384653C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D0A1073" w14:textId="77777777" w:rsidR="00687890" w:rsidRPr="00DD2F9B" w:rsidRDefault="00F1665A" w:rsidP="00DD2F9B">
            <w:pPr>
              <w:pStyle w:val="Tablefont"/>
            </w:pPr>
            <w:r w:rsidRPr="00DE2841">
              <w:t>—</w:t>
            </w:r>
          </w:p>
        </w:tc>
      </w:tr>
      <w:tr w:rsidR="007925F0" w:rsidRPr="004C23F4" w14:paraId="7BCC9D0A" w14:textId="77777777" w:rsidTr="00812887">
        <w:trPr>
          <w:cantSplit/>
        </w:trPr>
        <w:tc>
          <w:tcPr>
            <w:tcW w:w="3227" w:type="dxa"/>
          </w:tcPr>
          <w:p w14:paraId="7CDA2B9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8C795D9" w14:textId="58F6B14B" w:rsidR="007925F0" w:rsidRPr="00DD2F9B" w:rsidRDefault="003D6D90" w:rsidP="00DD2F9B">
            <w:pPr>
              <w:pStyle w:val="Tablefont"/>
            </w:pPr>
            <w:r w:rsidRPr="003D6D90">
              <w:t>Skin sensitisation – category 1</w:t>
            </w:r>
          </w:p>
        </w:tc>
      </w:tr>
      <w:tr w:rsidR="00AF483F" w:rsidRPr="004C23F4" w14:paraId="5C8EA942" w14:textId="77777777" w:rsidTr="00812887">
        <w:trPr>
          <w:cantSplit/>
        </w:trPr>
        <w:tc>
          <w:tcPr>
            <w:tcW w:w="3227" w:type="dxa"/>
          </w:tcPr>
          <w:p w14:paraId="73B1887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CCCEC35" w14:textId="257BC5B0" w:rsidR="00AF483F" w:rsidRPr="00DD2F9B" w:rsidRDefault="00C74853" w:rsidP="00DD2F9B">
            <w:pPr>
              <w:pStyle w:val="Tablefont"/>
            </w:pPr>
            <w:r w:rsidRPr="000934C0">
              <w:t>—</w:t>
            </w:r>
          </w:p>
        </w:tc>
      </w:tr>
      <w:tr w:rsidR="00687890" w:rsidRPr="004C23F4" w14:paraId="457DE56C" w14:textId="77777777" w:rsidTr="00812887">
        <w:trPr>
          <w:cantSplit/>
        </w:trPr>
        <w:tc>
          <w:tcPr>
            <w:tcW w:w="3227" w:type="dxa"/>
          </w:tcPr>
          <w:p w14:paraId="68003A7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BD0D4BA" w14:textId="0B776BE1" w:rsidR="00687890" w:rsidRPr="00DD2F9B" w:rsidRDefault="007E32EB" w:rsidP="00DD2F9B">
            <w:pPr>
              <w:pStyle w:val="Tablefont"/>
            </w:pPr>
            <w:r w:rsidRPr="007E32EB">
              <w:t>Skin sensitisation – category 1</w:t>
            </w:r>
          </w:p>
        </w:tc>
      </w:tr>
      <w:tr w:rsidR="00E41A26" w:rsidRPr="004C23F4" w14:paraId="469CACD2" w14:textId="77777777" w:rsidTr="00812887">
        <w:trPr>
          <w:cantSplit/>
        </w:trPr>
        <w:tc>
          <w:tcPr>
            <w:tcW w:w="3227" w:type="dxa"/>
          </w:tcPr>
          <w:p w14:paraId="09D731D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F9F8ACD" w14:textId="7D238150" w:rsidR="00E41A26" w:rsidRPr="00DD2F9B" w:rsidRDefault="007E32E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83BECE3" w14:textId="77777777" w:rsidTr="00812887">
        <w:trPr>
          <w:cantSplit/>
        </w:trPr>
        <w:tc>
          <w:tcPr>
            <w:tcW w:w="3227" w:type="dxa"/>
          </w:tcPr>
          <w:p w14:paraId="039EBFA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C2BD29E" w14:textId="0EE3274B" w:rsidR="002E0D61" w:rsidRPr="00DD2F9B" w:rsidRDefault="003D6D90" w:rsidP="00DD2F9B">
            <w:pPr>
              <w:pStyle w:val="Tablefont"/>
            </w:pPr>
            <w:r w:rsidRPr="003D6D90">
              <w:t>Carcinogenicity – A4</w:t>
            </w:r>
          </w:p>
        </w:tc>
      </w:tr>
      <w:tr w:rsidR="002E0D61" w:rsidRPr="004C23F4" w14:paraId="3D1694C3" w14:textId="77777777" w:rsidTr="00812887">
        <w:trPr>
          <w:cantSplit/>
        </w:trPr>
        <w:tc>
          <w:tcPr>
            <w:tcW w:w="3227" w:type="dxa"/>
          </w:tcPr>
          <w:p w14:paraId="6DFB931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747806C" w14:textId="6BAA49A3" w:rsidR="002E0D61" w:rsidRPr="00DD2F9B" w:rsidRDefault="00084CE9" w:rsidP="00DD2F9B">
            <w:pPr>
              <w:pStyle w:val="Tablefont"/>
            </w:pPr>
            <w:r w:rsidRPr="00084CE9">
              <w:t>Carcinogenicity – 3B</w:t>
            </w:r>
            <w:r>
              <w:t xml:space="preserve">, </w:t>
            </w:r>
            <w:r w:rsidRPr="00084CE9">
              <w:t>H (skin)</w:t>
            </w:r>
            <w:r>
              <w:t xml:space="preserve">, </w:t>
            </w:r>
            <w:proofErr w:type="spellStart"/>
            <w:r w:rsidRPr="00084CE9">
              <w:t>Sh</w:t>
            </w:r>
            <w:proofErr w:type="spellEnd"/>
            <w:r w:rsidRPr="00084CE9">
              <w:t xml:space="preserve"> (dermal sensitiser)</w:t>
            </w:r>
          </w:p>
        </w:tc>
      </w:tr>
      <w:tr w:rsidR="002E0D61" w:rsidRPr="004C23F4" w14:paraId="03DEA09B" w14:textId="77777777" w:rsidTr="00812887">
        <w:trPr>
          <w:cantSplit/>
        </w:trPr>
        <w:tc>
          <w:tcPr>
            <w:tcW w:w="3227" w:type="dxa"/>
          </w:tcPr>
          <w:p w14:paraId="2655DB6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6CEBABC" w14:textId="6C650C95" w:rsidR="002E0D61" w:rsidRPr="00DD2F9B" w:rsidRDefault="00877B0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DE9F332" w14:textId="77777777" w:rsidTr="00812887">
        <w:trPr>
          <w:cantSplit/>
        </w:trPr>
        <w:tc>
          <w:tcPr>
            <w:tcW w:w="3227" w:type="dxa"/>
          </w:tcPr>
          <w:p w14:paraId="0EC419C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41D9501" w14:textId="03A326BA" w:rsidR="002E0D61" w:rsidRPr="00DD2F9B" w:rsidRDefault="006E338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A84251E" w14:textId="77777777" w:rsidTr="00812887">
        <w:trPr>
          <w:cantSplit/>
        </w:trPr>
        <w:tc>
          <w:tcPr>
            <w:tcW w:w="3227" w:type="dxa"/>
          </w:tcPr>
          <w:p w14:paraId="2323A8F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A1609D6" w14:textId="145CEDD0" w:rsidR="00386093" w:rsidRPr="00DD2F9B" w:rsidRDefault="007E32EB" w:rsidP="00DD2F9B">
            <w:pPr>
              <w:pStyle w:val="Tablefont"/>
            </w:pPr>
            <w:r w:rsidRPr="007E32EB">
              <w:t>Carcinogenicity – Group 3</w:t>
            </w:r>
          </w:p>
        </w:tc>
      </w:tr>
      <w:tr w:rsidR="00386093" w:rsidRPr="004C23F4" w14:paraId="7EE9A77C" w14:textId="77777777" w:rsidTr="00812887">
        <w:trPr>
          <w:cantSplit/>
        </w:trPr>
        <w:tc>
          <w:tcPr>
            <w:tcW w:w="3227" w:type="dxa"/>
          </w:tcPr>
          <w:p w14:paraId="2A90C99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F926998" w14:textId="0F78F626" w:rsidR="00386093" w:rsidRPr="00DD2F9B" w:rsidRDefault="007E32E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4CB33E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2925E6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9749F2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43CBEE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F8DFF6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78" w:type="dxa"/>
              <w:tblLook w:val="04A0" w:firstRow="1" w:lastRow="0" w:firstColumn="1" w:lastColumn="0" w:noHBand="0" w:noVBand="1"/>
            </w:tblPr>
            <w:tblGrid>
              <w:gridCol w:w="3824"/>
              <w:gridCol w:w="1131"/>
              <w:gridCol w:w="1131"/>
              <w:gridCol w:w="2724"/>
            </w:tblGrid>
            <w:tr w:rsidR="005C7367" w:rsidRPr="005C7367" w14:paraId="18A99E51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483913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6C289B0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28DB1C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6AA786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76137B25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2B4CB6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2AC04E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20302C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E4FEE6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010711FD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68201E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A50B79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B5DC01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C5CAF0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775092F5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49BE40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145E97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7D94D2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C302D5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32DE4CF4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22C70C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3B15E9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C483D4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024358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2E2A5670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3AF925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74C561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C4D1E9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B5AFE9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C7367" w:rsidRPr="005C7367" w14:paraId="2F7E659D" w14:textId="77777777" w:rsidTr="005C7367">
              <w:trPr>
                <w:trHeight w:val="310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42C388" w14:textId="77777777" w:rsidR="005C7367" w:rsidRPr="005C7367" w:rsidRDefault="005C7367" w:rsidP="005C736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53FEC5" w14:textId="77777777" w:rsidR="005C7367" w:rsidRPr="005C7367" w:rsidRDefault="005C7367" w:rsidP="005C736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616E30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CCD7C4" w14:textId="77777777" w:rsidR="005C7367" w:rsidRPr="005C7367" w:rsidRDefault="005C7367" w:rsidP="005C736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C736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A0B537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458CFAD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A51B51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C7F3EA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89369E1" w14:textId="3558AB76" w:rsidR="00EB3D1B" w:rsidRDefault="00607A2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B9CA00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56F162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B3E54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A6F2870" w14:textId="77777777" w:rsidR="001B79E5" w:rsidRDefault="00F1665A" w:rsidP="001B79E5">
                <w:pPr>
                  <w:pStyle w:val="Tablefont"/>
                </w:pPr>
                <w:r>
                  <w:t>108.15</w:t>
                </w:r>
              </w:p>
            </w:tc>
          </w:sdtContent>
        </w:sdt>
      </w:tr>
      <w:tr w:rsidR="00A31D99" w:rsidRPr="004C23F4" w14:paraId="1AC2511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B171E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F6B199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AC3B1D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BAD9A8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E0ED9B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7CC3B8F" w14:textId="77777777" w:rsidTr="00EA6243">
        <w:trPr>
          <w:cantSplit/>
        </w:trPr>
        <w:tc>
          <w:tcPr>
            <w:tcW w:w="4077" w:type="dxa"/>
            <w:vAlign w:val="center"/>
          </w:tcPr>
          <w:p w14:paraId="208AC6A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6F3889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E85498E" w14:textId="77777777" w:rsidTr="00EA6243">
        <w:trPr>
          <w:cantSplit/>
        </w:trPr>
        <w:tc>
          <w:tcPr>
            <w:tcW w:w="4077" w:type="dxa"/>
            <w:vAlign w:val="center"/>
          </w:tcPr>
          <w:p w14:paraId="0115BEF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4B86F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3A40BD5" w14:textId="77777777" w:rsidTr="00EA6243">
        <w:trPr>
          <w:cantSplit/>
        </w:trPr>
        <w:tc>
          <w:tcPr>
            <w:tcW w:w="4077" w:type="dxa"/>
            <w:vAlign w:val="center"/>
          </w:tcPr>
          <w:p w14:paraId="5A63CF1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20D4F32" w14:textId="77777777" w:rsidR="00E06F40" w:rsidRPr="00A006A0" w:rsidRDefault="003A149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766959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37F29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5867A7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314ACD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8F9B18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61C0E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D322D1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E1BD1B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C4965A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6CE4B8F" w14:textId="7A96884A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091246">
        <w:t>2009</w:t>
      </w:r>
      <w:r>
        <w:t xml:space="preserve">) </w:t>
      </w:r>
      <w:r w:rsidR="00091246" w:rsidRPr="00091246">
        <w:t>m-</w:t>
      </w:r>
      <w:proofErr w:type="spellStart"/>
      <w:r w:rsidR="00091246" w:rsidRPr="00091246">
        <w:t>Phenylenediamine</w:t>
      </w:r>
      <w:proofErr w:type="spellEnd"/>
      <w:r>
        <w:t xml:space="preserve"> – MAK value documentation.</w:t>
      </w:r>
    </w:p>
    <w:p w14:paraId="1B65817A" w14:textId="77777777" w:rsidR="007E32EB" w:rsidRDefault="007E32EB" w:rsidP="008E4F1F">
      <w:r w:rsidRPr="007E32EB">
        <w:t xml:space="preserve">International Agency for Research on Cancer (IARC) (1978) Volume 16, </w:t>
      </w:r>
      <w:proofErr w:type="gramStart"/>
      <w:r w:rsidRPr="007E32EB">
        <w:t>Some</w:t>
      </w:r>
      <w:proofErr w:type="gramEnd"/>
      <w:r w:rsidRPr="007E32EB">
        <w:t xml:space="preserve"> aromatic amines and related nitro compounds—Hair Dyes, Colouring Agents and Miscellaneous Industrial Chemicals. IARC Monographs on the evaluation of the carcinogenic risk to humans.</w:t>
      </w:r>
    </w:p>
    <w:p w14:paraId="5EFC680C" w14:textId="6466EE2C" w:rsidR="008E4F1F" w:rsidRDefault="008E4F1F" w:rsidP="008E4F1F">
      <w:pPr>
        <w:rPr>
          <w:b/>
        </w:rPr>
      </w:pPr>
      <w:r w:rsidRPr="002022B6">
        <w:t>National Industrial Chemicals Notification and Assessment Scheme (NICNAS)</w:t>
      </w:r>
      <w:r>
        <w:t xml:space="preserve"> (</w:t>
      </w:r>
      <w:r w:rsidR="007A0F7C">
        <w:t>2013</w:t>
      </w:r>
      <w:r>
        <w:t xml:space="preserve">) </w:t>
      </w:r>
      <w:r w:rsidR="007A0F7C" w:rsidRPr="007A0F7C">
        <w:t>1</w:t>
      </w:r>
      <w:proofErr w:type="gramStart"/>
      <w:r w:rsidR="007A0F7C" w:rsidRPr="007A0F7C">
        <w:t>,3</w:t>
      </w:r>
      <w:proofErr w:type="gramEnd"/>
      <w:r w:rsidR="007A0F7C" w:rsidRPr="007A0F7C">
        <w:t>-Benzenediamine</w:t>
      </w:r>
      <w:r w:rsidRPr="0071660C">
        <w:t xml:space="preserve">: Human health </w:t>
      </w:r>
      <w:sdt>
        <w:sdtPr>
          <w:id w:val="-1295753243"/>
          <w:placeholder>
            <w:docPart w:val="A070BFA618804340AABDA79FF681FE29"/>
          </w:placeholder>
          <w:temporary/>
          <w:showingPlcHdr/>
        </w:sdtPr>
        <w:sdtEndPr/>
        <w:sdtContent>
          <w:r w:rsidRPr="000B4712">
            <w:rPr>
              <w:color w:val="000000" w:themeColor="text1"/>
            </w:rPr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6FE4472E" w14:textId="77777777" w:rsidR="002A065E" w:rsidRPr="000F449F" w:rsidRDefault="002A065E" w:rsidP="002A065E">
      <w:r w:rsidRPr="000F449F">
        <w:t xml:space="preserve">Tenth Adaptation to Technical Progress Commission Regulation (EU) No 2017/776 amending, for the purposes of its adaptation to technical and scientific progress, Regulation (EC) No 1272/2008 of the </w:t>
      </w:r>
      <w:r w:rsidRPr="000F449F">
        <w:lastRenderedPageBreak/>
        <w:t>European Parliament and of the Council on classification, labelling and packaging of substances and mixtures (the CLP Regulation).</w:t>
      </w:r>
    </w:p>
    <w:p w14:paraId="255E99E5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D0DE" w14:textId="77777777" w:rsidR="00513A39" w:rsidRDefault="00513A39" w:rsidP="00F43AD5">
      <w:pPr>
        <w:spacing w:after="0" w:line="240" w:lineRule="auto"/>
      </w:pPr>
      <w:r>
        <w:separator/>
      </w:r>
    </w:p>
  </w:endnote>
  <w:endnote w:type="continuationSeparator" w:id="0">
    <w:p w14:paraId="1E085C6F" w14:textId="77777777" w:rsidR="00513A39" w:rsidRDefault="00513A3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FAAF5" w14:textId="77777777" w:rsidR="003A1497" w:rsidRDefault="003A1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FFDA061" w14:textId="75B8C94D" w:rsidR="008A36CF" w:rsidRDefault="00D370BB" w:rsidP="0034744C">
        <w:pPr>
          <w:pStyle w:val="Footer"/>
          <w:rPr>
            <w:sz w:val="18"/>
            <w:szCs w:val="18"/>
          </w:rPr>
        </w:pPr>
        <w:proofErr w:type="gramStart"/>
        <w:r w:rsidRPr="00DE2841">
          <w:rPr>
            <w:b/>
            <w:i/>
            <w:sz w:val="18"/>
            <w:szCs w:val="18"/>
          </w:rPr>
          <w:t>m</w:t>
        </w:r>
        <w:r>
          <w:rPr>
            <w:b/>
            <w:sz w:val="18"/>
            <w:szCs w:val="18"/>
          </w:rPr>
          <w:t>-</w:t>
        </w:r>
        <w:proofErr w:type="spellStart"/>
        <w:r>
          <w:rPr>
            <w:b/>
            <w:sz w:val="18"/>
            <w:szCs w:val="18"/>
          </w:rPr>
          <w:t>Phenylenediamine</w:t>
        </w:r>
        <w:proofErr w:type="spellEnd"/>
        <w:proofErr w:type="gram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108-45-2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DE2841">
          <w:rPr>
            <w:sz w:val="18"/>
            <w:szCs w:val="18"/>
          </w:rPr>
          <w:t>2020</w:t>
        </w:r>
      </w:p>
      <w:p w14:paraId="1FFE82C8" w14:textId="1125E2B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A1497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0B39" w14:textId="77777777" w:rsidR="003A1497" w:rsidRDefault="003A1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3F2FC" w14:textId="77777777" w:rsidR="00513A39" w:rsidRDefault="00513A39" w:rsidP="00F43AD5">
      <w:pPr>
        <w:spacing w:after="0" w:line="240" w:lineRule="auto"/>
      </w:pPr>
      <w:r>
        <w:separator/>
      </w:r>
    </w:p>
  </w:footnote>
  <w:footnote w:type="continuationSeparator" w:id="0">
    <w:p w14:paraId="27E8A31F" w14:textId="77777777" w:rsidR="00513A39" w:rsidRDefault="00513A3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B863" w14:textId="77777777" w:rsidR="003A1497" w:rsidRDefault="003A1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A26B" w14:textId="1A2A1244" w:rsidR="003A1497" w:rsidRDefault="003A1497" w:rsidP="003A1497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1E9710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461515A" wp14:editId="09263774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794B6" w14:textId="51F74339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AC51" w14:textId="77777777" w:rsidR="003A1497" w:rsidRDefault="003A14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05AC" w14:textId="2A2514AA" w:rsidR="003A1497" w:rsidRDefault="003A1497" w:rsidP="003A1497">
    <w:pPr>
      <w:pStyle w:val="Header"/>
      <w:jc w:val="right"/>
    </w:pPr>
    <w:sdt>
      <w:sdtPr>
        <w:id w:val="-1233155110"/>
        <w:docPartObj>
          <w:docPartGallery w:val="Watermarks"/>
          <w:docPartUnique/>
        </w:docPartObj>
      </w:sdtPr>
      <w:sdtContent>
        <w:r>
          <w:pict w14:anchorId="6AFF89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8470749" wp14:editId="3B96FAEC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19403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A2E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D853F5"/>
    <w:multiLevelType w:val="hybridMultilevel"/>
    <w:tmpl w:val="265049D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4CE9"/>
    <w:rsid w:val="00086A46"/>
    <w:rsid w:val="00091246"/>
    <w:rsid w:val="00092D94"/>
    <w:rsid w:val="000934C0"/>
    <w:rsid w:val="000B0868"/>
    <w:rsid w:val="000B1C0B"/>
    <w:rsid w:val="000B3E12"/>
    <w:rsid w:val="000B3E78"/>
    <w:rsid w:val="000B4712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449F"/>
    <w:rsid w:val="00101D32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7BD5"/>
    <w:rsid w:val="00160F47"/>
    <w:rsid w:val="00177CA1"/>
    <w:rsid w:val="00183823"/>
    <w:rsid w:val="00183942"/>
    <w:rsid w:val="0019005D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46B6B"/>
    <w:rsid w:val="0025734A"/>
    <w:rsid w:val="00263255"/>
    <w:rsid w:val="00276494"/>
    <w:rsid w:val="00277B0C"/>
    <w:rsid w:val="002A065E"/>
    <w:rsid w:val="002A155A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15B8"/>
    <w:rsid w:val="00386093"/>
    <w:rsid w:val="003904A4"/>
    <w:rsid w:val="00391841"/>
    <w:rsid w:val="00391B6D"/>
    <w:rsid w:val="00394922"/>
    <w:rsid w:val="003A0E32"/>
    <w:rsid w:val="003A1497"/>
    <w:rsid w:val="003A2B94"/>
    <w:rsid w:val="003B387D"/>
    <w:rsid w:val="003C0D58"/>
    <w:rsid w:val="003C6782"/>
    <w:rsid w:val="003D4FA3"/>
    <w:rsid w:val="003D6D90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1888"/>
    <w:rsid w:val="0046561F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3A39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0897"/>
    <w:rsid w:val="0057760B"/>
    <w:rsid w:val="00581055"/>
    <w:rsid w:val="00591E38"/>
    <w:rsid w:val="005A19C5"/>
    <w:rsid w:val="005A3034"/>
    <w:rsid w:val="005A462D"/>
    <w:rsid w:val="005B253B"/>
    <w:rsid w:val="005B771D"/>
    <w:rsid w:val="005C309A"/>
    <w:rsid w:val="005C5D16"/>
    <w:rsid w:val="005C65F6"/>
    <w:rsid w:val="005C7367"/>
    <w:rsid w:val="005D3193"/>
    <w:rsid w:val="005D4A6E"/>
    <w:rsid w:val="005E6979"/>
    <w:rsid w:val="005E75CB"/>
    <w:rsid w:val="006013C1"/>
    <w:rsid w:val="0060669E"/>
    <w:rsid w:val="00607A21"/>
    <w:rsid w:val="00610F2E"/>
    <w:rsid w:val="00611399"/>
    <w:rsid w:val="00624C4E"/>
    <w:rsid w:val="00625200"/>
    <w:rsid w:val="00627946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1C3E"/>
    <w:rsid w:val="006D79EA"/>
    <w:rsid w:val="006E3388"/>
    <w:rsid w:val="006E5D05"/>
    <w:rsid w:val="00701053"/>
    <w:rsid w:val="00701507"/>
    <w:rsid w:val="00710F35"/>
    <w:rsid w:val="00714021"/>
    <w:rsid w:val="00716A0F"/>
    <w:rsid w:val="00716FD9"/>
    <w:rsid w:val="00717D45"/>
    <w:rsid w:val="007208F7"/>
    <w:rsid w:val="007218AF"/>
    <w:rsid w:val="00721A59"/>
    <w:rsid w:val="007365D1"/>
    <w:rsid w:val="00740E0E"/>
    <w:rsid w:val="00750212"/>
    <w:rsid w:val="00754779"/>
    <w:rsid w:val="0075716D"/>
    <w:rsid w:val="00765F14"/>
    <w:rsid w:val="00770B82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0F7C"/>
    <w:rsid w:val="007B1B42"/>
    <w:rsid w:val="007C30EB"/>
    <w:rsid w:val="007C68D8"/>
    <w:rsid w:val="007E063C"/>
    <w:rsid w:val="007E2A4B"/>
    <w:rsid w:val="007E307D"/>
    <w:rsid w:val="007E32EB"/>
    <w:rsid w:val="007E6A4E"/>
    <w:rsid w:val="007E6C94"/>
    <w:rsid w:val="007F1005"/>
    <w:rsid w:val="007F25E0"/>
    <w:rsid w:val="007F5328"/>
    <w:rsid w:val="00804F5A"/>
    <w:rsid w:val="0081001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77B07"/>
    <w:rsid w:val="0088608C"/>
    <w:rsid w:val="0088798F"/>
    <w:rsid w:val="00887E4B"/>
    <w:rsid w:val="008915C8"/>
    <w:rsid w:val="008A36CF"/>
    <w:rsid w:val="008A3BC4"/>
    <w:rsid w:val="008B3365"/>
    <w:rsid w:val="008B403C"/>
    <w:rsid w:val="008B72FA"/>
    <w:rsid w:val="008B7983"/>
    <w:rsid w:val="008C2511"/>
    <w:rsid w:val="008C3834"/>
    <w:rsid w:val="008D026D"/>
    <w:rsid w:val="008D23AB"/>
    <w:rsid w:val="008D4B8B"/>
    <w:rsid w:val="008D5A78"/>
    <w:rsid w:val="008E4F1F"/>
    <w:rsid w:val="008E7B64"/>
    <w:rsid w:val="008F5DCD"/>
    <w:rsid w:val="00900951"/>
    <w:rsid w:val="009050FC"/>
    <w:rsid w:val="009118A6"/>
    <w:rsid w:val="00916909"/>
    <w:rsid w:val="00916EC0"/>
    <w:rsid w:val="00920467"/>
    <w:rsid w:val="00921DE7"/>
    <w:rsid w:val="00925054"/>
    <w:rsid w:val="0093041A"/>
    <w:rsid w:val="00930714"/>
    <w:rsid w:val="00931B03"/>
    <w:rsid w:val="009323B9"/>
    <w:rsid w:val="00932DCE"/>
    <w:rsid w:val="0093327E"/>
    <w:rsid w:val="00934028"/>
    <w:rsid w:val="00934C72"/>
    <w:rsid w:val="00934E16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43B2"/>
    <w:rsid w:val="009A5EEF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6978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0EB7"/>
    <w:rsid w:val="00A633D4"/>
    <w:rsid w:val="00A644F0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4120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61F4"/>
    <w:rsid w:val="00BE629C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4853"/>
    <w:rsid w:val="00C80595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32F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70BB"/>
    <w:rsid w:val="00D44C89"/>
    <w:rsid w:val="00D516CD"/>
    <w:rsid w:val="00D64FEF"/>
    <w:rsid w:val="00D668E6"/>
    <w:rsid w:val="00D70670"/>
    <w:rsid w:val="00D716E1"/>
    <w:rsid w:val="00D74D80"/>
    <w:rsid w:val="00D76624"/>
    <w:rsid w:val="00D87570"/>
    <w:rsid w:val="00D87CCA"/>
    <w:rsid w:val="00D91CB9"/>
    <w:rsid w:val="00D97989"/>
    <w:rsid w:val="00D97D8D"/>
    <w:rsid w:val="00DA352E"/>
    <w:rsid w:val="00DB7634"/>
    <w:rsid w:val="00DC7694"/>
    <w:rsid w:val="00DD00CE"/>
    <w:rsid w:val="00DD1BF6"/>
    <w:rsid w:val="00DD2F9B"/>
    <w:rsid w:val="00DE2513"/>
    <w:rsid w:val="00DE26E8"/>
    <w:rsid w:val="00DE2841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4589"/>
    <w:rsid w:val="00E46BCB"/>
    <w:rsid w:val="00E51CAF"/>
    <w:rsid w:val="00E60F04"/>
    <w:rsid w:val="00E62AAC"/>
    <w:rsid w:val="00E62D9E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0454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DF2"/>
    <w:rsid w:val="00F16019"/>
    <w:rsid w:val="00F1665A"/>
    <w:rsid w:val="00F20E68"/>
    <w:rsid w:val="00F22093"/>
    <w:rsid w:val="00F236DF"/>
    <w:rsid w:val="00F24E95"/>
    <w:rsid w:val="00F32213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219B"/>
    <w:rsid w:val="00FA2921"/>
    <w:rsid w:val="00FA3DF5"/>
    <w:rsid w:val="00FA741F"/>
    <w:rsid w:val="00FB4E07"/>
    <w:rsid w:val="00FB755A"/>
    <w:rsid w:val="00FC60A2"/>
    <w:rsid w:val="00FC6785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5B16C32B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6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5A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721A5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070BFA618804340AABDA79FF681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C806-D89B-43A1-9033-9237B76EF2C7}"/>
      </w:docPartPr>
      <w:docPartBody>
        <w:p w:rsidR="003C4B6D" w:rsidRDefault="00347D16" w:rsidP="00347D16">
          <w:pPr>
            <w:pStyle w:val="A070BFA618804340AABDA79FF681FE29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50B26E7B01A54D3886E8E5835F48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2DEE-81CD-4004-AD74-E2FE5BE34913}"/>
      </w:docPartPr>
      <w:docPartBody>
        <w:p w:rsidR="002B6237" w:rsidRDefault="00E267AF" w:rsidP="00E267AF">
          <w:pPr>
            <w:pStyle w:val="50B26E7B01A54D3886E8E5835F48741B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B6237"/>
    <w:rsid w:val="00347D16"/>
    <w:rsid w:val="003C4B6D"/>
    <w:rsid w:val="003E0149"/>
    <w:rsid w:val="00CE342C"/>
    <w:rsid w:val="00D21A9F"/>
    <w:rsid w:val="00E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7AF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50B26E7B01A54D3886E8E5835F48741B">
    <w:name w:val="50B26E7B01A54D3886E8E5835F48741B"/>
    <w:rsid w:val="00E26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3B94-98C7-4657-85AA-92438A893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openxmlformats.org/package/2006/metadata/core-properties"/>
    <ds:schemaRef ds:uri="http://purl.org/dc/elements/1.1/"/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43B551-9769-4CFD-8D8B-D83A5D6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A438131F.dotm</Template>
  <TotalTime>473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60</cp:revision>
  <cp:lastPrinted>2018-10-22T22:41:00Z</cp:lastPrinted>
  <dcterms:created xsi:type="dcterms:W3CDTF">2019-04-14T23:55:00Z</dcterms:created>
  <dcterms:modified xsi:type="dcterms:W3CDTF">2020-02-27T21:09:00Z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