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6EC0984" w14:textId="77777777" w:rsidR="00BD499F" w:rsidRPr="004C23F4" w:rsidRDefault="004C1C82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val="en-US"/>
            </w:rPr>
            <w:t>N</w:t>
          </w:r>
          <w:r w:rsidR="00895E2B">
            <w:rPr>
              <w:rFonts w:ascii="Arial" w:hAnsi="Arial" w:cs="Arial"/>
              <w:lang w:val="en-US"/>
            </w:rPr>
            <w:t>itrobenzene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1BE5FAFB" w14:textId="77777777" w:rsidTr="00B76A41">
        <w:trPr>
          <w:cantSplit/>
          <w:tblHeader/>
        </w:trPr>
        <w:tc>
          <w:tcPr>
            <w:tcW w:w="4077" w:type="dxa"/>
          </w:tcPr>
          <w:p w14:paraId="2835C35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1942897" w14:textId="77777777" w:rsidR="00F43AD5" w:rsidRPr="00717D45" w:rsidRDefault="00DF1D18" w:rsidP="00B76A41">
            <w:pPr>
              <w:pStyle w:val="Tablefont"/>
            </w:pPr>
            <w:r>
              <w:t>98-95-3</w:t>
            </w:r>
          </w:p>
        </w:tc>
      </w:tr>
      <w:tr w:rsidR="00F43AD5" w:rsidRPr="004C23F4" w14:paraId="50C81431" w14:textId="77777777" w:rsidTr="00B76A41">
        <w:trPr>
          <w:cantSplit/>
        </w:trPr>
        <w:tc>
          <w:tcPr>
            <w:tcW w:w="4077" w:type="dxa"/>
          </w:tcPr>
          <w:p w14:paraId="60DA25A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BE379E5" w14:textId="77777777" w:rsidR="00F43AD5" w:rsidRPr="00717D45" w:rsidRDefault="00DF1D18" w:rsidP="00B76A41">
            <w:pPr>
              <w:pStyle w:val="Tablefont"/>
            </w:pPr>
            <w:proofErr w:type="spellStart"/>
            <w:r>
              <w:t>Nitrobenzol</w:t>
            </w:r>
            <w:proofErr w:type="spellEnd"/>
          </w:p>
        </w:tc>
      </w:tr>
      <w:tr w:rsidR="00F43AD5" w:rsidRPr="004C23F4" w14:paraId="009A9BB9" w14:textId="77777777" w:rsidTr="00B76A41">
        <w:trPr>
          <w:cantSplit/>
        </w:trPr>
        <w:tc>
          <w:tcPr>
            <w:tcW w:w="4077" w:type="dxa"/>
          </w:tcPr>
          <w:p w14:paraId="26BB790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11E406F" w14:textId="77777777" w:rsidR="00F43AD5" w:rsidRPr="00717D45" w:rsidRDefault="00DF1D18" w:rsidP="00B76A41">
            <w:pPr>
              <w:pStyle w:val="Tablefont"/>
            </w:pPr>
            <w:r>
              <w:t>C</w:t>
            </w:r>
            <w:r w:rsidRPr="00DF1D18">
              <w:rPr>
                <w:vertAlign w:val="subscript"/>
              </w:rPr>
              <w:t>6</w:t>
            </w:r>
            <w:r>
              <w:t>H</w:t>
            </w:r>
            <w:r w:rsidRPr="00DF1D18">
              <w:rPr>
                <w:vertAlign w:val="subscript"/>
              </w:rPr>
              <w:t>5</w:t>
            </w:r>
            <w:r>
              <w:t>NO</w:t>
            </w:r>
            <w:r w:rsidRPr="00DF1D18">
              <w:rPr>
                <w:vertAlign w:val="subscript"/>
              </w:rPr>
              <w:t>2</w:t>
            </w:r>
          </w:p>
        </w:tc>
      </w:tr>
      <w:tr w:rsidR="00F43AD5" w:rsidRPr="004C23F4" w14:paraId="387735CE" w14:textId="77777777" w:rsidTr="00B76A41">
        <w:trPr>
          <w:cantSplit/>
        </w:trPr>
        <w:tc>
          <w:tcPr>
            <w:tcW w:w="4077" w:type="dxa"/>
          </w:tcPr>
          <w:p w14:paraId="4654C0EE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C7A3CB1" w14:textId="77777777" w:rsidR="00F43AD5" w:rsidRPr="00B40C60" w:rsidRDefault="001D1A68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50580211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41C4B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79EE5AB0" w14:textId="77777777" w:rsidTr="001D1A68">
        <w:trPr>
          <w:cantSplit/>
          <w:tblHeader/>
        </w:trPr>
        <w:tc>
          <w:tcPr>
            <w:tcW w:w="4010" w:type="dxa"/>
            <w:vAlign w:val="center"/>
          </w:tcPr>
          <w:p w14:paraId="5B54250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61DA276" w14:textId="77777777" w:rsidR="002C7AFE" w:rsidRPr="00241C4B" w:rsidRDefault="00241C4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(5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1D1A68" w:rsidRPr="004C23F4" w14:paraId="6B3EEB4F" w14:textId="77777777" w:rsidTr="001D1A68">
        <w:trPr>
          <w:cantSplit/>
        </w:trPr>
        <w:tc>
          <w:tcPr>
            <w:tcW w:w="4010" w:type="dxa"/>
            <w:vAlign w:val="center"/>
          </w:tcPr>
          <w:p w14:paraId="4819F943" w14:textId="77777777" w:rsidR="001D1A68" w:rsidRPr="002C58FF" w:rsidRDefault="001D1A68" w:rsidP="001D1A68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277C6BC3" w14:textId="77777777" w:rsidR="001D1A68" w:rsidRPr="00EB3D1B" w:rsidRDefault="001D1A68" w:rsidP="001D1A68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D1A68" w:rsidRPr="004C23F4" w14:paraId="5D4E22A2" w14:textId="77777777" w:rsidTr="001D1A68">
        <w:trPr>
          <w:cantSplit/>
        </w:trPr>
        <w:tc>
          <w:tcPr>
            <w:tcW w:w="4010" w:type="dxa"/>
            <w:vAlign w:val="center"/>
          </w:tcPr>
          <w:p w14:paraId="67D61CE0" w14:textId="77777777" w:rsidR="001D1A68" w:rsidRPr="002C58FF" w:rsidRDefault="001D1A68" w:rsidP="001D1A68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1C1E9BDD" w14:textId="77777777" w:rsidR="001D1A68" w:rsidRPr="00EB3D1B" w:rsidRDefault="001D1A68" w:rsidP="001D1A68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D1A68" w:rsidRPr="004C23F4" w14:paraId="29790C7B" w14:textId="77777777" w:rsidTr="001D1A68">
        <w:trPr>
          <w:cantSplit/>
        </w:trPr>
        <w:tc>
          <w:tcPr>
            <w:tcW w:w="4010" w:type="dxa"/>
          </w:tcPr>
          <w:p w14:paraId="19938748" w14:textId="77777777" w:rsidR="001D1A68" w:rsidRPr="002C58FF" w:rsidRDefault="001D1A68" w:rsidP="001D1A6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4BB9943F" w14:textId="77777777" w:rsidR="001D1A68" w:rsidRPr="00EB3D1B" w:rsidRDefault="00241C4B" w:rsidP="001D1A68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>. 2; Sk.</w:t>
            </w:r>
          </w:p>
        </w:tc>
      </w:tr>
      <w:tr w:rsidR="001D1A68" w:rsidRPr="004C23F4" w14:paraId="31686F27" w14:textId="77777777" w:rsidTr="001D1A68">
        <w:trPr>
          <w:cantSplit/>
        </w:trPr>
        <w:tc>
          <w:tcPr>
            <w:tcW w:w="4010" w:type="dxa"/>
            <w:vAlign w:val="center"/>
          </w:tcPr>
          <w:p w14:paraId="23E08B20" w14:textId="77777777" w:rsidR="001D1A68" w:rsidRPr="002C58FF" w:rsidRDefault="001D1A68" w:rsidP="001D1A68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8460631" w14:textId="77777777" w:rsidR="001D1A68" w:rsidRPr="00EB3D1B" w:rsidRDefault="00A27C27" w:rsidP="001D1A68">
            <w:pPr>
              <w:pStyle w:val="Tablefont"/>
              <w:rPr>
                <w:b/>
              </w:rPr>
            </w:pPr>
            <w:r>
              <w:rPr>
                <w:b/>
              </w:rPr>
              <w:t>200 ppm</w:t>
            </w:r>
          </w:p>
        </w:tc>
      </w:tr>
      <w:tr w:rsidR="004E3E3C" w:rsidRPr="004C23F4" w14:paraId="69B517BF" w14:textId="77777777" w:rsidTr="00F76E5E">
        <w:trPr>
          <w:cantSplit/>
        </w:trPr>
        <w:tc>
          <w:tcPr>
            <w:tcW w:w="9026" w:type="dxa"/>
            <w:gridSpan w:val="2"/>
            <w:vAlign w:val="center"/>
          </w:tcPr>
          <w:p w14:paraId="0E7CEDA2" w14:textId="77777777" w:rsidR="004E3E3C" w:rsidRPr="00EB3D1B" w:rsidRDefault="004E3E3C" w:rsidP="001D1A68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98F17B8B61D4E18931E6B4E77E0498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B70FF5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35CE78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E2C255F" w14:textId="77777777" w:rsidR="006639B4" w:rsidRPr="004C23F4" w:rsidRDefault="00241C4B" w:rsidP="000C139A">
      <w:pPr>
        <w:rPr>
          <w:rFonts w:cs="Arial"/>
        </w:rPr>
      </w:pPr>
      <w:r>
        <w:rPr>
          <w:rFonts w:cs="Arial"/>
        </w:rPr>
        <w:t>A TWA of 1</w:t>
      </w:r>
      <w:r w:rsidRPr="00710F0D">
        <w:rPr>
          <w:rFonts w:cs="Arial"/>
        </w:rPr>
        <w:t xml:space="preserve"> ppm</w:t>
      </w:r>
      <w:r>
        <w:rPr>
          <w:rFonts w:cs="Arial"/>
        </w:rPr>
        <w:t xml:space="preserve"> (5 mg/m</w:t>
      </w:r>
      <w:r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Pr="00710F0D">
        <w:rPr>
          <w:rFonts w:cs="Arial"/>
        </w:rPr>
        <w:t xml:space="preserve"> is recommended</w:t>
      </w:r>
      <w:r>
        <w:rPr>
          <w:rFonts w:cs="Arial"/>
        </w:rPr>
        <w:t xml:space="preserve"> to protect for </w:t>
      </w:r>
      <w:r>
        <w:t>methemoglobinemia and effects on the spleen in exposed workers.</w:t>
      </w:r>
    </w:p>
    <w:p w14:paraId="7EA2B83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A6CC5A8" w14:textId="6A7652F5" w:rsidR="00343E63" w:rsidRDefault="00FE61A8" w:rsidP="006639B4">
      <w:r>
        <w:t xml:space="preserve">Nitrobenzene is used as an intermediate in the preparation of aniline, </w:t>
      </w:r>
      <w:proofErr w:type="spellStart"/>
      <w:r>
        <w:t>benzidine</w:t>
      </w:r>
      <w:proofErr w:type="spellEnd"/>
      <w:r>
        <w:t xml:space="preserve"> and other chemicals</w:t>
      </w:r>
      <w:r w:rsidR="0046735E">
        <w:t>. It is also used</w:t>
      </w:r>
      <w:r>
        <w:t xml:space="preserve"> in the manufacture of cellulose ethers and acetate</w:t>
      </w:r>
      <w:r w:rsidR="0046735E">
        <w:t>,</w:t>
      </w:r>
      <w:r>
        <w:t xml:space="preserve"> in shoe a</w:t>
      </w:r>
      <w:r w:rsidR="00710F0D">
        <w:t>nd metal polishes and as a solvent.</w:t>
      </w:r>
      <w:r w:rsidR="00352F18">
        <w:t xml:space="preserve"> </w:t>
      </w:r>
    </w:p>
    <w:p w14:paraId="4381851F" w14:textId="661DDDEF" w:rsidR="00710F0D" w:rsidRDefault="00710F0D" w:rsidP="006639B4">
      <w:r>
        <w:t>Critical effects are methemoglobinemia and effects on the spleen.</w:t>
      </w:r>
    </w:p>
    <w:p w14:paraId="5ADCD532" w14:textId="03FD1D44" w:rsidR="00710F0D" w:rsidRDefault="00710F0D" w:rsidP="00710F0D">
      <w:r>
        <w:rPr>
          <w:rFonts w:cs="Arial"/>
        </w:rPr>
        <w:t xml:space="preserve">A NOAEC </w:t>
      </w:r>
      <w:r w:rsidR="008F6B66">
        <w:rPr>
          <w:rFonts w:cs="Arial"/>
        </w:rPr>
        <w:t xml:space="preserve">of 1 ppm </w:t>
      </w:r>
      <w:r>
        <w:rPr>
          <w:rFonts w:cs="Arial"/>
        </w:rPr>
        <w:t xml:space="preserve">was reported in humans </w:t>
      </w:r>
      <w:r>
        <w:t xml:space="preserve">with respect to methaemoglobin formation. </w:t>
      </w:r>
      <w:r w:rsidR="00343E63">
        <w:t>Methaemoglobinaemia</w:t>
      </w:r>
      <w:r>
        <w:t xml:space="preserve"> in workers observed following exposure at 6 ppm (no further information) and in animal inhalation studies at 5 ppm</w:t>
      </w:r>
      <w:r w:rsidR="002C17D7">
        <w:t xml:space="preserve"> (ACGIH, 2018)</w:t>
      </w:r>
      <w:r>
        <w:t xml:space="preserve">. </w:t>
      </w:r>
      <w:proofErr w:type="spellStart"/>
      <w:r w:rsidR="00343E63">
        <w:t>Tumourigenicity</w:t>
      </w:r>
      <w:proofErr w:type="spellEnd"/>
      <w:r w:rsidR="00241C4B">
        <w:t xml:space="preserve"> </w:t>
      </w:r>
      <w:r w:rsidR="0046735E">
        <w:t xml:space="preserve">reported </w:t>
      </w:r>
      <w:r w:rsidR="00241C4B">
        <w:t>in rats</w:t>
      </w:r>
      <w:r>
        <w:t xml:space="preserve"> following repetitive long-term inhalations </w:t>
      </w:r>
      <w:r w:rsidR="00241C4B">
        <w:t>at</w:t>
      </w:r>
      <w:r>
        <w:t xml:space="preserve"> 5</w:t>
      </w:r>
      <w:r w:rsidR="00343E63">
        <w:t> </w:t>
      </w:r>
      <w:r>
        <w:t>ppm (ACGIH,</w:t>
      </w:r>
      <w:r w:rsidR="00BD7519">
        <w:t> </w:t>
      </w:r>
      <w:r>
        <w:t>2018</w:t>
      </w:r>
      <w:r w:rsidR="00BD7519">
        <w:t xml:space="preserve"> and</w:t>
      </w:r>
      <w:r>
        <w:t xml:space="preserve"> SCOEL, 2002).</w:t>
      </w:r>
      <w:r>
        <w:rPr>
          <w:rFonts w:cs="Arial"/>
        </w:rPr>
        <w:t xml:space="preserve"> </w:t>
      </w:r>
      <w:r w:rsidR="00352F18">
        <w:t xml:space="preserve">No evidence of tumorigenicity provided in humans (ACGIH, 2018; </w:t>
      </w:r>
      <w:r w:rsidR="00BD7519">
        <w:t xml:space="preserve">and </w:t>
      </w:r>
      <w:r w:rsidR="00352F18">
        <w:t>DFG, 2017).</w:t>
      </w:r>
      <w:r w:rsidR="00352F18" w:rsidRPr="00352F18">
        <w:t xml:space="preserve"> </w:t>
      </w:r>
      <w:r w:rsidR="00352F18">
        <w:t>A NOAEC of 1 ppm was reported in rats for formation of methaemoglobin and effects on the spleen (DFG, 2017).</w:t>
      </w:r>
    </w:p>
    <w:p w14:paraId="64EBBE52" w14:textId="33BF9BAD" w:rsidR="00710F0D" w:rsidRPr="00710F0D" w:rsidRDefault="008F6B66" w:rsidP="00710F0D">
      <w:pPr>
        <w:rPr>
          <w:rFonts w:cs="Arial"/>
        </w:rPr>
      </w:pPr>
      <w:r>
        <w:rPr>
          <w:rFonts w:cs="Arial"/>
        </w:rPr>
        <w:t>The current</w:t>
      </w:r>
      <w:r w:rsidR="00710F0D">
        <w:rPr>
          <w:rFonts w:cs="Arial"/>
        </w:rPr>
        <w:t xml:space="preserve"> TWA of 1</w:t>
      </w:r>
      <w:r w:rsidR="00710F0D" w:rsidRPr="00710F0D">
        <w:rPr>
          <w:rFonts w:cs="Arial"/>
        </w:rPr>
        <w:t xml:space="preserve"> ppm</w:t>
      </w:r>
      <w:r w:rsidR="00710F0D">
        <w:rPr>
          <w:rFonts w:cs="Arial"/>
        </w:rPr>
        <w:t xml:space="preserve"> (5 mg/m</w:t>
      </w:r>
      <w:r w:rsidR="00710F0D">
        <w:rPr>
          <w:rFonts w:cs="Arial"/>
          <w:vertAlign w:val="superscript"/>
        </w:rPr>
        <w:t>3</w:t>
      </w:r>
      <w:r w:rsidR="00710F0D">
        <w:rPr>
          <w:rFonts w:cs="Arial"/>
        </w:rPr>
        <w:t>)</w:t>
      </w:r>
      <w:r w:rsidR="00710F0D" w:rsidRPr="00710F0D">
        <w:rPr>
          <w:rFonts w:cs="Arial"/>
        </w:rPr>
        <w:t xml:space="preserve"> is recommended to be retained based on the weight of evidence presented</w:t>
      </w:r>
      <w:r w:rsidR="002C17D7">
        <w:rPr>
          <w:rFonts w:cs="Arial"/>
        </w:rPr>
        <w:t>,</w:t>
      </w:r>
      <w:r w:rsidR="00710F0D" w:rsidRPr="00710F0D">
        <w:rPr>
          <w:rFonts w:cs="Arial"/>
        </w:rPr>
        <w:t xml:space="preserve"> it is considered </w:t>
      </w:r>
      <w:r w:rsidR="002C17D7">
        <w:rPr>
          <w:rFonts w:cs="Arial"/>
        </w:rPr>
        <w:t xml:space="preserve">to </w:t>
      </w:r>
      <w:r w:rsidR="00710F0D" w:rsidRPr="00710F0D">
        <w:rPr>
          <w:rFonts w:cs="Arial"/>
        </w:rPr>
        <w:t xml:space="preserve">protect for </w:t>
      </w:r>
      <w:r w:rsidR="00710F0D">
        <w:t>methemoglobinemia and effects on the spleen</w:t>
      </w:r>
      <w:r w:rsidR="00710F0D" w:rsidRPr="00710F0D">
        <w:rPr>
          <w:rFonts w:cs="Arial"/>
        </w:rPr>
        <w:t xml:space="preserve"> </w:t>
      </w:r>
      <w:r w:rsidR="002C17D7">
        <w:rPr>
          <w:rFonts w:cs="Arial"/>
        </w:rPr>
        <w:t>in exposed workers</w:t>
      </w:r>
      <w:r w:rsidR="00710F0D" w:rsidRPr="00710F0D">
        <w:rPr>
          <w:rFonts w:cs="Arial"/>
        </w:rPr>
        <w:t>.</w:t>
      </w:r>
    </w:p>
    <w:p w14:paraId="42F143DA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CC4E9E6" w14:textId="77777777" w:rsidR="001D1A68" w:rsidRPr="003902E0" w:rsidRDefault="003902E0" w:rsidP="001D1A68">
      <w:pPr>
        <w:rPr>
          <w:rFonts w:cs="Arial"/>
        </w:rPr>
      </w:pPr>
      <w:r w:rsidRPr="003902E0">
        <w:rPr>
          <w:rFonts w:cs="Arial"/>
        </w:rPr>
        <w:t>C</w:t>
      </w:r>
      <w:r w:rsidR="001D1A68" w:rsidRPr="003902E0">
        <w:rPr>
          <w:rFonts w:cs="Arial"/>
        </w:rPr>
        <w:t xml:space="preserve">lassified as a </w:t>
      </w:r>
      <w:r w:rsidR="00B70FF5" w:rsidRPr="003902E0">
        <w:rPr>
          <w:rFonts w:cs="Arial"/>
        </w:rPr>
        <w:t>category 2</w:t>
      </w:r>
      <w:r w:rsidR="00FC5D6E">
        <w:rPr>
          <w:rFonts w:cs="Arial"/>
        </w:rPr>
        <w:t xml:space="preserve"> </w:t>
      </w:r>
      <w:r w:rsidR="001D1A68" w:rsidRPr="003902E0">
        <w:rPr>
          <w:rFonts w:cs="Arial"/>
        </w:rPr>
        <w:t>carcinogen</w:t>
      </w:r>
      <w:r w:rsidRPr="003902E0">
        <w:rPr>
          <w:rFonts w:cs="Arial"/>
        </w:rPr>
        <w:t xml:space="preserve"> </w:t>
      </w:r>
      <w:r w:rsidR="001D1A68" w:rsidRPr="003902E0">
        <w:rPr>
          <w:rFonts w:cs="Arial"/>
        </w:rPr>
        <w:t>according to the Globally Harmonized System of</w:t>
      </w:r>
      <w:r w:rsidRPr="003902E0">
        <w:rPr>
          <w:rFonts w:cs="Arial"/>
        </w:rPr>
        <w:t xml:space="preserve"> Classification and Labelling of</w:t>
      </w:r>
      <w:r w:rsidR="001D1A68" w:rsidRPr="003902E0">
        <w:rPr>
          <w:rFonts w:cs="Arial"/>
        </w:rPr>
        <w:t xml:space="preserve"> Chemicals (GHS). </w:t>
      </w:r>
    </w:p>
    <w:p w14:paraId="694DDF04" w14:textId="77777777" w:rsidR="001D1A68" w:rsidRPr="003902E0" w:rsidRDefault="001D1A68" w:rsidP="001D1A68">
      <w:pPr>
        <w:rPr>
          <w:rFonts w:cs="Arial"/>
        </w:rPr>
      </w:pPr>
      <w:r w:rsidRPr="003902E0">
        <w:rPr>
          <w:rFonts w:cs="Arial"/>
        </w:rPr>
        <w:t xml:space="preserve">Not classified as a skin </w:t>
      </w:r>
      <w:r w:rsidR="003902E0" w:rsidRPr="003902E0">
        <w:rPr>
          <w:rFonts w:cs="Arial"/>
        </w:rPr>
        <w:t>sensitiser</w:t>
      </w:r>
      <w:r w:rsidR="004E3E3C">
        <w:rPr>
          <w:rFonts w:cs="Arial"/>
        </w:rPr>
        <w:t xml:space="preserve"> </w:t>
      </w:r>
      <w:r w:rsidRPr="003902E0">
        <w:rPr>
          <w:rFonts w:cs="Arial"/>
        </w:rPr>
        <w:t>or respiratory sensitiser according to the GHS.</w:t>
      </w:r>
    </w:p>
    <w:p w14:paraId="6B717AB6" w14:textId="77777777" w:rsidR="0025734A" w:rsidRPr="004C23F4" w:rsidRDefault="003902E0">
      <w:pPr>
        <w:rPr>
          <w:rFonts w:cs="Arial"/>
        </w:rPr>
      </w:pPr>
      <w:r w:rsidRPr="003902E0">
        <w:rPr>
          <w:rFonts w:cs="Arial"/>
        </w:rPr>
        <w:lastRenderedPageBreak/>
        <w:t xml:space="preserve">A skin notation is recommended based on dermal absorption data in </w:t>
      </w:r>
      <w:r w:rsidR="00710F0D">
        <w:rPr>
          <w:rFonts w:cs="Arial"/>
        </w:rPr>
        <w:t xml:space="preserve">humans and </w:t>
      </w:r>
      <w:r w:rsidRPr="003902E0">
        <w:rPr>
          <w:rFonts w:cs="Arial"/>
        </w:rPr>
        <w:t>animals</w:t>
      </w:r>
      <w:r w:rsidR="00241C4B">
        <w:rPr>
          <w:rFonts w:cs="Arial"/>
        </w:rPr>
        <w:t>.</w:t>
      </w:r>
    </w:p>
    <w:p w14:paraId="7B7D8549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96F346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A397EF9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B63B203" w14:textId="77777777" w:rsidTr="00D815A1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AC8FB75" w14:textId="77777777" w:rsidR="00C978F0" w:rsidRPr="00DA352E" w:rsidRDefault="00C978F0" w:rsidP="004E3E3C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1E6DB2A" w14:textId="77777777" w:rsidTr="00D815A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AB0F654" w14:textId="77777777" w:rsidR="00DE26E8" w:rsidRPr="003365A5" w:rsidRDefault="00DE26E8" w:rsidP="00B70FF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95E2B">
                  <w:rPr>
                    <w:lang w:val="en-US"/>
                  </w:rPr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B772A">
                  <w:t>TWA: 1 ppm (5 mg/m</w:t>
                </w:r>
                <w:r w:rsidR="007B772A" w:rsidRPr="007B772A">
                  <w:rPr>
                    <w:vertAlign w:val="superscript"/>
                  </w:rPr>
                  <w:t>3</w:t>
                </w:r>
                <w:r w:rsidR="007B772A">
                  <w:t>)</w:t>
                </w:r>
              </w:sdtContent>
            </w:sdt>
          </w:p>
        </w:tc>
      </w:tr>
      <w:tr w:rsidR="00C978F0" w:rsidRPr="00DA352E" w14:paraId="10593C72" w14:textId="77777777" w:rsidTr="00D815A1">
        <w:trPr>
          <w:gridAfter w:val="1"/>
          <w:wAfter w:w="8" w:type="pct"/>
        </w:trPr>
        <w:tc>
          <w:tcPr>
            <w:tcW w:w="4992" w:type="pct"/>
          </w:tcPr>
          <w:p w14:paraId="4072D4C4" w14:textId="77777777" w:rsidR="00C978F0" w:rsidRPr="00DA352E" w:rsidRDefault="00C978F0" w:rsidP="004E3E3C">
            <w:pPr>
              <w:pStyle w:val="Tabletextprimarysource"/>
            </w:pPr>
          </w:p>
        </w:tc>
      </w:tr>
      <w:tr w:rsidR="00C978F0" w:rsidRPr="00DA352E" w14:paraId="5DF84A62" w14:textId="77777777" w:rsidTr="00D815A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A70A1B4" w14:textId="77777777" w:rsidR="00C978F0" w:rsidRPr="00DA352E" w:rsidRDefault="00DA352E" w:rsidP="00B70FF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895E2B">
                  <w:rPr>
                    <w:lang w:val="en-US"/>
                  </w:rPr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588228843"/>
                    <w:placeholder>
                      <w:docPart w:val="F662E5EE7EED4CB3ADE53F03DECB8F27"/>
                    </w:placeholder>
                  </w:sdtPr>
                  <w:sdtEndPr/>
                  <w:sdtContent>
                    <w:r w:rsidR="0058126C">
                      <w:t>TLV-TWA: 1 ppm (5 mg/m</w:t>
                    </w:r>
                    <w:r w:rsidR="0058126C" w:rsidRPr="007B772A">
                      <w:rPr>
                        <w:vertAlign w:val="superscript"/>
                      </w:rPr>
                      <w:t>3</w:t>
                    </w:r>
                    <w:r w:rsidR="0058126C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07927528" w14:textId="77777777" w:rsidTr="00D815A1">
        <w:trPr>
          <w:gridAfter w:val="1"/>
          <w:wAfter w:w="8" w:type="pct"/>
        </w:trPr>
        <w:tc>
          <w:tcPr>
            <w:tcW w:w="4992" w:type="pct"/>
          </w:tcPr>
          <w:p w14:paraId="194A8332" w14:textId="77777777" w:rsidR="00C978F0" w:rsidRDefault="00B36B2C" w:rsidP="004E3E3C">
            <w:pPr>
              <w:pStyle w:val="Tabletextprimarysource"/>
            </w:pPr>
            <w:r>
              <w:t>TLV-TWA recommended to minimise the potential for methemoglobinemia.</w:t>
            </w:r>
          </w:p>
          <w:p w14:paraId="5A97D6BA" w14:textId="77777777" w:rsidR="00B36B2C" w:rsidRDefault="00B36B2C" w:rsidP="004E3E3C">
            <w:pPr>
              <w:pStyle w:val="Tabletextprimarysource"/>
            </w:pPr>
            <w:r>
              <w:t>Summary of data:</w:t>
            </w:r>
          </w:p>
          <w:p w14:paraId="0E1574F1" w14:textId="77777777" w:rsidR="00B36B2C" w:rsidRDefault="00B36B2C" w:rsidP="004E3E3C">
            <w:pPr>
              <w:pStyle w:val="Tabletextprimarysource"/>
            </w:pPr>
            <w:r>
              <w:t>No derivation provided; justified by reported NOAEC of 1 ppm in humans</w:t>
            </w:r>
            <w:r w:rsidR="004E3E3C">
              <w:t>.</w:t>
            </w:r>
          </w:p>
          <w:p w14:paraId="6833ED15" w14:textId="77777777" w:rsidR="00B36B2C" w:rsidRDefault="00B36B2C" w:rsidP="004E3E3C">
            <w:pPr>
              <w:pStyle w:val="Tabletextprimarysource"/>
            </w:pPr>
            <w:r>
              <w:t>Human data:</w:t>
            </w:r>
          </w:p>
          <w:p w14:paraId="2B1B2CED" w14:textId="3401E296" w:rsidR="00B36B2C" w:rsidRDefault="007D551B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Study in plant workers exposed at an average of 6 ppm (no further exposure details); 1 or 2 cases of headache or vertigo reported; small amounts of meth</w:t>
            </w:r>
            <w:r w:rsidR="00343E63">
              <w:t>a</w:t>
            </w:r>
            <w:r>
              <w:t>emoglobin and sulfh</w:t>
            </w:r>
            <w:r w:rsidR="00352F18">
              <w:t>a</w:t>
            </w:r>
            <w:r>
              <w:t>emoglobin and some Heinz bodies; no further details</w:t>
            </w:r>
          </w:p>
          <w:p w14:paraId="4C9741F6" w14:textId="77777777" w:rsidR="00FE61A8" w:rsidRDefault="00FE61A8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Reported a NOAEC of 1 ppm in humans based on following:</w:t>
            </w:r>
          </w:p>
          <w:p w14:paraId="61CA473E" w14:textId="77777777" w:rsidR="00FE61A8" w:rsidRDefault="00FE61A8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Study of metabolite </w:t>
            </w:r>
            <w:r w:rsidRPr="007D551B">
              <w:t xml:space="preserve">excretion of </w:t>
            </w:r>
            <w:r w:rsidRPr="00352F18">
              <w:rPr>
                <w:i/>
              </w:rPr>
              <w:t>p</w:t>
            </w:r>
            <w:r w:rsidRPr="007D551B">
              <w:t>-nitrophenol</w:t>
            </w:r>
            <w:r>
              <w:t xml:space="preserve"> in workers; consider 35 mg/d to be the maximum allowable daily dose; controls exposed at 1 to 6 ppm with no ill effects; no further information</w:t>
            </w:r>
          </w:p>
          <w:p w14:paraId="281BFD4D" w14:textId="215F9326" w:rsidR="00FE61A8" w:rsidRDefault="00FE61A8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Study reported that 1 to 5 ppm considered safe level for daily exposure; no further information</w:t>
            </w:r>
          </w:p>
          <w:p w14:paraId="54D13C67" w14:textId="77777777" w:rsidR="00FE61A8" w:rsidRDefault="00FE61A8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Human volunteers exposed to either 1.0 or 5.5 ppm in air, up to 50% of the absorbed dose could be attributed to percutaneous absorption</w:t>
            </w:r>
            <w:r w:rsidR="004E3E3C">
              <w:t>.</w:t>
            </w:r>
          </w:p>
          <w:p w14:paraId="7A07158E" w14:textId="77777777" w:rsidR="006B2B7D" w:rsidRDefault="00207674" w:rsidP="004E3E3C">
            <w:pPr>
              <w:pStyle w:val="Tabletextprimarysource"/>
            </w:pPr>
            <w:r>
              <w:t>Animal data:</w:t>
            </w:r>
          </w:p>
          <w:p w14:paraId="7CD2D621" w14:textId="77777777" w:rsidR="00207674" w:rsidRDefault="00FC4DA0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352F18">
              <w:t>:</w:t>
            </w:r>
            <w:r>
              <w:t xml:space="preserve"> 600 mg/kg </w:t>
            </w:r>
            <w:r w:rsidR="00352F18">
              <w:t>(</w:t>
            </w:r>
            <w:r>
              <w:t>rat</w:t>
            </w:r>
            <w:r w:rsidR="00352F18">
              <w:t>, oral)</w:t>
            </w:r>
          </w:p>
          <w:p w14:paraId="3F6D9F68" w14:textId="77777777" w:rsidR="00FC4DA0" w:rsidRDefault="00FC4DA0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Topical application of unknown amount on mice killed 12/18 females and 8/10 males</w:t>
            </w:r>
          </w:p>
          <w:p w14:paraId="6B893684" w14:textId="77777777" w:rsidR="00FC4DA0" w:rsidRDefault="00FC4DA0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More pronounced neurotoxicity than IV injection following topical application on rabbits</w:t>
            </w:r>
          </w:p>
          <w:p w14:paraId="09FD48B6" w14:textId="77777777" w:rsidR="00B36B2C" w:rsidRDefault="00FE61A8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Rats and mice exposed at 0, 5, 16, or 50 ppm 6 h/d, 5 d/wk for 90 d; dose related increase in methemoglobin</w:t>
            </w:r>
          </w:p>
          <w:p w14:paraId="54DB312D" w14:textId="4676B922" w:rsidR="00FE61A8" w:rsidRDefault="00FE61A8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Inhalation study 6 h/d, 5 d/wk for 107 wk at 0, 5, 25, or 50 pp</w:t>
            </w:r>
            <w:r w:rsidR="00352F18">
              <w:t>m for (mice) or 0, 5, 15, or 25 </w:t>
            </w:r>
            <w:r>
              <w:t xml:space="preserve">ppm (rats); increase of nasal inflammatory lesions and the occurrence of </w:t>
            </w:r>
            <w:r w:rsidR="00343E63">
              <w:t>methaemoglobinaemia</w:t>
            </w:r>
            <w:r>
              <w:t xml:space="preserve"> anaemia; increased incidences of alveolar, bronchiolar, thyroid, hepatic, and renal tumorigenicity</w:t>
            </w:r>
            <w:r w:rsidR="004E3E3C">
              <w:t>.</w:t>
            </w:r>
          </w:p>
          <w:p w14:paraId="77FA7AFD" w14:textId="77777777" w:rsidR="00BD7519" w:rsidRDefault="00BD7519" w:rsidP="004E3E3C">
            <w:pPr>
              <w:pStyle w:val="Tabletextprimarysource"/>
            </w:pPr>
          </w:p>
          <w:p w14:paraId="5F4D2E79" w14:textId="77777777" w:rsidR="00BF0861" w:rsidRDefault="00BF0861" w:rsidP="004E3E3C">
            <w:pPr>
              <w:pStyle w:val="Tabletextprimarysource"/>
            </w:pPr>
            <w:r>
              <w:t>No evidence of genotoxicity</w:t>
            </w:r>
            <w:r w:rsidR="004E3E3C">
              <w:t>.</w:t>
            </w:r>
          </w:p>
          <w:p w14:paraId="2EFCCDD2" w14:textId="77777777" w:rsidR="00FE61A8" w:rsidRDefault="00BF0861" w:rsidP="004E3E3C">
            <w:pPr>
              <w:pStyle w:val="Tabletextprimarysource"/>
            </w:pPr>
            <w:r>
              <w:t>Insufficient evidence to recommend a SEN notation of TLV-STEL.</w:t>
            </w:r>
          </w:p>
          <w:p w14:paraId="3370C06A" w14:textId="77777777" w:rsidR="00BD7519" w:rsidRPr="00DA352E" w:rsidRDefault="00BD7519" w:rsidP="004E3E3C">
            <w:pPr>
              <w:pStyle w:val="Tabletextprimarysource"/>
            </w:pPr>
          </w:p>
        </w:tc>
      </w:tr>
      <w:tr w:rsidR="00C978F0" w:rsidRPr="00DA352E" w14:paraId="16A52E40" w14:textId="77777777" w:rsidTr="00D815A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8A5406C" w14:textId="77777777" w:rsidR="00C978F0" w:rsidRPr="00DA352E" w:rsidRDefault="00DA352E" w:rsidP="00B70FF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895E2B">
                  <w:rPr>
                    <w:lang w:val="en-US"/>
                  </w:rPr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F0861">
                  <w:t>MAK: 0.1 ppm (0.51</w:t>
                </w:r>
                <w:r w:rsidR="00B914AC">
                  <w:t xml:space="preserve"> mg/m</w:t>
                </w:r>
                <w:r w:rsidR="00B914AC" w:rsidRPr="00D97A7A">
                  <w:rPr>
                    <w:vertAlign w:val="superscript"/>
                  </w:rPr>
                  <w:t>3</w:t>
                </w:r>
                <w:r w:rsidR="00B914AC">
                  <w:t>)</w:t>
                </w:r>
              </w:sdtContent>
            </w:sdt>
          </w:p>
        </w:tc>
      </w:tr>
      <w:tr w:rsidR="00C978F0" w:rsidRPr="00DA352E" w14:paraId="0424401E" w14:textId="77777777" w:rsidTr="00D815A1">
        <w:trPr>
          <w:gridAfter w:val="1"/>
          <w:wAfter w:w="8" w:type="pct"/>
        </w:trPr>
        <w:tc>
          <w:tcPr>
            <w:tcW w:w="4992" w:type="pct"/>
          </w:tcPr>
          <w:p w14:paraId="59EC1DDF" w14:textId="77777777" w:rsidR="00C978F0" w:rsidRDefault="00824AF8" w:rsidP="004E3E3C">
            <w:pPr>
              <w:pStyle w:val="Tabletextprimarysource"/>
            </w:pPr>
            <w:r>
              <w:t xml:space="preserve">MAK recommended to protect for </w:t>
            </w:r>
            <w:r w:rsidR="000478DC">
              <w:t>increased methemoglobin formation and systemic effects</w:t>
            </w:r>
            <w:r w:rsidR="004E3E3C">
              <w:t>.</w:t>
            </w:r>
          </w:p>
          <w:p w14:paraId="5242DEEF" w14:textId="77777777" w:rsidR="00BF0861" w:rsidRDefault="00BF0861" w:rsidP="004E3E3C">
            <w:pPr>
              <w:pStyle w:val="Tabletextprimarysource"/>
            </w:pPr>
            <w:r>
              <w:t>Summary of additional data:</w:t>
            </w:r>
          </w:p>
          <w:p w14:paraId="6A6F5861" w14:textId="09345F1B" w:rsidR="00BF0861" w:rsidRDefault="00BF0861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LOAEL of 9.38 mg/kg/d in rats 90</w:t>
            </w:r>
            <w:r w:rsidR="004E3E3C">
              <w:t xml:space="preserve"> </w:t>
            </w:r>
            <w:r>
              <w:t>d gavage dosing study; increase liver weights, decrease in haemoglobin, increase in meth</w:t>
            </w:r>
            <w:r w:rsidR="00343E63">
              <w:t>a</w:t>
            </w:r>
            <w:r>
              <w:t>emoglobin; increase kidney weights</w:t>
            </w:r>
          </w:p>
          <w:p w14:paraId="4C9E6E1C" w14:textId="3931511F" w:rsidR="00BF0861" w:rsidRDefault="00BF0861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LOAEL of 18.75 mg/kg/d in rats 90</w:t>
            </w:r>
            <w:r w:rsidR="004E3E3C">
              <w:t xml:space="preserve"> </w:t>
            </w:r>
            <w:r>
              <w:t xml:space="preserve">d gavage dosing study; increase liver </w:t>
            </w:r>
            <w:r w:rsidR="00EF3405">
              <w:t>weights,</w:t>
            </w:r>
            <w:r>
              <w:t xml:space="preserve"> increase in meth</w:t>
            </w:r>
            <w:r w:rsidR="00343E63">
              <w:t>a</w:t>
            </w:r>
            <w:r>
              <w:t xml:space="preserve">emoglobin; increase </w:t>
            </w:r>
            <w:r w:rsidR="005770D8">
              <w:t>reticulocytes</w:t>
            </w:r>
          </w:p>
          <w:p w14:paraId="74F2FF16" w14:textId="79EB763D" w:rsidR="00EF3405" w:rsidRDefault="00EF3405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Extrapolation of LOAEL to airborne concentration:</w:t>
            </w:r>
          </w:p>
          <w:p w14:paraId="2930E3CF" w14:textId="77777777" w:rsidR="00EF3405" w:rsidRDefault="00EF3405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species-specific correction 1:4 rat, 1:7 mouse</w:t>
            </w:r>
          </w:p>
          <w:p w14:paraId="53A03691" w14:textId="1F72151C" w:rsidR="00EF3405" w:rsidRDefault="00EF3405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assumed oral absorption of 100%; inhalation </w:t>
            </w:r>
            <w:r w:rsidR="00BD7519">
              <w:t xml:space="preserve">absorption </w:t>
            </w:r>
            <w:r>
              <w:t>100%</w:t>
            </w:r>
          </w:p>
          <w:p w14:paraId="445A459F" w14:textId="04E1747D" w:rsidR="00EF3405" w:rsidRDefault="00343E63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lastRenderedPageBreak/>
              <w:t xml:space="preserve">body weight </w:t>
            </w:r>
            <w:r w:rsidR="00EF3405">
              <w:t>70 kg</w:t>
            </w:r>
          </w:p>
          <w:p w14:paraId="562DC2A5" w14:textId="77777777" w:rsidR="00EF3405" w:rsidRDefault="00EF3405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respiratory volume 10 m</w:t>
            </w:r>
            <w:r>
              <w:rPr>
                <w:vertAlign w:val="superscript"/>
              </w:rPr>
              <w:t>3</w:t>
            </w:r>
          </w:p>
          <w:p w14:paraId="349124A2" w14:textId="09E9C27E" w:rsidR="00EF3405" w:rsidRDefault="00EF3405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9.38 mg/kg/d=</w:t>
            </w:r>
            <w:r w:rsidR="002C17D7">
              <w:t xml:space="preserve"> </w:t>
            </w:r>
            <w:r>
              <w:t>16.4 mg/m</w:t>
            </w:r>
            <w:r>
              <w:rPr>
                <w:vertAlign w:val="superscript"/>
              </w:rPr>
              <w:t xml:space="preserve">3 </w:t>
            </w:r>
            <w:r>
              <w:t>(3.2 ppm)</w:t>
            </w:r>
          </w:p>
          <w:p w14:paraId="3F373BE2" w14:textId="0B1BAA23" w:rsidR="00EF3405" w:rsidRPr="00EF3405" w:rsidRDefault="00EF3405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18.75 mg/kg/d=</w:t>
            </w:r>
            <w:r w:rsidR="002C17D7">
              <w:t xml:space="preserve"> </w:t>
            </w:r>
            <w:r>
              <w:t>18.8 mg/m</w:t>
            </w:r>
            <w:r>
              <w:rPr>
                <w:vertAlign w:val="superscript"/>
              </w:rPr>
              <w:t>3</w:t>
            </w:r>
            <w:r>
              <w:t xml:space="preserve"> (3.7 ppm)</w:t>
            </w:r>
          </w:p>
          <w:p w14:paraId="45012F8F" w14:textId="77777777" w:rsidR="00EF3405" w:rsidRDefault="00EF3405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NOAEC of 1 ppm; LOAEC of 5 ppm in rats; 2</w:t>
            </w:r>
            <w:r w:rsidR="004E3E3C">
              <w:t xml:space="preserve"> </w:t>
            </w:r>
            <w:r>
              <w:t xml:space="preserve">yr inhalation; formation of methaemoglobin and minimal effects in spleen; </w:t>
            </w:r>
            <w:r w:rsidR="00E1376A">
              <w:t>non-adverse pigment deposition in the nasal epithelium at 1</w:t>
            </w:r>
            <w:r w:rsidR="00352F18">
              <w:t> </w:t>
            </w:r>
            <w:r w:rsidR="00E1376A">
              <w:t>ppm</w:t>
            </w:r>
          </w:p>
          <w:p w14:paraId="598A4E59" w14:textId="77777777" w:rsidR="00510ED5" w:rsidRDefault="00510ED5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Basis for MAK:</w:t>
            </w:r>
          </w:p>
          <w:p w14:paraId="29EC9E86" w14:textId="6EB3D53D" w:rsidR="00510ED5" w:rsidRDefault="00510ED5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NOAEC of 1 ppm</w:t>
            </w:r>
            <w:r w:rsidR="00EF3405">
              <w:t xml:space="preserve"> extrapolated to a N</w:t>
            </w:r>
            <w:r w:rsidR="00343E63">
              <w:t>O</w:t>
            </w:r>
            <w:r w:rsidR="00EF3405">
              <w:t>AEC of 0.3 ppm (no derivation)</w:t>
            </w:r>
            <w:r>
              <w:t xml:space="preserve"> </w:t>
            </w:r>
          </w:p>
          <w:p w14:paraId="758A4D9F" w14:textId="77777777" w:rsidR="00EF3405" w:rsidRDefault="00510ED5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considered same for humans based on effects in spleen more pronounced in rats than humans</w:t>
            </w:r>
          </w:p>
          <w:p w14:paraId="55D0CFE3" w14:textId="77777777" w:rsidR="00510ED5" w:rsidRDefault="00352F18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d</w:t>
            </w:r>
            <w:r w:rsidR="00510ED5">
              <w:t>ata from animals therefore halved to 0.15 ppm; preferred value approach rounds down to 0.1 ppm</w:t>
            </w:r>
          </w:p>
          <w:p w14:paraId="46C40C82" w14:textId="77777777" w:rsidR="00BF0861" w:rsidRDefault="00352F18" w:rsidP="00D815A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proofErr w:type="gramStart"/>
            <w:r>
              <w:t>j</w:t>
            </w:r>
            <w:r w:rsidR="00510ED5">
              <w:t>ustified</w:t>
            </w:r>
            <w:proofErr w:type="gramEnd"/>
            <w:r w:rsidR="00510ED5">
              <w:t xml:space="preserve"> as ‘far below LOAEL</w:t>
            </w:r>
            <w:r>
              <w:t>’</w:t>
            </w:r>
            <w:r w:rsidR="004E3E3C">
              <w:t>.</w:t>
            </w:r>
          </w:p>
          <w:p w14:paraId="6A20B748" w14:textId="77777777" w:rsidR="00BD7519" w:rsidRPr="00DA352E" w:rsidRDefault="00BD7519" w:rsidP="00D815A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41E6F9C3" w14:textId="77777777" w:rsidTr="00D815A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DBC7525" w14:textId="77777777" w:rsidR="00C978F0" w:rsidRPr="00DA352E" w:rsidRDefault="00DA352E" w:rsidP="00B70FF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895E2B">
                  <w:rPr>
                    <w:lang w:val="en-US"/>
                  </w:rPr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027B8A">
                  <w:t>0.2 ppm (0.1 mg/m</w:t>
                </w:r>
                <w:r w:rsidR="00027B8A" w:rsidRPr="00027B8A">
                  <w:rPr>
                    <w:vertAlign w:val="superscript"/>
                  </w:rPr>
                  <w:t>3</w:t>
                </w:r>
                <w:r w:rsidR="00027B8A">
                  <w:t>)</w:t>
                </w:r>
              </w:sdtContent>
            </w:sdt>
          </w:p>
        </w:tc>
      </w:tr>
      <w:tr w:rsidR="00C978F0" w:rsidRPr="00DA352E" w14:paraId="02FF6811" w14:textId="77777777" w:rsidTr="00D815A1">
        <w:trPr>
          <w:gridAfter w:val="1"/>
          <w:wAfter w:w="8" w:type="pct"/>
        </w:trPr>
        <w:tc>
          <w:tcPr>
            <w:tcW w:w="4992" w:type="pct"/>
          </w:tcPr>
          <w:p w14:paraId="55088847" w14:textId="77777777" w:rsidR="00C978F0" w:rsidRDefault="000478DC" w:rsidP="004E3E3C">
            <w:pPr>
              <w:pStyle w:val="Tabletextprimarysource"/>
            </w:pPr>
            <w:r>
              <w:t>Summary of additional data:</w:t>
            </w:r>
          </w:p>
          <w:p w14:paraId="4360EED9" w14:textId="77777777" w:rsidR="000478DC" w:rsidRDefault="000478DC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Formation of methaemoglobin in humans and experimental animals after </w:t>
            </w:r>
            <w:r w:rsidR="00352F18">
              <w:t>inhalation</w:t>
            </w:r>
            <w:r>
              <w:t>, oral or percutaneous exposure well established</w:t>
            </w:r>
          </w:p>
          <w:p w14:paraId="78B7D99D" w14:textId="3C0855FA" w:rsidR="000478DC" w:rsidRDefault="00343E63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Methaemoglobinaemia</w:t>
            </w:r>
            <w:r w:rsidR="000478DC">
              <w:t xml:space="preserve"> in humans at 6 ppm and in animal inhalation studies at 5 ppm (cited by ACGIH, 20</w:t>
            </w:r>
            <w:r w:rsidR="0080748A">
              <w:t>0</w:t>
            </w:r>
            <w:r w:rsidR="000478DC">
              <w:t>1)</w:t>
            </w:r>
          </w:p>
          <w:p w14:paraId="4024539F" w14:textId="7B3AF86D" w:rsidR="00E1376A" w:rsidRDefault="00E1376A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NOAEC of 1 ppm</w:t>
            </w:r>
            <w:r w:rsidR="00710F0D">
              <w:t xml:space="preserve"> in humans with respect to methaemoglobin formation</w:t>
            </w:r>
            <w:r>
              <w:t xml:space="preserve"> (cited by </w:t>
            </w:r>
            <w:r w:rsidR="00BD7519">
              <w:br/>
            </w:r>
            <w:r>
              <w:t>ACGIH</w:t>
            </w:r>
            <w:r w:rsidR="00BD7519">
              <w:t>,</w:t>
            </w:r>
            <w:r w:rsidR="00BD7519">
              <w:rPr>
                <w:sz w:val="18"/>
              </w:rPr>
              <w:t xml:space="preserve"> </w:t>
            </w:r>
            <w:r>
              <w:t>20</w:t>
            </w:r>
            <w:r w:rsidR="0080748A">
              <w:t>0</w:t>
            </w:r>
            <w:r>
              <w:t>1)</w:t>
            </w:r>
          </w:p>
          <w:p w14:paraId="4CA8D0B4" w14:textId="20596EDA" w:rsidR="00E1376A" w:rsidRDefault="00E1376A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Tumorigenicity </w:t>
            </w:r>
            <w:r w:rsidR="00241C4B">
              <w:t xml:space="preserve">in rats </w:t>
            </w:r>
            <w:r w:rsidR="00710F0D">
              <w:t>following</w:t>
            </w:r>
            <w:r>
              <w:t xml:space="preserve"> repetitive long-term inhalations with 5 ppm (cited by ACGIH, 20</w:t>
            </w:r>
            <w:r w:rsidR="0080748A">
              <w:t>0</w:t>
            </w:r>
            <w:r>
              <w:t xml:space="preserve">1) </w:t>
            </w:r>
          </w:p>
          <w:p w14:paraId="035B7059" w14:textId="3E6196AA" w:rsidR="000478DC" w:rsidRDefault="00E1376A" w:rsidP="00B70FF5">
            <w:pPr>
              <w:pStyle w:val="ListBullet"/>
              <w:spacing w:before="60" w:after="60"/>
              <w:ind w:left="720"/>
              <w:contextualSpacing w:val="0"/>
            </w:pPr>
            <w:r>
              <w:t>Justification</w:t>
            </w:r>
            <w:r w:rsidR="00800A6C">
              <w:t>:</w:t>
            </w:r>
            <w:r>
              <w:t xml:space="preserve"> a TWA of 0.2 ppm (1 mg/m</w:t>
            </w:r>
            <w:r>
              <w:rPr>
                <w:vertAlign w:val="superscript"/>
              </w:rPr>
              <w:t>3</w:t>
            </w:r>
            <w:r>
              <w:t>) based on NOAEC of 1 ppm in humans and demonstrated tumorigenicity at 5 ppm in animals; no derivation provided</w:t>
            </w:r>
            <w:r w:rsidR="004E3E3C">
              <w:t>.</w:t>
            </w:r>
          </w:p>
          <w:p w14:paraId="65F1A979" w14:textId="77777777" w:rsidR="00BD7519" w:rsidRPr="00DA352E" w:rsidRDefault="00BD7519" w:rsidP="00D815A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DA352E" w:rsidRPr="00DA352E" w14:paraId="37B04871" w14:textId="77777777" w:rsidTr="00D815A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B48173D" w14:textId="77777777" w:rsidR="00DA352E" w:rsidRPr="00DA352E" w:rsidRDefault="00DA352E" w:rsidP="00B70FF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95E2B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027B8A">
                  <w:t>NA</w:t>
                </w:r>
              </w:sdtContent>
            </w:sdt>
          </w:p>
        </w:tc>
      </w:tr>
      <w:tr w:rsidR="00DA352E" w:rsidRPr="00DA352E" w14:paraId="78A87C55" w14:textId="77777777" w:rsidTr="00D815A1">
        <w:trPr>
          <w:gridAfter w:val="1"/>
          <w:wAfter w:w="8" w:type="pct"/>
        </w:trPr>
        <w:tc>
          <w:tcPr>
            <w:tcW w:w="4992" w:type="pct"/>
          </w:tcPr>
          <w:p w14:paraId="00D7FA43" w14:textId="77777777" w:rsidR="00DA352E" w:rsidRPr="00DA352E" w:rsidRDefault="00866DA5" w:rsidP="004E3E3C">
            <w:pPr>
              <w:pStyle w:val="Tabletextprimarysource"/>
            </w:pPr>
            <w:r>
              <w:t>No report</w:t>
            </w:r>
            <w:r w:rsidR="004E3E3C">
              <w:t>.</w:t>
            </w:r>
          </w:p>
        </w:tc>
      </w:tr>
      <w:tr w:rsidR="00DA352E" w:rsidRPr="00DA352E" w14:paraId="66C644F0" w14:textId="77777777" w:rsidTr="00D815A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2B6B839" w14:textId="77777777" w:rsidR="00DA352E" w:rsidRPr="00DA352E" w:rsidRDefault="00DA352E" w:rsidP="00B70FF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95E2B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866DA5">
                  <w:t>NA</w:t>
                </w:r>
              </w:sdtContent>
            </w:sdt>
          </w:p>
        </w:tc>
      </w:tr>
      <w:tr w:rsidR="00DA352E" w:rsidRPr="00DA352E" w14:paraId="0972A66D" w14:textId="77777777" w:rsidTr="00D815A1">
        <w:trPr>
          <w:gridAfter w:val="1"/>
          <w:wAfter w:w="8" w:type="pct"/>
        </w:trPr>
        <w:tc>
          <w:tcPr>
            <w:tcW w:w="4992" w:type="pct"/>
          </w:tcPr>
          <w:p w14:paraId="5F4F8A1F" w14:textId="77777777" w:rsidR="00DA352E" w:rsidRPr="00DA352E" w:rsidRDefault="00866DA5" w:rsidP="004E3E3C">
            <w:pPr>
              <w:pStyle w:val="Tabletextprimarysource"/>
            </w:pPr>
            <w:r>
              <w:t>No report</w:t>
            </w:r>
            <w:r w:rsidR="004E3E3C">
              <w:t>.</w:t>
            </w:r>
          </w:p>
        </w:tc>
      </w:tr>
    </w:tbl>
    <w:p w14:paraId="0E674AF0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2"/>
        <w:gridCol w:w="650"/>
        <w:gridCol w:w="6460"/>
      </w:tblGrid>
      <w:tr w:rsidR="004966BF" w:rsidRPr="00263255" w14:paraId="4832EE91" w14:textId="77777777" w:rsidTr="003902E0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2BB29A87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7DDEEF80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6C97061F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60" w:type="dxa"/>
            <w:shd w:val="clear" w:color="auto" w:fill="BFBFBF" w:themeFill="background1" w:themeFillShade="BF"/>
            <w:vAlign w:val="center"/>
          </w:tcPr>
          <w:p w14:paraId="78D2C09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B50737F" w14:textId="77777777" w:rsidTr="003902E0">
        <w:trPr>
          <w:cantSplit/>
        </w:trPr>
        <w:tc>
          <w:tcPr>
            <w:tcW w:w="1494" w:type="dxa"/>
          </w:tcPr>
          <w:p w14:paraId="64F713CE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75BFAB96" w14:textId="77777777" w:rsidR="004966BF" w:rsidRPr="00CE617F" w:rsidRDefault="00A4138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F03D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55268CF5" w14:textId="77777777" w:rsidR="004966BF" w:rsidRPr="004C23F4" w:rsidRDefault="004966B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</w:p>
        </w:tc>
        <w:tc>
          <w:tcPr>
            <w:tcW w:w="6460" w:type="dxa"/>
          </w:tcPr>
          <w:p w14:paraId="42FA6965" w14:textId="77777777" w:rsidR="004966BF" w:rsidRDefault="008F03D4" w:rsidP="00B70FF5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 w:rsidRPr="008F03D4">
              <w:rPr>
                <w:rStyle w:val="checkbox"/>
                <w:rFonts w:ascii="Arial" w:hAnsi="Arial" w:cs="Arial"/>
              </w:rPr>
              <w:t>LD</w:t>
            </w:r>
            <w:r w:rsidRPr="003902E0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352F18">
              <w:rPr>
                <w:rStyle w:val="checkbox"/>
                <w:rFonts w:ascii="Arial" w:hAnsi="Arial" w:cs="Arial"/>
              </w:rPr>
              <w:t xml:space="preserve">: </w:t>
            </w:r>
            <w:r w:rsidRPr="008F03D4">
              <w:rPr>
                <w:rStyle w:val="checkbox"/>
                <w:rFonts w:ascii="Arial" w:hAnsi="Arial" w:cs="Arial"/>
              </w:rPr>
              <w:t xml:space="preserve">&lt;300 mg/kg </w:t>
            </w:r>
            <w:r w:rsidR="00352F18">
              <w:rPr>
                <w:rStyle w:val="checkbox"/>
                <w:rFonts w:ascii="Arial" w:hAnsi="Arial" w:cs="Arial"/>
              </w:rPr>
              <w:t>(rabbit, d</w:t>
            </w:r>
            <w:r w:rsidR="00352F18" w:rsidRPr="00B70FF5">
              <w:t>ermal</w:t>
            </w:r>
            <w:r w:rsidR="00352F18">
              <w:t>)</w:t>
            </w:r>
          </w:p>
          <w:p w14:paraId="1BAA3218" w14:textId="77777777" w:rsidR="003902E0" w:rsidRPr="004C23F4" w:rsidRDefault="003902E0" w:rsidP="00B70FF5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Pr="00B70FF5">
              <w:t>further</w:t>
            </w:r>
            <w:r>
              <w:rPr>
                <w:rStyle w:val="checkbox"/>
                <w:rFonts w:ascii="Arial" w:hAnsi="Arial" w:cs="Arial"/>
              </w:rPr>
              <w:t xml:space="preserve"> additional data</w:t>
            </w:r>
            <w:r w:rsidR="004E3E3C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086BB27F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19C17605" w14:textId="77777777" w:rsidTr="003902E0">
        <w:trPr>
          <w:trHeight w:val="454"/>
          <w:tblHeader/>
        </w:trPr>
        <w:tc>
          <w:tcPr>
            <w:tcW w:w="6603" w:type="dxa"/>
            <w:vAlign w:val="center"/>
          </w:tcPr>
          <w:p w14:paraId="26AB603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7971305" w14:textId="77777777" w:rsidR="002E0D61" w:rsidRDefault="003902E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99B8217" w14:textId="77777777" w:rsidTr="003902E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DD95112" w14:textId="77777777" w:rsidR="008A36CF" w:rsidRPr="006901A2" w:rsidRDefault="003902E0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507DC4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DDA797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6D1A81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17253D2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A0682B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76528DF" w14:textId="77777777" w:rsidTr="00812887">
        <w:trPr>
          <w:cantSplit/>
        </w:trPr>
        <w:tc>
          <w:tcPr>
            <w:tcW w:w="3227" w:type="dxa"/>
          </w:tcPr>
          <w:p w14:paraId="742AF6C9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F4A7B33" w14:textId="77777777" w:rsidR="00687890" w:rsidRPr="00DD2F9B" w:rsidRDefault="007B772A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1D2FC246" w14:textId="77777777" w:rsidTr="00812887">
        <w:trPr>
          <w:cantSplit/>
        </w:trPr>
        <w:tc>
          <w:tcPr>
            <w:tcW w:w="3227" w:type="dxa"/>
          </w:tcPr>
          <w:p w14:paraId="5EDDC89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D64C03C" w14:textId="77777777" w:rsidR="007925F0" w:rsidRPr="00DD2F9B" w:rsidRDefault="007B772A" w:rsidP="00DD2F9B">
            <w:pPr>
              <w:pStyle w:val="Tablefont"/>
            </w:pPr>
            <w:r w:rsidRPr="007B772A">
              <w:t>Carcinogenicity – category 2</w:t>
            </w:r>
          </w:p>
        </w:tc>
      </w:tr>
      <w:tr w:rsidR="00AF483F" w:rsidRPr="004C23F4" w14:paraId="0A89CD29" w14:textId="77777777" w:rsidTr="00812887">
        <w:trPr>
          <w:cantSplit/>
        </w:trPr>
        <w:tc>
          <w:tcPr>
            <w:tcW w:w="3227" w:type="dxa"/>
          </w:tcPr>
          <w:p w14:paraId="4C3CB04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F444EA4" w14:textId="77777777" w:rsidR="00AF483F" w:rsidRPr="00DD2F9B" w:rsidRDefault="00A27C27" w:rsidP="00DD2F9B">
            <w:pPr>
              <w:pStyle w:val="Tablefont"/>
            </w:pPr>
            <w:proofErr w:type="spellStart"/>
            <w:r w:rsidRPr="00A27C27">
              <w:t>Carc</w:t>
            </w:r>
            <w:proofErr w:type="spellEnd"/>
            <w:r w:rsidRPr="00A27C27">
              <w:t>. Cat</w:t>
            </w:r>
            <w:r>
              <w:t>.</w:t>
            </w:r>
            <w:r w:rsidRPr="00A27C27">
              <w:t xml:space="preserve"> 3</w:t>
            </w:r>
          </w:p>
        </w:tc>
      </w:tr>
      <w:tr w:rsidR="00687890" w:rsidRPr="004C23F4" w14:paraId="6D7B5F0C" w14:textId="77777777" w:rsidTr="00812887">
        <w:trPr>
          <w:cantSplit/>
        </w:trPr>
        <w:tc>
          <w:tcPr>
            <w:tcW w:w="3227" w:type="dxa"/>
          </w:tcPr>
          <w:p w14:paraId="639060B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4DBC0AC" w14:textId="77777777" w:rsidR="00687890" w:rsidRPr="00DD2F9B" w:rsidRDefault="00564ACD" w:rsidP="00DD2F9B">
            <w:pPr>
              <w:pStyle w:val="Tablefont"/>
            </w:pPr>
            <w:r w:rsidRPr="00564ACD">
              <w:t>Carcinogenicity – category 2</w:t>
            </w:r>
          </w:p>
        </w:tc>
      </w:tr>
      <w:tr w:rsidR="00E41A26" w:rsidRPr="004C23F4" w14:paraId="6D3181A4" w14:textId="77777777" w:rsidTr="00812887">
        <w:trPr>
          <w:cantSplit/>
        </w:trPr>
        <w:tc>
          <w:tcPr>
            <w:tcW w:w="3227" w:type="dxa"/>
          </w:tcPr>
          <w:p w14:paraId="30FA440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C106CFB" w14:textId="77777777" w:rsidR="00E41A26" w:rsidRPr="00DD2F9B" w:rsidRDefault="00564ACD" w:rsidP="00DD2F9B">
            <w:pPr>
              <w:pStyle w:val="Tablefont"/>
            </w:pPr>
            <w:r w:rsidRPr="00564ACD">
              <w:t>Carcinogenicity – category 1B</w:t>
            </w:r>
          </w:p>
        </w:tc>
      </w:tr>
      <w:tr w:rsidR="002E0D61" w:rsidRPr="004C23F4" w14:paraId="2484D4F8" w14:textId="77777777" w:rsidTr="00812887">
        <w:trPr>
          <w:cantSplit/>
        </w:trPr>
        <w:tc>
          <w:tcPr>
            <w:tcW w:w="3227" w:type="dxa"/>
          </w:tcPr>
          <w:p w14:paraId="1F47741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33CF4B7" w14:textId="77777777" w:rsidR="002E0D61" w:rsidRPr="00DD2F9B" w:rsidRDefault="00564ACD" w:rsidP="00DD2F9B">
            <w:pPr>
              <w:pStyle w:val="Tablefont"/>
            </w:pPr>
            <w:r w:rsidRPr="00564ACD">
              <w:t>Carcinogenicity – A3</w:t>
            </w:r>
            <w:r w:rsidR="0058126C">
              <w:t>, Skin</w:t>
            </w:r>
          </w:p>
        </w:tc>
      </w:tr>
      <w:tr w:rsidR="002E0D61" w:rsidRPr="004C23F4" w14:paraId="3176956A" w14:textId="77777777" w:rsidTr="00812887">
        <w:trPr>
          <w:cantSplit/>
        </w:trPr>
        <w:tc>
          <w:tcPr>
            <w:tcW w:w="3227" w:type="dxa"/>
          </w:tcPr>
          <w:p w14:paraId="16EAE252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BF92E6B" w14:textId="77777777" w:rsidR="002E0D61" w:rsidRPr="00DD2F9B" w:rsidRDefault="00FF4558" w:rsidP="00DD2F9B">
            <w:pPr>
              <w:pStyle w:val="Tablefont"/>
            </w:pPr>
            <w:r w:rsidRPr="00FF4558">
              <w:t>Carcinogenicity – 4</w:t>
            </w:r>
            <w:r w:rsidR="00D97A7A">
              <w:t>, H (skin)</w:t>
            </w:r>
          </w:p>
        </w:tc>
      </w:tr>
      <w:tr w:rsidR="002E0D61" w:rsidRPr="004C23F4" w14:paraId="49B09E3C" w14:textId="77777777" w:rsidTr="00812887">
        <w:trPr>
          <w:cantSplit/>
        </w:trPr>
        <w:tc>
          <w:tcPr>
            <w:tcW w:w="3227" w:type="dxa"/>
          </w:tcPr>
          <w:p w14:paraId="2D4ED57B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4609E95" w14:textId="77777777" w:rsidR="002E0D61" w:rsidRPr="00DD2F9B" w:rsidRDefault="00027B8A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1378CB3A" w14:textId="77777777" w:rsidTr="00812887">
        <w:trPr>
          <w:cantSplit/>
        </w:trPr>
        <w:tc>
          <w:tcPr>
            <w:tcW w:w="3227" w:type="dxa"/>
          </w:tcPr>
          <w:p w14:paraId="17B3310D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06D7D9D" w14:textId="77777777" w:rsidR="002E0D61" w:rsidRPr="00DD2F9B" w:rsidRDefault="00A27C2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43DD0A0" w14:textId="77777777" w:rsidTr="00812887">
        <w:trPr>
          <w:cantSplit/>
        </w:trPr>
        <w:tc>
          <w:tcPr>
            <w:tcW w:w="3227" w:type="dxa"/>
          </w:tcPr>
          <w:p w14:paraId="1C1925B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BC8DFC9" w14:textId="77777777" w:rsidR="00386093" w:rsidRPr="00DD2F9B" w:rsidRDefault="00FF4558" w:rsidP="00DD2F9B">
            <w:pPr>
              <w:pStyle w:val="Tablefont"/>
            </w:pPr>
            <w:r w:rsidRPr="00FF4558">
              <w:t>Carcinogenicity – Group 2B</w:t>
            </w:r>
          </w:p>
        </w:tc>
      </w:tr>
      <w:tr w:rsidR="00386093" w:rsidRPr="004C23F4" w14:paraId="3F7A41E7" w14:textId="77777777" w:rsidTr="00812887">
        <w:trPr>
          <w:cantSplit/>
        </w:trPr>
        <w:tc>
          <w:tcPr>
            <w:tcW w:w="3227" w:type="dxa"/>
          </w:tcPr>
          <w:p w14:paraId="42796337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5E00DB2" w14:textId="77777777" w:rsidR="00386093" w:rsidRPr="00DD2F9B" w:rsidRDefault="00A27C27" w:rsidP="00A27C27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03F056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CBEE2AA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F69F9D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20A479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623304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80" w:type="dxa"/>
              <w:tblLook w:val="04A0" w:firstRow="1" w:lastRow="0" w:firstColumn="1" w:lastColumn="0" w:noHBand="0" w:noVBand="1"/>
            </w:tblPr>
            <w:tblGrid>
              <w:gridCol w:w="3582"/>
              <w:gridCol w:w="1059"/>
              <w:gridCol w:w="1059"/>
              <w:gridCol w:w="3110"/>
            </w:tblGrid>
            <w:tr w:rsidR="003902E0" w:rsidRPr="003902E0" w14:paraId="52487DE0" w14:textId="77777777" w:rsidTr="003902E0">
              <w:trPr>
                <w:trHeight w:val="345"/>
              </w:trPr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A1D86F" w14:textId="77777777" w:rsidR="003902E0" w:rsidRPr="003902E0" w:rsidRDefault="003902E0" w:rsidP="003902E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F910C9" w14:textId="77777777" w:rsidR="003902E0" w:rsidRPr="003902E0" w:rsidRDefault="003902E0" w:rsidP="003902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05CF88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F74616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902E0" w:rsidRPr="003902E0" w14:paraId="09D8A99D" w14:textId="77777777" w:rsidTr="003902E0">
              <w:trPr>
                <w:trHeight w:val="345"/>
              </w:trPr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11E9F2" w14:textId="77777777" w:rsidR="003902E0" w:rsidRPr="003902E0" w:rsidRDefault="003902E0" w:rsidP="003902E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448AE26" w14:textId="77777777" w:rsidR="003902E0" w:rsidRPr="003902E0" w:rsidRDefault="003902E0" w:rsidP="003902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4DBB5A" w14:textId="77777777" w:rsidR="003902E0" w:rsidRPr="003902E0" w:rsidRDefault="003902E0" w:rsidP="003902E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19337A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902E0" w:rsidRPr="003902E0" w14:paraId="2C6E3D67" w14:textId="77777777" w:rsidTr="003902E0">
              <w:trPr>
                <w:trHeight w:val="345"/>
              </w:trPr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EF9ACA" w14:textId="77777777" w:rsidR="003902E0" w:rsidRPr="003902E0" w:rsidRDefault="003902E0" w:rsidP="003902E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121E69" w14:textId="77777777" w:rsidR="003902E0" w:rsidRPr="003902E0" w:rsidRDefault="003902E0" w:rsidP="003902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25729E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AAF463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902E0" w:rsidRPr="003902E0" w14:paraId="39A18D90" w14:textId="77777777" w:rsidTr="003902E0">
              <w:trPr>
                <w:trHeight w:val="345"/>
              </w:trPr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365E2E" w14:textId="77777777" w:rsidR="003902E0" w:rsidRPr="003902E0" w:rsidRDefault="003902E0" w:rsidP="003902E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C7C24E" w14:textId="77777777" w:rsidR="003902E0" w:rsidRPr="003902E0" w:rsidRDefault="003902E0" w:rsidP="003902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7621FF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0310A0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902E0" w:rsidRPr="003902E0" w14:paraId="05DBFFA7" w14:textId="77777777" w:rsidTr="003902E0">
              <w:trPr>
                <w:trHeight w:val="345"/>
              </w:trPr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C09313" w14:textId="77777777" w:rsidR="003902E0" w:rsidRPr="003902E0" w:rsidRDefault="003902E0" w:rsidP="003902E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D6F780" w14:textId="77777777" w:rsidR="003902E0" w:rsidRPr="003902E0" w:rsidRDefault="003902E0" w:rsidP="003902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E1BACD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C80106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902E0" w:rsidRPr="003902E0" w14:paraId="11420B50" w14:textId="77777777" w:rsidTr="003902E0">
              <w:trPr>
                <w:trHeight w:val="345"/>
              </w:trPr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EB4D2F" w14:textId="77777777" w:rsidR="003902E0" w:rsidRPr="003902E0" w:rsidRDefault="003902E0" w:rsidP="003902E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FCE1A9" w14:textId="77777777" w:rsidR="003902E0" w:rsidRPr="003902E0" w:rsidRDefault="003902E0" w:rsidP="003902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69E538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8B3A22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902E0" w:rsidRPr="003902E0" w14:paraId="08105539" w14:textId="77777777" w:rsidTr="003902E0">
              <w:trPr>
                <w:trHeight w:val="345"/>
              </w:trPr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B8B157" w14:textId="77777777" w:rsidR="003902E0" w:rsidRPr="003902E0" w:rsidRDefault="003902E0" w:rsidP="003902E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780FB4" w14:textId="77777777" w:rsidR="003902E0" w:rsidRPr="003902E0" w:rsidRDefault="003902E0" w:rsidP="003902E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FF2F9B" w14:textId="77777777" w:rsidR="003902E0" w:rsidRPr="003902E0" w:rsidRDefault="003902E0" w:rsidP="003902E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D1FE29" w14:textId="77777777" w:rsidR="003902E0" w:rsidRPr="003902E0" w:rsidRDefault="003902E0" w:rsidP="003902E0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902E0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75A21597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6F00C9EB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47C843A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C4F354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5BCD1C5" w14:textId="77777777" w:rsidR="00EB3D1B" w:rsidRDefault="00895E2B" w:rsidP="00EB3D1B">
                <w:pPr>
                  <w:pStyle w:val="Tablefont"/>
                </w:pPr>
                <w:r>
                  <w:rPr>
                    <w:lang w:val="en-US"/>
                  </w:rPr>
                  <w:t>Yes</w:t>
                </w:r>
              </w:p>
            </w:tc>
          </w:sdtContent>
        </w:sdt>
      </w:tr>
    </w:tbl>
    <w:p w14:paraId="68D7B295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B16196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5EAED53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09F51E9" w14:textId="77777777" w:rsidR="001B79E5" w:rsidRDefault="00027B8A" w:rsidP="001B79E5">
                <w:pPr>
                  <w:pStyle w:val="Tablefont"/>
                </w:pPr>
                <w:r>
                  <w:t>123.11</w:t>
                </w:r>
              </w:p>
            </w:tc>
          </w:sdtContent>
        </w:sdt>
      </w:tr>
      <w:tr w:rsidR="00A31D99" w:rsidRPr="004C23F4" w14:paraId="1AC881F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9DA7D3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E032C55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999ABC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92D8B7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34CEFD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B8131E9" w14:textId="77777777" w:rsidTr="00EA6243">
        <w:trPr>
          <w:cantSplit/>
        </w:trPr>
        <w:tc>
          <w:tcPr>
            <w:tcW w:w="4077" w:type="dxa"/>
            <w:vAlign w:val="center"/>
          </w:tcPr>
          <w:p w14:paraId="575FAC4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C60755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BA5742E" w14:textId="77777777" w:rsidTr="00EA6243">
        <w:trPr>
          <w:cantSplit/>
        </w:trPr>
        <w:tc>
          <w:tcPr>
            <w:tcW w:w="4077" w:type="dxa"/>
            <w:vAlign w:val="center"/>
          </w:tcPr>
          <w:p w14:paraId="5664AC2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F2D65C0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2F86AA6" w14:textId="77777777" w:rsidTr="00EA6243">
        <w:trPr>
          <w:cantSplit/>
        </w:trPr>
        <w:tc>
          <w:tcPr>
            <w:tcW w:w="4077" w:type="dxa"/>
            <w:vAlign w:val="center"/>
          </w:tcPr>
          <w:p w14:paraId="5566E53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775883D" w14:textId="77777777" w:rsidR="00E06F40" w:rsidRPr="00A006A0" w:rsidRDefault="00A4138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70FF5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70FF5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F2017A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91DBDB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D38481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332A62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27856CF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504570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28B3B8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5DA6FAB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9ED5589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0F760CE" w14:textId="77777777" w:rsidR="003D182A" w:rsidRDefault="003D182A" w:rsidP="003D182A">
      <w:r w:rsidRPr="002022B6">
        <w:t>Deutsche Forschungsgemeinschaft (DFG)</w:t>
      </w:r>
      <w:r>
        <w:t xml:space="preserve"> (</w:t>
      </w:r>
      <w:r w:rsidR="00B86D8A">
        <w:t>2017</w:t>
      </w:r>
      <w:r>
        <w:t xml:space="preserve">) </w:t>
      </w:r>
      <w:r w:rsidR="00B86D8A" w:rsidRPr="00B86D8A">
        <w:t>Nitrobenzene</w:t>
      </w:r>
      <w:r>
        <w:t xml:space="preserve"> – MAK value documentation.</w:t>
      </w:r>
    </w:p>
    <w:p w14:paraId="3D49983A" w14:textId="77777777" w:rsidR="0096491D" w:rsidRPr="0096491D" w:rsidRDefault="0096491D" w:rsidP="003D182A">
      <w:r w:rsidRPr="0096491D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4B61B74C" w14:textId="77777777" w:rsidR="003D182A" w:rsidRDefault="003D182A" w:rsidP="003D182A">
      <w:r w:rsidRPr="002022B6">
        <w:t>EU Scientific Committee on Occupational Exposure Limits (SCOEL)</w:t>
      </w:r>
      <w:r>
        <w:t xml:space="preserve"> (</w:t>
      </w:r>
      <w:r w:rsidR="005161F1">
        <w:t>2002</w:t>
      </w:r>
      <w:r>
        <w:t xml:space="preserve">) Recommendation from the Scientific Committee on Occupational Exposure Limits for </w:t>
      </w:r>
      <w:r w:rsidR="005161F1" w:rsidRPr="005161F1">
        <w:t>nitrobenzene</w:t>
      </w:r>
      <w:r>
        <w:t>. SCOEL/</w:t>
      </w:r>
      <w:r w:rsidR="005161F1">
        <w:t>SUM/93</w:t>
      </w:r>
      <w:r>
        <w:t>.</w:t>
      </w:r>
    </w:p>
    <w:p w14:paraId="7EC1AA5C" w14:textId="77777777" w:rsidR="00FC5D6E" w:rsidRDefault="00FC5D6E" w:rsidP="00FC5D6E">
      <w:pPr>
        <w:rPr>
          <w:b/>
        </w:rPr>
      </w:pPr>
      <w:r w:rsidRPr="002022B6">
        <w:t>International Agency for Research on Cancer</w:t>
      </w:r>
      <w:r>
        <w:t xml:space="preserve"> (IARC) (1996) Volume 65, </w:t>
      </w:r>
      <w:r w:rsidRPr="000B49E6">
        <w:t xml:space="preserve">Printing </w:t>
      </w:r>
      <w:r>
        <w:t>p</w:t>
      </w:r>
      <w:r w:rsidRPr="000B49E6">
        <w:t xml:space="preserve">rocesses and </w:t>
      </w:r>
      <w:r>
        <w:t>p</w:t>
      </w:r>
      <w:r w:rsidRPr="000B49E6">
        <w:t xml:space="preserve">rinting </w:t>
      </w:r>
      <w:r>
        <w:t>inks, c</w:t>
      </w:r>
      <w:r w:rsidRPr="000B49E6">
        <w:t xml:space="preserve">arbon </w:t>
      </w:r>
      <w:r>
        <w:t>b</w:t>
      </w:r>
      <w:r w:rsidRPr="000B49E6">
        <w:t xml:space="preserve">lack and </w:t>
      </w:r>
      <w:r>
        <w:t>some n</w:t>
      </w:r>
      <w:r w:rsidRPr="000B49E6">
        <w:t xml:space="preserve">itro </w:t>
      </w:r>
      <w:r>
        <w:t>c</w:t>
      </w:r>
      <w:r w:rsidRPr="000B49E6">
        <w:t>ompounds</w:t>
      </w:r>
      <w:r>
        <w:t>. IARC Monographs on the evaluation of the carcinogenic risk to humans.</w:t>
      </w:r>
    </w:p>
    <w:p w14:paraId="66B17DC3" w14:textId="77777777" w:rsidR="0096491D" w:rsidRDefault="0096491D" w:rsidP="0096491D">
      <w:r w:rsidRPr="002022B6">
        <w:t>National Industrial Chemicals Notification and Assessment Scheme (NICNAS)</w:t>
      </w:r>
      <w:r>
        <w:t xml:space="preserve"> (</w:t>
      </w:r>
      <w:r w:rsidR="003D44B3">
        <w:t>2016</w:t>
      </w:r>
      <w:r>
        <w:t xml:space="preserve">) </w:t>
      </w:r>
      <w:r w:rsidR="003D44B3" w:rsidRPr="003D44B3">
        <w:t>Benzene, nitro</w:t>
      </w:r>
      <w:r w:rsidRPr="0071660C">
        <w:t xml:space="preserve">: Human health </w:t>
      </w:r>
      <w:sdt>
        <w:sdtPr>
          <w:id w:val="-1295753243"/>
          <w:placeholder>
            <w:docPart w:val="28A71880137F45B4890CFCE413092DB4"/>
          </w:placeholder>
          <w:temporary/>
          <w:showingPlcHdr/>
        </w:sdtPr>
        <w:sdtEndPr/>
        <w:sdtContent>
          <w:r w:rsidRPr="003D44B3"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423282DF" w14:textId="77777777" w:rsidR="004E3E3C" w:rsidRPr="0096491D" w:rsidRDefault="004E3E3C" w:rsidP="004E3E3C">
      <w:r w:rsidRPr="0096491D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26D38778" w14:textId="77777777" w:rsidR="00B86D8A" w:rsidRDefault="00B86D8A" w:rsidP="00B86D8A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6ED012EB077442FEB2B08F9AA27230FE"/>
          </w:placeholder>
          <w:temporary/>
          <w:showingPlcHdr/>
        </w:sdtPr>
        <w:sdtEndPr/>
        <w:sdtContent>
          <w:r w:rsidRPr="00B46E4E">
            <w:t>1994</w:t>
          </w:r>
        </w:sdtContent>
      </w:sdt>
      <w:r>
        <w:t xml:space="preserve">) Immediately dangerous to life or health concentrations – </w:t>
      </w:r>
      <w:r w:rsidR="00B46E4E">
        <w:t>nitrobenzene</w:t>
      </w:r>
      <w:r>
        <w:t>.</w:t>
      </w:r>
    </w:p>
    <w:p w14:paraId="1C00D3FF" w14:textId="77777777" w:rsidR="00B86D8A" w:rsidRDefault="00B86D8A" w:rsidP="0096491D">
      <w:pPr>
        <w:rPr>
          <w:b/>
        </w:rPr>
      </w:pPr>
    </w:p>
    <w:p w14:paraId="66D1A976" w14:textId="77777777" w:rsidR="003D182A" w:rsidRPr="00351FE0" w:rsidRDefault="003D182A" w:rsidP="00084859"/>
    <w:sectPr w:rsidR="003D182A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80880" w14:textId="77777777" w:rsidR="0082492A" w:rsidRDefault="0082492A" w:rsidP="00F43AD5">
      <w:pPr>
        <w:spacing w:after="0" w:line="240" w:lineRule="auto"/>
      </w:pPr>
      <w:r>
        <w:separator/>
      </w:r>
    </w:p>
  </w:endnote>
  <w:endnote w:type="continuationSeparator" w:id="0">
    <w:p w14:paraId="048F9413" w14:textId="77777777" w:rsidR="0082492A" w:rsidRDefault="0082492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EC87" w14:textId="77777777" w:rsidR="00A41384" w:rsidRDefault="00A41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22541A6" w14:textId="77777777" w:rsidR="008A36CF" w:rsidRDefault="001D1A68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Nitrobenzene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98-95-3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FC5D6E">
          <w:rPr>
            <w:sz w:val="18"/>
            <w:szCs w:val="18"/>
          </w:rPr>
          <w:t>20</w:t>
        </w:r>
      </w:p>
      <w:p w14:paraId="0A5452E0" w14:textId="7992E1B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A41384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AC1C" w14:textId="77777777" w:rsidR="00A41384" w:rsidRDefault="00A41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F21D5" w14:textId="77777777" w:rsidR="0082492A" w:rsidRDefault="0082492A" w:rsidP="00F43AD5">
      <w:pPr>
        <w:spacing w:after="0" w:line="240" w:lineRule="auto"/>
      </w:pPr>
      <w:r>
        <w:separator/>
      </w:r>
    </w:p>
  </w:footnote>
  <w:footnote w:type="continuationSeparator" w:id="0">
    <w:p w14:paraId="1B9201CF" w14:textId="77777777" w:rsidR="0082492A" w:rsidRDefault="0082492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5A48" w14:textId="77777777" w:rsidR="00A41384" w:rsidRDefault="00A41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0754" w14:textId="301EEC26" w:rsidR="00A41384" w:rsidRDefault="00A41384" w:rsidP="00A41384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Content>
        <w:r>
          <w:pict w14:anchorId="7261C3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B8952B7" wp14:editId="6AB4AB5D">
          <wp:extent cx="2943225" cy="590550"/>
          <wp:effectExtent l="0" t="0" r="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49530" w14:textId="1EE28053" w:rsidR="008A36CF" w:rsidRPr="00A41384" w:rsidRDefault="008A36CF" w:rsidP="00A41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560E2" w14:textId="77777777" w:rsidR="00A41384" w:rsidRDefault="00A413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DD78" w14:textId="576411DF" w:rsidR="00A41384" w:rsidRDefault="00A41384" w:rsidP="00A41384">
    <w:pPr>
      <w:pStyle w:val="Header"/>
      <w:jc w:val="right"/>
    </w:pPr>
    <w:sdt>
      <w:sdtPr>
        <w:id w:val="-844711073"/>
        <w:docPartObj>
          <w:docPartGallery w:val="Watermarks"/>
          <w:docPartUnique/>
        </w:docPartObj>
      </w:sdtPr>
      <w:sdtContent>
        <w:r>
          <w:pict w14:anchorId="05FF1D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70EAA5A" wp14:editId="3351778C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0B628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7AF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33D74"/>
    <w:multiLevelType w:val="hybridMultilevel"/>
    <w:tmpl w:val="7D0E24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A4A21"/>
    <w:multiLevelType w:val="hybridMultilevel"/>
    <w:tmpl w:val="2AEAB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99550E"/>
    <w:multiLevelType w:val="hybridMultilevel"/>
    <w:tmpl w:val="65EEB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583F"/>
    <w:rsid w:val="00007B80"/>
    <w:rsid w:val="00013A22"/>
    <w:rsid w:val="00014C3F"/>
    <w:rsid w:val="00017C82"/>
    <w:rsid w:val="00027B8A"/>
    <w:rsid w:val="00032B88"/>
    <w:rsid w:val="00046DF5"/>
    <w:rsid w:val="000478DC"/>
    <w:rsid w:val="00052060"/>
    <w:rsid w:val="0005574A"/>
    <w:rsid w:val="00055FE1"/>
    <w:rsid w:val="00056EC2"/>
    <w:rsid w:val="00060B48"/>
    <w:rsid w:val="00067F32"/>
    <w:rsid w:val="00071807"/>
    <w:rsid w:val="00075B00"/>
    <w:rsid w:val="000803E1"/>
    <w:rsid w:val="00084513"/>
    <w:rsid w:val="00084859"/>
    <w:rsid w:val="00092D94"/>
    <w:rsid w:val="000B0868"/>
    <w:rsid w:val="000B3E12"/>
    <w:rsid w:val="000B3E78"/>
    <w:rsid w:val="000B49E6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347F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1A68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07674"/>
    <w:rsid w:val="00213640"/>
    <w:rsid w:val="00221547"/>
    <w:rsid w:val="002216FC"/>
    <w:rsid w:val="00222533"/>
    <w:rsid w:val="00222F30"/>
    <w:rsid w:val="00224EE2"/>
    <w:rsid w:val="00227EC7"/>
    <w:rsid w:val="00240946"/>
    <w:rsid w:val="00241C4B"/>
    <w:rsid w:val="00244AD1"/>
    <w:rsid w:val="002463BC"/>
    <w:rsid w:val="002465CE"/>
    <w:rsid w:val="0025734A"/>
    <w:rsid w:val="002625D3"/>
    <w:rsid w:val="00263255"/>
    <w:rsid w:val="00276494"/>
    <w:rsid w:val="00277B0C"/>
    <w:rsid w:val="002B1A2C"/>
    <w:rsid w:val="002C17D7"/>
    <w:rsid w:val="002C34F2"/>
    <w:rsid w:val="002C58FF"/>
    <w:rsid w:val="002C7AFE"/>
    <w:rsid w:val="002D05D2"/>
    <w:rsid w:val="002E0D61"/>
    <w:rsid w:val="002E4C7B"/>
    <w:rsid w:val="002F7ECC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3E63"/>
    <w:rsid w:val="00347192"/>
    <w:rsid w:val="0034744C"/>
    <w:rsid w:val="00351FE0"/>
    <w:rsid w:val="00352615"/>
    <w:rsid w:val="00352F18"/>
    <w:rsid w:val="0035412B"/>
    <w:rsid w:val="003567A8"/>
    <w:rsid w:val="00362895"/>
    <w:rsid w:val="00370DBF"/>
    <w:rsid w:val="00383B95"/>
    <w:rsid w:val="00386093"/>
    <w:rsid w:val="003902E0"/>
    <w:rsid w:val="003904A4"/>
    <w:rsid w:val="00391841"/>
    <w:rsid w:val="00391B6D"/>
    <w:rsid w:val="00394922"/>
    <w:rsid w:val="003A0E32"/>
    <w:rsid w:val="003A2B94"/>
    <w:rsid w:val="003B387D"/>
    <w:rsid w:val="003C0D58"/>
    <w:rsid w:val="003D182A"/>
    <w:rsid w:val="003D44B3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40A6"/>
    <w:rsid w:val="004414B5"/>
    <w:rsid w:val="00444482"/>
    <w:rsid w:val="00444B42"/>
    <w:rsid w:val="00445E44"/>
    <w:rsid w:val="004509E2"/>
    <w:rsid w:val="004515EE"/>
    <w:rsid w:val="004529F0"/>
    <w:rsid w:val="00460A03"/>
    <w:rsid w:val="004668DE"/>
    <w:rsid w:val="0046735E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C82"/>
    <w:rsid w:val="004C1E3F"/>
    <w:rsid w:val="004C23F4"/>
    <w:rsid w:val="004C3475"/>
    <w:rsid w:val="004C58B6"/>
    <w:rsid w:val="004D16A3"/>
    <w:rsid w:val="004D4AA1"/>
    <w:rsid w:val="004D6D68"/>
    <w:rsid w:val="004E3E3C"/>
    <w:rsid w:val="004E5EDD"/>
    <w:rsid w:val="004F448A"/>
    <w:rsid w:val="004F493D"/>
    <w:rsid w:val="004F65E8"/>
    <w:rsid w:val="0050005E"/>
    <w:rsid w:val="00502B88"/>
    <w:rsid w:val="00510ED5"/>
    <w:rsid w:val="005142C4"/>
    <w:rsid w:val="0051509C"/>
    <w:rsid w:val="005161F1"/>
    <w:rsid w:val="005272E2"/>
    <w:rsid w:val="0053108F"/>
    <w:rsid w:val="00532B56"/>
    <w:rsid w:val="00534B10"/>
    <w:rsid w:val="005446A2"/>
    <w:rsid w:val="00544D2F"/>
    <w:rsid w:val="00551BD8"/>
    <w:rsid w:val="00564ACD"/>
    <w:rsid w:val="005770D8"/>
    <w:rsid w:val="00581055"/>
    <w:rsid w:val="0058126C"/>
    <w:rsid w:val="005845C6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647B"/>
    <w:rsid w:val="006013C1"/>
    <w:rsid w:val="00603C7E"/>
    <w:rsid w:val="0060669E"/>
    <w:rsid w:val="00610F2E"/>
    <w:rsid w:val="00611399"/>
    <w:rsid w:val="00621762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2B7D"/>
    <w:rsid w:val="006B4E6C"/>
    <w:rsid w:val="006B50B6"/>
    <w:rsid w:val="006D79EA"/>
    <w:rsid w:val="006E5D05"/>
    <w:rsid w:val="00701053"/>
    <w:rsid w:val="00701507"/>
    <w:rsid w:val="00710F0D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DFA"/>
    <w:rsid w:val="00783FB1"/>
    <w:rsid w:val="00785CDD"/>
    <w:rsid w:val="00791847"/>
    <w:rsid w:val="007925F0"/>
    <w:rsid w:val="007939B3"/>
    <w:rsid w:val="0079509C"/>
    <w:rsid w:val="00796708"/>
    <w:rsid w:val="007B020B"/>
    <w:rsid w:val="007B1B42"/>
    <w:rsid w:val="007B772A"/>
    <w:rsid w:val="007C30EB"/>
    <w:rsid w:val="007D551B"/>
    <w:rsid w:val="007E063C"/>
    <w:rsid w:val="007E2A4B"/>
    <w:rsid w:val="007E307D"/>
    <w:rsid w:val="007E6A4E"/>
    <w:rsid w:val="007E6C94"/>
    <w:rsid w:val="007F1005"/>
    <w:rsid w:val="007F1C00"/>
    <w:rsid w:val="007F25E0"/>
    <w:rsid w:val="007F5328"/>
    <w:rsid w:val="00800A6C"/>
    <w:rsid w:val="0080210F"/>
    <w:rsid w:val="00804F5A"/>
    <w:rsid w:val="0080748A"/>
    <w:rsid w:val="00810C6D"/>
    <w:rsid w:val="00812887"/>
    <w:rsid w:val="0082492A"/>
    <w:rsid w:val="00824AF8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6DA5"/>
    <w:rsid w:val="008713E8"/>
    <w:rsid w:val="00871CD5"/>
    <w:rsid w:val="008745A2"/>
    <w:rsid w:val="008768A8"/>
    <w:rsid w:val="0088798F"/>
    <w:rsid w:val="00887E4B"/>
    <w:rsid w:val="008915C8"/>
    <w:rsid w:val="00895E2B"/>
    <w:rsid w:val="008A36CF"/>
    <w:rsid w:val="008A3BC4"/>
    <w:rsid w:val="008B403C"/>
    <w:rsid w:val="008B7983"/>
    <w:rsid w:val="008C2511"/>
    <w:rsid w:val="008D026D"/>
    <w:rsid w:val="008D1AB3"/>
    <w:rsid w:val="008D23AB"/>
    <w:rsid w:val="008D4B8B"/>
    <w:rsid w:val="008D5A78"/>
    <w:rsid w:val="008E7B64"/>
    <w:rsid w:val="008F03D4"/>
    <w:rsid w:val="008F5DCD"/>
    <w:rsid w:val="008F6B66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491D"/>
    <w:rsid w:val="00974F2D"/>
    <w:rsid w:val="00977524"/>
    <w:rsid w:val="00977E88"/>
    <w:rsid w:val="00984920"/>
    <w:rsid w:val="0099303A"/>
    <w:rsid w:val="009971C2"/>
    <w:rsid w:val="009A1254"/>
    <w:rsid w:val="009A1587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C27"/>
    <w:rsid w:val="00A27E2D"/>
    <w:rsid w:val="00A31D99"/>
    <w:rsid w:val="00A357BA"/>
    <w:rsid w:val="00A35ADC"/>
    <w:rsid w:val="00A402A3"/>
    <w:rsid w:val="00A41384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52CB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6B2C"/>
    <w:rsid w:val="00B40C60"/>
    <w:rsid w:val="00B46E4E"/>
    <w:rsid w:val="00B479A9"/>
    <w:rsid w:val="00B52EDF"/>
    <w:rsid w:val="00B70FF5"/>
    <w:rsid w:val="00B71188"/>
    <w:rsid w:val="00B7196F"/>
    <w:rsid w:val="00B76A41"/>
    <w:rsid w:val="00B86D8A"/>
    <w:rsid w:val="00B87D4C"/>
    <w:rsid w:val="00B914AC"/>
    <w:rsid w:val="00B93646"/>
    <w:rsid w:val="00BA0B38"/>
    <w:rsid w:val="00BA1DBB"/>
    <w:rsid w:val="00BA4510"/>
    <w:rsid w:val="00BA529A"/>
    <w:rsid w:val="00BB612A"/>
    <w:rsid w:val="00BD499F"/>
    <w:rsid w:val="00BD56DE"/>
    <w:rsid w:val="00BD7519"/>
    <w:rsid w:val="00BF0861"/>
    <w:rsid w:val="00BF2406"/>
    <w:rsid w:val="00BF525A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15A1"/>
    <w:rsid w:val="00D87570"/>
    <w:rsid w:val="00D91CB9"/>
    <w:rsid w:val="00D97989"/>
    <w:rsid w:val="00D97A7A"/>
    <w:rsid w:val="00D97D8D"/>
    <w:rsid w:val="00DA352E"/>
    <w:rsid w:val="00DC7694"/>
    <w:rsid w:val="00DD1BF6"/>
    <w:rsid w:val="00DD2F9B"/>
    <w:rsid w:val="00DE2513"/>
    <w:rsid w:val="00DE26E8"/>
    <w:rsid w:val="00DF1D18"/>
    <w:rsid w:val="00DF6F36"/>
    <w:rsid w:val="00E0084C"/>
    <w:rsid w:val="00E025AB"/>
    <w:rsid w:val="00E02B23"/>
    <w:rsid w:val="00E06F40"/>
    <w:rsid w:val="00E07CE8"/>
    <w:rsid w:val="00E1376A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037B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405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5F80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4DA0"/>
    <w:rsid w:val="00FC5D6E"/>
    <w:rsid w:val="00FC60A2"/>
    <w:rsid w:val="00FD1871"/>
    <w:rsid w:val="00FD3110"/>
    <w:rsid w:val="00FE61A8"/>
    <w:rsid w:val="00FF455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50F14221"/>
  <w15:docId w15:val="{88C59A81-ADD9-4CA6-8065-76B1D4C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3D182A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B36B2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1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7D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7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7D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662E5EE7EED4CB3ADE53F03DECB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E0317-3449-4165-B683-73EC9BE10DAF}"/>
      </w:docPartPr>
      <w:docPartBody>
        <w:p w:rsidR="0044403D" w:rsidRDefault="0080351D" w:rsidP="0080351D">
          <w:pPr>
            <w:pStyle w:val="F662E5EE7EED4CB3ADE53F03DECB8F27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28A71880137F45B4890CFCE413092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95CF-8600-4D73-9CAD-AB87DF5F941F}"/>
      </w:docPartPr>
      <w:docPartBody>
        <w:p w:rsidR="0044403D" w:rsidRDefault="0080351D" w:rsidP="0080351D">
          <w:pPr>
            <w:pStyle w:val="28A71880137F45B4890CFCE413092DB4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6ED012EB077442FEB2B08F9AA272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6C96C-DB37-4C84-8AD6-0ABBBBF9AB05}"/>
      </w:docPartPr>
      <w:docPartBody>
        <w:p w:rsidR="0044403D" w:rsidRDefault="0080351D" w:rsidP="0080351D">
          <w:pPr>
            <w:pStyle w:val="6ED012EB077442FEB2B08F9AA27230FE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B98F17B8B61D4E18931E6B4E77E0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2227-A51A-42F3-85FA-A6E72B88D9D3}"/>
      </w:docPartPr>
      <w:docPartBody>
        <w:p w:rsidR="00B365F2" w:rsidRDefault="00271463" w:rsidP="00271463">
          <w:pPr>
            <w:pStyle w:val="B98F17B8B61D4E18931E6B4E77E04984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71463"/>
    <w:rsid w:val="00304137"/>
    <w:rsid w:val="0044403D"/>
    <w:rsid w:val="0080351D"/>
    <w:rsid w:val="00B365F2"/>
    <w:rsid w:val="00D21A9F"/>
    <w:rsid w:val="00FD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46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662E5EE7EED4CB3ADE53F03DECB8F27">
    <w:name w:val="F662E5EE7EED4CB3ADE53F03DECB8F27"/>
    <w:rsid w:val="0080351D"/>
    <w:rPr>
      <w:lang w:val="en-US" w:eastAsia="en-US"/>
    </w:rPr>
  </w:style>
  <w:style w:type="paragraph" w:customStyle="1" w:styleId="6633289DA99A4435A3230A2810477B21">
    <w:name w:val="6633289DA99A4435A3230A2810477B21"/>
    <w:rsid w:val="0080351D"/>
    <w:rPr>
      <w:lang w:val="en-US" w:eastAsia="en-US"/>
    </w:rPr>
  </w:style>
  <w:style w:type="paragraph" w:customStyle="1" w:styleId="219E09082F8A4D568C241C934BDA9924">
    <w:name w:val="219E09082F8A4D568C241C934BDA9924"/>
    <w:rsid w:val="0080351D"/>
    <w:rPr>
      <w:lang w:val="en-US" w:eastAsia="en-US"/>
    </w:rPr>
  </w:style>
  <w:style w:type="paragraph" w:customStyle="1" w:styleId="699F85D657174A8B82F75D725AD37432">
    <w:name w:val="699F85D657174A8B82F75D725AD37432"/>
    <w:rsid w:val="0080351D"/>
    <w:rPr>
      <w:lang w:val="en-US" w:eastAsia="en-US"/>
    </w:rPr>
  </w:style>
  <w:style w:type="paragraph" w:customStyle="1" w:styleId="9A896672BFA0455898CB4CF738CF7CA6">
    <w:name w:val="9A896672BFA0455898CB4CF738CF7CA6"/>
    <w:rsid w:val="0080351D"/>
    <w:rPr>
      <w:lang w:val="en-US" w:eastAsia="en-US"/>
    </w:rPr>
  </w:style>
  <w:style w:type="paragraph" w:customStyle="1" w:styleId="893D170FD69D482B8C0F148CE162AD75">
    <w:name w:val="893D170FD69D482B8C0F148CE162AD75"/>
    <w:rsid w:val="0080351D"/>
    <w:rPr>
      <w:lang w:val="en-US" w:eastAsia="en-US"/>
    </w:rPr>
  </w:style>
  <w:style w:type="paragraph" w:customStyle="1" w:styleId="CA8FCFE563874BF49AFA003B1FD18F76">
    <w:name w:val="CA8FCFE563874BF49AFA003B1FD18F76"/>
    <w:rsid w:val="0080351D"/>
    <w:rPr>
      <w:lang w:val="en-US" w:eastAsia="en-US"/>
    </w:rPr>
  </w:style>
  <w:style w:type="paragraph" w:customStyle="1" w:styleId="D322F3CC36AB46858C452D562843C53D">
    <w:name w:val="D322F3CC36AB46858C452D562843C53D"/>
    <w:rsid w:val="0080351D"/>
    <w:rPr>
      <w:lang w:val="en-US" w:eastAsia="en-US"/>
    </w:rPr>
  </w:style>
  <w:style w:type="paragraph" w:customStyle="1" w:styleId="925C3A5E6BDA41C7A7A5653826FB754F">
    <w:name w:val="925C3A5E6BDA41C7A7A5653826FB754F"/>
    <w:rsid w:val="0080351D"/>
    <w:rPr>
      <w:lang w:val="en-US" w:eastAsia="en-US"/>
    </w:rPr>
  </w:style>
  <w:style w:type="paragraph" w:customStyle="1" w:styleId="669435704BBC4BFE98A3E7D08AD893BE">
    <w:name w:val="669435704BBC4BFE98A3E7D08AD893BE"/>
    <w:rsid w:val="0080351D"/>
    <w:rPr>
      <w:lang w:val="en-US" w:eastAsia="en-US"/>
    </w:rPr>
  </w:style>
  <w:style w:type="paragraph" w:customStyle="1" w:styleId="5332E79C701E4347999927B4C79A4BD7">
    <w:name w:val="5332E79C701E4347999927B4C79A4BD7"/>
    <w:rsid w:val="0080351D"/>
    <w:rPr>
      <w:lang w:val="en-US" w:eastAsia="en-US"/>
    </w:rPr>
  </w:style>
  <w:style w:type="paragraph" w:customStyle="1" w:styleId="4D5B65F016F14E55B8C3FB7FAA362582">
    <w:name w:val="4D5B65F016F14E55B8C3FB7FAA362582"/>
    <w:rsid w:val="0080351D"/>
    <w:rPr>
      <w:lang w:val="en-US" w:eastAsia="en-US"/>
    </w:rPr>
  </w:style>
  <w:style w:type="paragraph" w:customStyle="1" w:styleId="87B4C6A100E84B8D93CDED16F155DE97">
    <w:name w:val="87B4C6A100E84B8D93CDED16F155DE97"/>
    <w:rsid w:val="0080351D"/>
    <w:rPr>
      <w:lang w:val="en-US" w:eastAsia="en-US"/>
    </w:rPr>
  </w:style>
  <w:style w:type="paragraph" w:customStyle="1" w:styleId="B248887425CB47CCAAE5C3DBFE5AE266">
    <w:name w:val="B248887425CB47CCAAE5C3DBFE5AE266"/>
    <w:rsid w:val="0080351D"/>
    <w:rPr>
      <w:lang w:val="en-US" w:eastAsia="en-US"/>
    </w:rPr>
  </w:style>
  <w:style w:type="paragraph" w:customStyle="1" w:styleId="4B20C4067B574F6CAE4C7B5FB877535E">
    <w:name w:val="4B20C4067B574F6CAE4C7B5FB877535E"/>
    <w:rsid w:val="0080351D"/>
    <w:rPr>
      <w:lang w:val="en-US" w:eastAsia="en-US"/>
    </w:rPr>
  </w:style>
  <w:style w:type="paragraph" w:customStyle="1" w:styleId="7440F59487C6475A92CC9CE3648E1023">
    <w:name w:val="7440F59487C6475A92CC9CE3648E1023"/>
    <w:rsid w:val="0080351D"/>
    <w:rPr>
      <w:lang w:val="en-US" w:eastAsia="en-US"/>
    </w:rPr>
  </w:style>
  <w:style w:type="paragraph" w:customStyle="1" w:styleId="28A71880137F45B4890CFCE413092DB4">
    <w:name w:val="28A71880137F45B4890CFCE413092DB4"/>
    <w:rsid w:val="0080351D"/>
    <w:rPr>
      <w:lang w:val="en-US" w:eastAsia="en-US"/>
    </w:rPr>
  </w:style>
  <w:style w:type="paragraph" w:customStyle="1" w:styleId="6255FBCC94AC45D286A12D9607AC677F">
    <w:name w:val="6255FBCC94AC45D286A12D9607AC677F"/>
    <w:rsid w:val="0080351D"/>
    <w:rPr>
      <w:lang w:val="en-US" w:eastAsia="en-US"/>
    </w:rPr>
  </w:style>
  <w:style w:type="paragraph" w:customStyle="1" w:styleId="BD48FE80A59147C8AC369DFDAC9206BD">
    <w:name w:val="BD48FE80A59147C8AC369DFDAC9206BD"/>
    <w:rsid w:val="0080351D"/>
    <w:rPr>
      <w:lang w:val="en-US" w:eastAsia="en-US"/>
    </w:rPr>
  </w:style>
  <w:style w:type="paragraph" w:customStyle="1" w:styleId="98AEE9D0F7D746F19234DC31533927FC">
    <w:name w:val="98AEE9D0F7D746F19234DC31533927FC"/>
    <w:rsid w:val="0080351D"/>
    <w:rPr>
      <w:lang w:val="en-US" w:eastAsia="en-US"/>
    </w:rPr>
  </w:style>
  <w:style w:type="paragraph" w:customStyle="1" w:styleId="F581CAB1B4C24EB18B49B8CB0A01E269">
    <w:name w:val="F581CAB1B4C24EB18B49B8CB0A01E269"/>
    <w:rsid w:val="0080351D"/>
    <w:rPr>
      <w:lang w:val="en-US" w:eastAsia="en-US"/>
    </w:rPr>
  </w:style>
  <w:style w:type="paragraph" w:customStyle="1" w:styleId="A7100B3F86D148779CE56CA32A1B5840">
    <w:name w:val="A7100B3F86D148779CE56CA32A1B5840"/>
    <w:rsid w:val="0080351D"/>
    <w:rPr>
      <w:lang w:val="en-US" w:eastAsia="en-US"/>
    </w:rPr>
  </w:style>
  <w:style w:type="paragraph" w:customStyle="1" w:styleId="DF2E7B1DD96F46FBAB7A74E53D68CB52">
    <w:name w:val="DF2E7B1DD96F46FBAB7A74E53D68CB52"/>
    <w:rsid w:val="0080351D"/>
    <w:rPr>
      <w:lang w:val="en-US" w:eastAsia="en-US"/>
    </w:rPr>
  </w:style>
  <w:style w:type="paragraph" w:customStyle="1" w:styleId="6ED012EB077442FEB2B08F9AA27230FE">
    <w:name w:val="6ED012EB077442FEB2B08F9AA27230FE"/>
    <w:rsid w:val="0080351D"/>
    <w:rPr>
      <w:lang w:val="en-US" w:eastAsia="en-US"/>
    </w:rPr>
  </w:style>
  <w:style w:type="paragraph" w:customStyle="1" w:styleId="EB8735E503E445269C24E045742D25D2">
    <w:name w:val="EB8735E503E445269C24E045742D25D2"/>
    <w:rsid w:val="0080351D"/>
    <w:rPr>
      <w:lang w:val="en-US" w:eastAsia="en-US"/>
    </w:rPr>
  </w:style>
  <w:style w:type="paragraph" w:customStyle="1" w:styleId="B98F17B8B61D4E18931E6B4E77E04984">
    <w:name w:val="B98F17B8B61D4E18931E6B4E77E04984"/>
    <w:rsid w:val="00271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D5B7E2-84B1-4128-9247-3A49A2FE7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B2D65-30D4-4B4D-8F1D-E48B96E4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5DAE0FC8.dotm</Template>
  <TotalTime>464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HEARD,Jonathan</dc:creator>
  <cp:keywords/>
  <dc:description/>
  <cp:lastModifiedBy>WARING,Owen</cp:lastModifiedBy>
  <cp:revision>14</cp:revision>
  <cp:lastPrinted>2018-10-22T22:41:00Z</cp:lastPrinted>
  <dcterms:created xsi:type="dcterms:W3CDTF">2019-04-14T23:55:00Z</dcterms:created>
  <dcterms:modified xsi:type="dcterms:W3CDTF">2020-02-27T21:10:00Z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