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24937ACA" w14:textId="77777777" w:rsidR="00BD499F" w:rsidRPr="004C23F4" w:rsidRDefault="000B2265" w:rsidP="00B40C60">
          <w:pPr>
            <w:pStyle w:val="Heading1"/>
            <w:jc w:val="center"/>
            <w:rPr>
              <w:rFonts w:ascii="Arial" w:hAnsi="Arial" w:cs="Arial"/>
            </w:rPr>
          </w:pPr>
          <w:r>
            <w:rPr>
              <w:rFonts w:ascii="Arial" w:hAnsi="Arial" w:cs="Arial"/>
            </w:rPr>
            <w:t>Nitrogen dioxide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0"/>
        <w:gridCol w:w="5036"/>
      </w:tblGrid>
      <w:tr w:rsidR="00F43AD5" w:rsidRPr="004C23F4" w14:paraId="2AD25353" w14:textId="77777777" w:rsidTr="00B76A41">
        <w:trPr>
          <w:cantSplit/>
          <w:tblHeader/>
        </w:trPr>
        <w:tc>
          <w:tcPr>
            <w:tcW w:w="4077" w:type="dxa"/>
          </w:tcPr>
          <w:p w14:paraId="48DA5F9D" w14:textId="77777777" w:rsidR="00F43AD5" w:rsidRPr="00921DE7" w:rsidRDefault="00CB1CB1" w:rsidP="00B76A41">
            <w:pPr>
              <w:pStyle w:val="Tablerowright"/>
            </w:pPr>
            <w:r w:rsidRPr="00921DE7">
              <w:t>CAS number:</w:t>
            </w:r>
          </w:p>
        </w:tc>
        <w:tc>
          <w:tcPr>
            <w:tcW w:w="5165" w:type="dxa"/>
          </w:tcPr>
          <w:p w14:paraId="7C92E7C4" w14:textId="77777777" w:rsidR="00F43AD5" w:rsidRPr="00717D45" w:rsidRDefault="000B2265" w:rsidP="00B76A41">
            <w:pPr>
              <w:pStyle w:val="Tablefont"/>
            </w:pPr>
            <w:r>
              <w:t>10102-44-0</w:t>
            </w:r>
          </w:p>
        </w:tc>
      </w:tr>
      <w:tr w:rsidR="00F43AD5" w:rsidRPr="004C23F4" w14:paraId="0F280B8C" w14:textId="77777777" w:rsidTr="00B76A41">
        <w:trPr>
          <w:cantSplit/>
        </w:trPr>
        <w:tc>
          <w:tcPr>
            <w:tcW w:w="4077" w:type="dxa"/>
          </w:tcPr>
          <w:p w14:paraId="61D35A36" w14:textId="77777777" w:rsidR="00F43AD5" w:rsidRPr="00921DE7" w:rsidRDefault="00CB1CB1" w:rsidP="00B76A41">
            <w:pPr>
              <w:pStyle w:val="Tablerowright"/>
            </w:pPr>
            <w:r w:rsidRPr="00921DE7">
              <w:t>Synonyms:</w:t>
            </w:r>
          </w:p>
        </w:tc>
        <w:tc>
          <w:tcPr>
            <w:tcW w:w="5165" w:type="dxa"/>
          </w:tcPr>
          <w:p w14:paraId="0438B944" w14:textId="77777777" w:rsidR="00F43AD5" w:rsidRPr="00717D45" w:rsidRDefault="000B2265" w:rsidP="00B76A41">
            <w:pPr>
              <w:pStyle w:val="Tablefont"/>
            </w:pPr>
            <w:r>
              <w:t>Nitrogen peroxide, nitrito</w:t>
            </w:r>
          </w:p>
        </w:tc>
      </w:tr>
      <w:tr w:rsidR="00F43AD5" w:rsidRPr="004C23F4" w14:paraId="064AA499" w14:textId="77777777" w:rsidTr="00B76A41">
        <w:trPr>
          <w:cantSplit/>
        </w:trPr>
        <w:tc>
          <w:tcPr>
            <w:tcW w:w="4077" w:type="dxa"/>
          </w:tcPr>
          <w:p w14:paraId="0E4FA2EC" w14:textId="77777777" w:rsidR="00F43AD5" w:rsidRPr="00921DE7" w:rsidRDefault="00CB1CB1" w:rsidP="00B76A41">
            <w:pPr>
              <w:pStyle w:val="Tablerowright"/>
            </w:pPr>
            <w:r w:rsidRPr="00921DE7">
              <w:t>Chemical formula:</w:t>
            </w:r>
          </w:p>
        </w:tc>
        <w:tc>
          <w:tcPr>
            <w:tcW w:w="5165" w:type="dxa"/>
          </w:tcPr>
          <w:p w14:paraId="2029FFE5" w14:textId="77777777" w:rsidR="00F43AD5" w:rsidRPr="00717D45" w:rsidRDefault="000B2265" w:rsidP="00B76A41">
            <w:pPr>
              <w:pStyle w:val="Tablefont"/>
            </w:pPr>
            <w:r>
              <w:t>NO</w:t>
            </w:r>
            <w:r w:rsidRPr="000B2265">
              <w:rPr>
                <w:vertAlign w:val="subscript"/>
              </w:rPr>
              <w:t>2</w:t>
            </w:r>
          </w:p>
        </w:tc>
      </w:tr>
      <w:tr w:rsidR="00F43AD5" w:rsidRPr="004C23F4" w14:paraId="775841A0" w14:textId="77777777" w:rsidTr="00B76A41">
        <w:trPr>
          <w:cantSplit/>
        </w:trPr>
        <w:tc>
          <w:tcPr>
            <w:tcW w:w="4077" w:type="dxa"/>
          </w:tcPr>
          <w:p w14:paraId="78994218" w14:textId="77777777" w:rsidR="00F43AD5" w:rsidRPr="00921DE7" w:rsidRDefault="00CB1CB1" w:rsidP="00B76A41">
            <w:pPr>
              <w:pStyle w:val="Tablerowright"/>
            </w:pPr>
            <w:r w:rsidRPr="00921DE7">
              <w:t>Structural formula:</w:t>
            </w:r>
          </w:p>
        </w:tc>
        <w:tc>
          <w:tcPr>
            <w:tcW w:w="5165" w:type="dxa"/>
          </w:tcPr>
          <w:p w14:paraId="2A897B9F" w14:textId="77777777" w:rsidR="00F43AD5" w:rsidRPr="00B40C60" w:rsidRDefault="00464335" w:rsidP="00B76A41">
            <w:pPr>
              <w:pStyle w:val="Tablerowheading"/>
              <w:rPr>
                <w:b w:val="0"/>
              </w:rPr>
            </w:pPr>
            <w:r>
              <w:rPr>
                <w:b w:val="0"/>
              </w:rPr>
              <w:t>—</w:t>
            </w:r>
          </w:p>
        </w:tc>
      </w:tr>
    </w:tbl>
    <w:p w14:paraId="0FDA802E" w14:textId="01CD312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90673C">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7757D55D" w14:textId="77777777" w:rsidTr="00464335">
        <w:trPr>
          <w:cantSplit/>
          <w:tblHeader/>
        </w:trPr>
        <w:tc>
          <w:tcPr>
            <w:tcW w:w="4010" w:type="dxa"/>
            <w:vAlign w:val="center"/>
          </w:tcPr>
          <w:p w14:paraId="4C740B4C" w14:textId="77777777" w:rsidR="002C7AFE" w:rsidRPr="002C58FF" w:rsidRDefault="00921DE7" w:rsidP="00921DE7">
            <w:pPr>
              <w:pStyle w:val="Tablerowright"/>
            </w:pPr>
            <w:r>
              <w:t>TWA:</w:t>
            </w:r>
          </w:p>
        </w:tc>
        <w:tc>
          <w:tcPr>
            <w:tcW w:w="5016" w:type="dxa"/>
          </w:tcPr>
          <w:p w14:paraId="1AE2515B" w14:textId="0C04613B" w:rsidR="002C7AFE" w:rsidRPr="0090673C" w:rsidRDefault="0090673C" w:rsidP="00017C82">
            <w:pPr>
              <w:pStyle w:val="Tablefont"/>
              <w:rPr>
                <w:b/>
              </w:rPr>
            </w:pPr>
            <w:r>
              <w:rPr>
                <w:b/>
              </w:rPr>
              <w:t>0.2 ppm (0.38 mg/m</w:t>
            </w:r>
            <w:r>
              <w:rPr>
                <w:b/>
                <w:vertAlign w:val="superscript"/>
              </w:rPr>
              <w:t>3</w:t>
            </w:r>
            <w:r>
              <w:rPr>
                <w:b/>
              </w:rPr>
              <w:t>)</w:t>
            </w:r>
          </w:p>
        </w:tc>
      </w:tr>
      <w:tr w:rsidR="00464335" w:rsidRPr="004C23F4" w14:paraId="6284A59C" w14:textId="77777777" w:rsidTr="00464335">
        <w:trPr>
          <w:cantSplit/>
        </w:trPr>
        <w:tc>
          <w:tcPr>
            <w:tcW w:w="4010" w:type="dxa"/>
            <w:vAlign w:val="center"/>
          </w:tcPr>
          <w:p w14:paraId="7FA151A9" w14:textId="77777777" w:rsidR="00464335" w:rsidRPr="002C58FF" w:rsidRDefault="00464335" w:rsidP="00464335">
            <w:pPr>
              <w:pStyle w:val="Tablerowright"/>
            </w:pPr>
            <w:r w:rsidRPr="002C58FF">
              <w:t>STEL</w:t>
            </w:r>
            <w:r>
              <w:t>:</w:t>
            </w:r>
          </w:p>
        </w:tc>
        <w:tc>
          <w:tcPr>
            <w:tcW w:w="5016" w:type="dxa"/>
          </w:tcPr>
          <w:p w14:paraId="6AC6AA6A" w14:textId="77777777" w:rsidR="00464335" w:rsidRPr="00464335" w:rsidRDefault="00464335" w:rsidP="00464335">
            <w:pPr>
              <w:pStyle w:val="Tablefont"/>
              <w:rPr>
                <w:b/>
              </w:rPr>
            </w:pPr>
            <w:r w:rsidRPr="008102C4">
              <w:rPr>
                <w:b/>
              </w:rPr>
              <w:t>—</w:t>
            </w:r>
          </w:p>
        </w:tc>
      </w:tr>
      <w:tr w:rsidR="00464335" w:rsidRPr="004C23F4" w14:paraId="434ECF7B" w14:textId="77777777" w:rsidTr="00464335">
        <w:trPr>
          <w:cantSplit/>
        </w:trPr>
        <w:tc>
          <w:tcPr>
            <w:tcW w:w="4010" w:type="dxa"/>
            <w:vAlign w:val="center"/>
          </w:tcPr>
          <w:p w14:paraId="15D22A51" w14:textId="77777777" w:rsidR="00464335" w:rsidRPr="002C58FF" w:rsidRDefault="00464335" w:rsidP="00464335">
            <w:pPr>
              <w:pStyle w:val="Tablerowright"/>
            </w:pPr>
            <w:r>
              <w:t>Peak limitation:</w:t>
            </w:r>
          </w:p>
        </w:tc>
        <w:tc>
          <w:tcPr>
            <w:tcW w:w="5016" w:type="dxa"/>
          </w:tcPr>
          <w:p w14:paraId="3AAE1455" w14:textId="77777777" w:rsidR="00464335" w:rsidRPr="00464335" w:rsidRDefault="00464335" w:rsidP="00464335">
            <w:pPr>
              <w:pStyle w:val="Tablefont"/>
              <w:rPr>
                <w:b/>
              </w:rPr>
            </w:pPr>
            <w:r w:rsidRPr="008102C4">
              <w:rPr>
                <w:b/>
              </w:rPr>
              <w:t>—</w:t>
            </w:r>
          </w:p>
        </w:tc>
      </w:tr>
      <w:tr w:rsidR="00464335" w:rsidRPr="004C23F4" w14:paraId="388842C8" w14:textId="77777777" w:rsidTr="00464335">
        <w:trPr>
          <w:cantSplit/>
        </w:trPr>
        <w:tc>
          <w:tcPr>
            <w:tcW w:w="4010" w:type="dxa"/>
          </w:tcPr>
          <w:p w14:paraId="417A69EA" w14:textId="77777777" w:rsidR="00464335" w:rsidRPr="002C58FF" w:rsidRDefault="00464335" w:rsidP="00464335">
            <w:pPr>
              <w:pStyle w:val="Tablerowright"/>
            </w:pPr>
            <w:r>
              <w:rPr>
                <w:b w:val="0"/>
                <w:bCs/>
                <w:color w:val="000000" w:themeColor="text1"/>
              </w:rPr>
              <w:tab/>
            </w:r>
            <w:r w:rsidRPr="003241A8">
              <w:t>Notations</w:t>
            </w:r>
            <w:r>
              <w:t>:</w:t>
            </w:r>
          </w:p>
        </w:tc>
        <w:tc>
          <w:tcPr>
            <w:tcW w:w="5016" w:type="dxa"/>
          </w:tcPr>
          <w:p w14:paraId="103E13BF" w14:textId="77777777" w:rsidR="00464335" w:rsidRPr="00464335" w:rsidRDefault="00464335" w:rsidP="00464335">
            <w:pPr>
              <w:pStyle w:val="Tablefont"/>
              <w:rPr>
                <w:b/>
              </w:rPr>
            </w:pPr>
            <w:r w:rsidRPr="008102C4">
              <w:rPr>
                <w:b/>
              </w:rPr>
              <w:t>—</w:t>
            </w:r>
          </w:p>
        </w:tc>
      </w:tr>
      <w:tr w:rsidR="00464335" w:rsidRPr="004C23F4" w14:paraId="73AB4D0B" w14:textId="77777777" w:rsidTr="00464335">
        <w:trPr>
          <w:cantSplit/>
        </w:trPr>
        <w:tc>
          <w:tcPr>
            <w:tcW w:w="4010" w:type="dxa"/>
            <w:vAlign w:val="center"/>
          </w:tcPr>
          <w:p w14:paraId="5E76B591" w14:textId="77777777" w:rsidR="00464335" w:rsidRPr="002C58FF" w:rsidRDefault="00464335" w:rsidP="00464335">
            <w:pPr>
              <w:pStyle w:val="Tablerowright"/>
            </w:pPr>
            <w:r>
              <w:t>IDLH:</w:t>
            </w:r>
          </w:p>
        </w:tc>
        <w:tc>
          <w:tcPr>
            <w:tcW w:w="5016" w:type="dxa"/>
          </w:tcPr>
          <w:p w14:paraId="0B205D63" w14:textId="3D181A4B" w:rsidR="00464335" w:rsidRPr="00464335" w:rsidRDefault="00BC3532" w:rsidP="00464335">
            <w:pPr>
              <w:pStyle w:val="Tablefont"/>
              <w:rPr>
                <w:b/>
              </w:rPr>
            </w:pPr>
            <w:r>
              <w:rPr>
                <w:b/>
              </w:rPr>
              <w:t>20 ppm</w:t>
            </w:r>
          </w:p>
        </w:tc>
      </w:tr>
      <w:tr w:rsidR="00BC3532" w:rsidRPr="004C23F4" w14:paraId="42A050F3" w14:textId="77777777" w:rsidTr="00272516">
        <w:trPr>
          <w:cantSplit/>
        </w:trPr>
        <w:tc>
          <w:tcPr>
            <w:tcW w:w="9026" w:type="dxa"/>
            <w:gridSpan w:val="2"/>
            <w:vAlign w:val="center"/>
          </w:tcPr>
          <w:p w14:paraId="56B6EC9E" w14:textId="2CC53508" w:rsidR="00BC3532" w:rsidRPr="00464335" w:rsidRDefault="00BC3532" w:rsidP="00464335">
            <w:pPr>
              <w:pStyle w:val="Tablefont"/>
              <w:rPr>
                <w:b/>
              </w:rPr>
            </w:pPr>
            <w:r w:rsidRPr="00C9508E">
              <w:rPr>
                <w:b/>
              </w:rPr>
              <w:t>Sampling and analysis:</w:t>
            </w:r>
            <w:r w:rsidRPr="00EC521E">
              <w:rPr>
                <w:rStyle w:val="WESstatus"/>
                <w:color w:val="auto"/>
              </w:rPr>
              <w:t xml:space="preserve"> </w:t>
            </w:r>
            <w:sdt>
              <w:sdtPr>
                <w:rPr>
                  <w:rStyle w:val="WESstatus"/>
                  <w:color w:val="auto"/>
                </w:rPr>
                <w:id w:val="-2105258949"/>
                <w:placeholder>
                  <w:docPart w:val="04BB104C8E79437C8EDE846C7426C955"/>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1B4E552B" w14:textId="77777777" w:rsidR="00CB1CB1" w:rsidRPr="003365A5" w:rsidRDefault="00F10C97" w:rsidP="003365A5">
      <w:pPr>
        <w:pStyle w:val="Heading2"/>
      </w:pPr>
      <w:r>
        <w:t>Recommendation and basis for workplace exposure standard</w:t>
      </w:r>
    </w:p>
    <w:p w14:paraId="1A94B269" w14:textId="2F171127" w:rsidR="00691765" w:rsidRPr="00691765" w:rsidRDefault="00C70E01" w:rsidP="00691765">
      <w:pPr>
        <w:rPr>
          <w:rFonts w:cs="Arial"/>
        </w:rPr>
      </w:pPr>
      <w:r w:rsidRPr="00C30D4C">
        <w:t xml:space="preserve">A TWA of </w:t>
      </w:r>
      <w:r>
        <w:t>0.</w:t>
      </w:r>
      <w:r w:rsidRPr="00C30D4C">
        <w:t>2 ppm</w:t>
      </w:r>
      <w:r>
        <w:t xml:space="preserve"> (0.38 mg/m</w:t>
      </w:r>
      <w:r>
        <w:rPr>
          <w:vertAlign w:val="superscript"/>
        </w:rPr>
        <w:t>3</w:t>
      </w:r>
      <w:r>
        <w:t>)</w:t>
      </w:r>
      <w:r w:rsidRPr="00C30D4C">
        <w:t xml:space="preserve"> is recommended </w:t>
      </w:r>
      <w:r>
        <w:t xml:space="preserve">to protect for adverse </w:t>
      </w:r>
      <w:r w:rsidRPr="00C30D4C">
        <w:t xml:space="preserve">effects </w:t>
      </w:r>
      <w:r>
        <w:t>in the lower respiratory tract in exposed workers.</w:t>
      </w:r>
      <w:r w:rsidR="00691765">
        <w:t xml:space="preserve"> </w:t>
      </w:r>
      <w:r w:rsidR="00691765">
        <w:rPr>
          <w:rFonts w:cs="Arial"/>
        </w:rPr>
        <w:t>T</w:t>
      </w:r>
      <w:r w:rsidR="00691765" w:rsidRPr="00691765">
        <w:rPr>
          <w:rFonts w:cs="Arial"/>
        </w:rPr>
        <w:t>he recommended TWA is</w:t>
      </w:r>
      <w:r w:rsidR="00691765">
        <w:rPr>
          <w:rFonts w:cs="Arial"/>
        </w:rPr>
        <w:t xml:space="preserve"> also</w:t>
      </w:r>
      <w:r w:rsidR="00691765" w:rsidRPr="00691765">
        <w:rPr>
          <w:rFonts w:cs="Arial"/>
        </w:rPr>
        <w:t xml:space="preserve"> considered </w:t>
      </w:r>
      <w:r w:rsidR="00691765">
        <w:rPr>
          <w:rFonts w:cs="Arial"/>
        </w:rPr>
        <w:t>to</w:t>
      </w:r>
      <w:r w:rsidR="00691765" w:rsidRPr="00691765">
        <w:rPr>
          <w:rFonts w:cs="Arial"/>
        </w:rPr>
        <w:t xml:space="preserve"> protect for the effects of acute exposure</w:t>
      </w:r>
      <w:r w:rsidR="00691765">
        <w:rPr>
          <w:rFonts w:cs="Arial"/>
        </w:rPr>
        <w:t>.</w:t>
      </w:r>
    </w:p>
    <w:p w14:paraId="7AAA88E5" w14:textId="77777777" w:rsidR="00C7155E" w:rsidRPr="004C23F4" w:rsidRDefault="00F10C97" w:rsidP="003365A5">
      <w:pPr>
        <w:pStyle w:val="Heading2"/>
      </w:pPr>
      <w:r>
        <w:t>Discussion and conclusions</w:t>
      </w:r>
    </w:p>
    <w:p w14:paraId="3521C34B" w14:textId="02028ECD" w:rsidR="006A3AF0" w:rsidRDefault="00B11ED6" w:rsidP="006639B4">
      <w:r>
        <w:t>Nitrogen dioxide (NO</w:t>
      </w:r>
      <w:r w:rsidRPr="00B11ED6">
        <w:rPr>
          <w:vertAlign w:val="subscript"/>
        </w:rPr>
        <w:t>2</w:t>
      </w:r>
      <w:r>
        <w:t xml:space="preserve">) is found in ambient air as a product of natural as well as human activities. </w:t>
      </w:r>
      <w:r w:rsidR="005721E9">
        <w:t>O</w:t>
      </w:r>
      <w:r>
        <w:t xml:space="preserve">ccupational exposure to </w:t>
      </w:r>
      <w:r w:rsidR="005721E9">
        <w:t>NO</w:t>
      </w:r>
      <w:r w:rsidR="005721E9">
        <w:rPr>
          <w:vertAlign w:val="subscript"/>
        </w:rPr>
        <w:t>2</w:t>
      </w:r>
      <w:r w:rsidR="005721E9">
        <w:t xml:space="preserve"> can occur from exhaust from combustion engines</w:t>
      </w:r>
      <w:r w:rsidR="006A3AF0">
        <w:t>,</w:t>
      </w:r>
      <w:r w:rsidR="005721E9">
        <w:t xml:space="preserve"> during gas welding</w:t>
      </w:r>
      <w:r w:rsidR="006A3AF0">
        <w:t>,</w:t>
      </w:r>
      <w:r w:rsidR="005721E9">
        <w:t xml:space="preserve"> in agriculture</w:t>
      </w:r>
      <w:r w:rsidR="006A3AF0">
        <w:t>,</w:t>
      </w:r>
      <w:r w:rsidR="005721E9">
        <w:t xml:space="preserve"> mining explosives</w:t>
      </w:r>
      <w:r w:rsidR="006A3AF0">
        <w:t>,</w:t>
      </w:r>
      <w:r w:rsidR="005721E9">
        <w:t xml:space="preserve"> fertiliser production </w:t>
      </w:r>
      <w:r>
        <w:t>and power plants</w:t>
      </w:r>
      <w:r w:rsidR="005721E9">
        <w:t xml:space="preserve">. </w:t>
      </w:r>
    </w:p>
    <w:p w14:paraId="57761D45" w14:textId="769D9BF8" w:rsidR="001B0DA3" w:rsidRDefault="00C70E01" w:rsidP="00690399">
      <w:r>
        <w:t>NO</w:t>
      </w:r>
      <w:r>
        <w:rPr>
          <w:vertAlign w:val="subscript"/>
        </w:rPr>
        <w:t xml:space="preserve">2 </w:t>
      </w:r>
      <w:r w:rsidRPr="00C70E01">
        <w:t xml:space="preserve">can </w:t>
      </w:r>
      <w:r>
        <w:t xml:space="preserve">penetrate to the lower respiratory zone of the lungs. </w:t>
      </w:r>
      <w:r w:rsidR="005721E9">
        <w:t xml:space="preserve">Critical effects </w:t>
      </w:r>
      <w:r w:rsidR="00D64B70">
        <w:t xml:space="preserve">of </w:t>
      </w:r>
      <w:r w:rsidR="005721E9">
        <w:t xml:space="preserve">exposure </w:t>
      </w:r>
      <w:r w:rsidR="00BC3532">
        <w:t>include</w:t>
      </w:r>
      <w:r w:rsidR="005721E9">
        <w:t xml:space="preserve"> lower respiratory tract irritation and tissue damage.</w:t>
      </w:r>
      <w:r w:rsidR="00D64B70">
        <w:t xml:space="preserve"> </w:t>
      </w:r>
    </w:p>
    <w:p w14:paraId="0C2D03B5" w14:textId="1E5A04FB" w:rsidR="00690399" w:rsidRDefault="007E5210" w:rsidP="00690399">
      <w:r>
        <w:t xml:space="preserve">No effect on airway resistance or methacholine reactivity were observed in a controlled human exposure study where non-asthmatics and mild asthmatics exposed </w:t>
      </w:r>
      <w:r w:rsidR="00BC3532">
        <w:t>(at rest) for 1 hour at 0.1 ppm</w:t>
      </w:r>
      <w:r>
        <w:t xml:space="preserve">. No statistically significant increase in bronchial reactivity was seen in asthmatics </w:t>
      </w:r>
      <w:r w:rsidRPr="007E5210">
        <w:t>exposed</w:t>
      </w:r>
      <w:r>
        <w:t xml:space="preserve"> at 0.2 ppm undertaking light intermittent exercise. </w:t>
      </w:r>
      <w:r w:rsidR="00690399">
        <w:t>Mild asthmatics exposed at 0.4 ppm for 3 hour</w:t>
      </w:r>
      <w:r w:rsidR="001B0DA3">
        <w:t>s</w:t>
      </w:r>
      <w:r w:rsidR="00690399">
        <w:t xml:space="preserve"> </w:t>
      </w:r>
      <w:r w:rsidR="001B0DA3">
        <w:t xml:space="preserve">had </w:t>
      </w:r>
      <w:r w:rsidR="00690399">
        <w:t>increased airway reactivity to inhalation challenge with dust mite allergen. In mild asthmatics, subclinical effects on bronchoalveolar lavage cells could be seen after exposure at 0.26 ppm f</w:t>
      </w:r>
      <w:r w:rsidR="00BC3532">
        <w:t xml:space="preserve">or half an hour (ACGIH, 2018). </w:t>
      </w:r>
      <w:r w:rsidR="00690399">
        <w:t xml:space="preserve">A NOAEC of 0.5 ppm was reported </w:t>
      </w:r>
      <w:r w:rsidR="00C30D4C">
        <w:t>based on</w:t>
      </w:r>
      <w:r w:rsidR="00690399">
        <w:t xml:space="preserve"> lung function</w:t>
      </w:r>
      <w:r w:rsidR="00C30D4C">
        <w:t xml:space="preserve"> effects</w:t>
      </w:r>
      <w:r w:rsidR="00690399">
        <w:t xml:space="preserve"> under chronic occupational exposures from an epidemiological study in hard coal miners (SCOEL,</w:t>
      </w:r>
      <w:r w:rsidR="00BC3532">
        <w:t xml:space="preserve"> 2014). </w:t>
      </w:r>
      <w:r w:rsidR="00690399">
        <w:t xml:space="preserve">A NOAEC of 0.2 ppm </w:t>
      </w:r>
      <w:r w:rsidR="006A3AF0">
        <w:t xml:space="preserve">is reported </w:t>
      </w:r>
      <w:r w:rsidR="00690399">
        <w:t>for</w:t>
      </w:r>
      <w:r w:rsidR="00690399" w:rsidRPr="00690399">
        <w:t xml:space="preserve"> treatment related changes in lung morphology, lung function and</w:t>
      </w:r>
      <w:r w:rsidR="00C30D4C">
        <w:t xml:space="preserve"> pulmonary host defence in mice</w:t>
      </w:r>
      <w:r w:rsidR="00690399" w:rsidRPr="00690399">
        <w:t xml:space="preserve"> continuously exposed for up to 12 mo</w:t>
      </w:r>
      <w:r w:rsidR="00C30D4C">
        <w:t>nths (HCOTN, 2004).</w:t>
      </w:r>
    </w:p>
    <w:p w14:paraId="334C60E6" w14:textId="0F70A5BF" w:rsidR="007E5210" w:rsidRDefault="00C30D4C" w:rsidP="007E5210">
      <w:r w:rsidRPr="00C30D4C">
        <w:t xml:space="preserve">A TWA of </w:t>
      </w:r>
      <w:r>
        <w:t>0.</w:t>
      </w:r>
      <w:r w:rsidRPr="00C30D4C">
        <w:t>2 ppm</w:t>
      </w:r>
      <w:r>
        <w:t xml:space="preserve"> (0.38 mg/m</w:t>
      </w:r>
      <w:r>
        <w:rPr>
          <w:vertAlign w:val="superscript"/>
        </w:rPr>
        <w:t>3</w:t>
      </w:r>
      <w:r>
        <w:t>)</w:t>
      </w:r>
      <w:r w:rsidRPr="00C30D4C">
        <w:t xml:space="preserve"> </w:t>
      </w:r>
      <w:r w:rsidR="001B0DA3">
        <w:t xml:space="preserve">by ACGIH (2018) </w:t>
      </w:r>
      <w:r w:rsidRPr="00C30D4C">
        <w:t>is recommended based on the weight of evidence</w:t>
      </w:r>
      <w:r>
        <w:t xml:space="preserve"> </w:t>
      </w:r>
      <w:r w:rsidRPr="00C30D4C">
        <w:t>presented</w:t>
      </w:r>
      <w:r>
        <w:t xml:space="preserve">. </w:t>
      </w:r>
      <w:r w:rsidR="009B68B0">
        <w:t xml:space="preserve">This </w:t>
      </w:r>
      <w:r>
        <w:t xml:space="preserve">TWA is considered protective of adverse </w:t>
      </w:r>
      <w:r w:rsidRPr="00C30D4C">
        <w:t xml:space="preserve">effects </w:t>
      </w:r>
      <w:r>
        <w:t xml:space="preserve">in the lower respiratory tract as </w:t>
      </w:r>
      <w:r w:rsidRPr="00C30D4C">
        <w:t xml:space="preserve">reported in </w:t>
      </w:r>
      <w:r>
        <w:t xml:space="preserve">humans and </w:t>
      </w:r>
      <w:r w:rsidRPr="00C30D4C">
        <w:t>animals.</w:t>
      </w:r>
      <w:r w:rsidR="00C70E01">
        <w:t xml:space="preserve"> Additionally, the recommended TWA is considered sufficiently low to </w:t>
      </w:r>
      <w:r w:rsidR="00BC3532">
        <w:t xml:space="preserve">adequately </w:t>
      </w:r>
      <w:r w:rsidR="00C70E01">
        <w:t>protect for any short-te</w:t>
      </w:r>
      <w:r w:rsidR="00BC3532">
        <w:t>rm excursions in exposure.</w:t>
      </w:r>
    </w:p>
    <w:p w14:paraId="2EAAD482" w14:textId="77777777" w:rsidR="004529F0" w:rsidRPr="004C23F4" w:rsidRDefault="004529F0" w:rsidP="004529F0">
      <w:pPr>
        <w:pStyle w:val="Heading2"/>
      </w:pPr>
      <w:r>
        <w:lastRenderedPageBreak/>
        <w:t>Recommendation for notations</w:t>
      </w:r>
    </w:p>
    <w:p w14:paraId="6AA74548" w14:textId="188414C5" w:rsidR="000B2265" w:rsidRPr="00C30D4C" w:rsidRDefault="000B2265" w:rsidP="000B2265">
      <w:pPr>
        <w:rPr>
          <w:rFonts w:cs="Arial"/>
        </w:rPr>
      </w:pPr>
      <w:r w:rsidRPr="00C30D4C">
        <w:rPr>
          <w:rFonts w:cs="Arial"/>
        </w:rPr>
        <w:t>Not classified as a carcinogen according to the Globally Harmonized System of</w:t>
      </w:r>
      <w:r w:rsidR="00BC3532">
        <w:rPr>
          <w:rFonts w:cs="Arial"/>
        </w:rPr>
        <w:t xml:space="preserve"> Classification and Labelling of</w:t>
      </w:r>
      <w:r w:rsidRPr="00C30D4C">
        <w:rPr>
          <w:rFonts w:cs="Arial"/>
        </w:rPr>
        <w:t xml:space="preserve"> Chemicals (GHS). </w:t>
      </w:r>
    </w:p>
    <w:p w14:paraId="2E19D4FE" w14:textId="77777777" w:rsidR="000B2265" w:rsidRPr="00C30D4C" w:rsidRDefault="000B2265" w:rsidP="000B2265">
      <w:pPr>
        <w:rPr>
          <w:rFonts w:cs="Arial"/>
        </w:rPr>
      </w:pPr>
      <w:r w:rsidRPr="00C30D4C">
        <w:rPr>
          <w:rFonts w:cs="Arial"/>
        </w:rPr>
        <w:t>Not classified as a skin or respiratory sensitiser according to the GHS.</w:t>
      </w:r>
    </w:p>
    <w:p w14:paraId="300CD516" w14:textId="161B825F" w:rsidR="004529F0" w:rsidRPr="004C23F4" w:rsidRDefault="00BC3532" w:rsidP="000B2265">
      <w:pPr>
        <w:rPr>
          <w:rFonts w:cs="Arial"/>
        </w:rPr>
      </w:pPr>
      <w:r>
        <w:rPr>
          <w:rFonts w:cs="Arial"/>
        </w:rPr>
        <w:t>There are i</w:t>
      </w:r>
      <w:r w:rsidR="000B2265" w:rsidRPr="00C30D4C">
        <w:rPr>
          <w:rFonts w:cs="Arial"/>
        </w:rPr>
        <w:t xml:space="preserve">nsufficient </w:t>
      </w:r>
      <w:r>
        <w:rPr>
          <w:rFonts w:cs="Arial"/>
        </w:rPr>
        <w:t>data</w:t>
      </w:r>
      <w:r w:rsidR="000B2265" w:rsidRPr="00C30D4C">
        <w:rPr>
          <w:rFonts w:cs="Arial"/>
        </w:rPr>
        <w:t xml:space="preserve"> to recommend a skin notation.</w:t>
      </w:r>
    </w:p>
    <w:p w14:paraId="77578B66" w14:textId="77777777" w:rsidR="0025734A" w:rsidRPr="004C23F4" w:rsidRDefault="0025734A">
      <w:pPr>
        <w:rPr>
          <w:rFonts w:cs="Arial"/>
        </w:rPr>
      </w:pPr>
    </w:p>
    <w:p w14:paraId="748BC329"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30CAE685"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72FA4212"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0C1EDFBC" w14:textId="77777777" w:rsidTr="00DE26E8">
        <w:trPr>
          <w:gridAfter w:val="1"/>
          <w:wAfter w:w="8" w:type="pct"/>
          <w:cantSplit/>
          <w:trHeight w:val="393"/>
          <w:tblHeader/>
        </w:trPr>
        <w:tc>
          <w:tcPr>
            <w:tcW w:w="4992" w:type="pct"/>
            <w:shd w:val="clear" w:color="auto" w:fill="BFBFBF" w:themeFill="background1" w:themeFillShade="BF"/>
            <w:vAlign w:val="center"/>
          </w:tcPr>
          <w:p w14:paraId="05C5B0DE"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3C8A1A3F" w14:textId="77777777" w:rsidTr="00DE26E8">
        <w:trPr>
          <w:cantSplit/>
        </w:trPr>
        <w:tc>
          <w:tcPr>
            <w:tcW w:w="5000" w:type="pct"/>
            <w:gridSpan w:val="2"/>
            <w:shd w:val="clear" w:color="auto" w:fill="F2F2F2" w:themeFill="background1" w:themeFillShade="F2"/>
          </w:tcPr>
          <w:p w14:paraId="1779F3C9"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790DBA">
                  <w:t>1991</w:t>
                </w:r>
              </w:sdtContent>
            </w:sdt>
            <w:r w:rsidRPr="003365A5">
              <w:tab/>
            </w:r>
            <w:r>
              <w:tab/>
            </w:r>
            <w:sdt>
              <w:sdtPr>
                <w:alias w:val="SWA WES"/>
                <w:tag w:val="SWA WES"/>
                <w:id w:val="857077202"/>
                <w:placeholder>
                  <w:docPart w:val="81CFEC2FDBC5451289F394E66D92D1A0"/>
                </w:placeholder>
              </w:sdtPr>
              <w:sdtEndPr/>
              <w:sdtContent>
                <w:r w:rsidR="00790DBA">
                  <w:t>TWA: 3 ppm (5.6 mg/m</w:t>
                </w:r>
                <w:r w:rsidR="00790DBA" w:rsidRPr="00790DBA">
                  <w:rPr>
                    <w:vertAlign w:val="superscript"/>
                  </w:rPr>
                  <w:t>3</w:t>
                </w:r>
                <w:r w:rsidR="00790DBA">
                  <w:t>); STEL: 5 ppm (9.4mg/m</w:t>
                </w:r>
                <w:r w:rsidR="00790DBA" w:rsidRPr="00790DBA">
                  <w:rPr>
                    <w:vertAlign w:val="superscript"/>
                  </w:rPr>
                  <w:t>3</w:t>
                </w:r>
                <w:r w:rsidR="00790DBA">
                  <w:t>)</w:t>
                </w:r>
              </w:sdtContent>
            </w:sdt>
          </w:p>
        </w:tc>
      </w:tr>
      <w:tr w:rsidR="00C978F0" w:rsidRPr="00DA352E" w14:paraId="2296777F" w14:textId="77777777" w:rsidTr="00DE26E8">
        <w:trPr>
          <w:gridAfter w:val="1"/>
          <w:wAfter w:w="8" w:type="pct"/>
          <w:cantSplit/>
        </w:trPr>
        <w:tc>
          <w:tcPr>
            <w:tcW w:w="4992" w:type="pct"/>
          </w:tcPr>
          <w:p w14:paraId="191DAD85" w14:textId="77777777" w:rsidR="00C978F0" w:rsidRPr="00DA352E" w:rsidRDefault="00C978F0" w:rsidP="003365A5">
            <w:pPr>
              <w:pStyle w:val="Tabletextprimarysource"/>
            </w:pPr>
          </w:p>
        </w:tc>
      </w:tr>
      <w:tr w:rsidR="00C978F0" w:rsidRPr="00DA352E" w14:paraId="36FDA212" w14:textId="77777777" w:rsidTr="00DE26E8">
        <w:trPr>
          <w:gridAfter w:val="1"/>
          <w:wAfter w:w="8" w:type="pct"/>
          <w:cantSplit/>
        </w:trPr>
        <w:tc>
          <w:tcPr>
            <w:tcW w:w="4992" w:type="pct"/>
            <w:shd w:val="clear" w:color="auto" w:fill="F2F2F2" w:themeFill="background1" w:themeFillShade="F2"/>
          </w:tcPr>
          <w:p w14:paraId="0173151D"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732282">
                  <w:t>2012</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732282">
                  <w:t>TLV-TWA: 0.2 ppm (0.38 mg/m</w:t>
                </w:r>
                <w:r w:rsidR="00732282" w:rsidRPr="00790DBA">
                  <w:rPr>
                    <w:vertAlign w:val="superscript"/>
                  </w:rPr>
                  <w:t>3</w:t>
                </w:r>
                <w:r w:rsidR="00732282">
                  <w:t>)</w:t>
                </w:r>
              </w:sdtContent>
            </w:sdt>
          </w:p>
        </w:tc>
      </w:tr>
      <w:tr w:rsidR="00C978F0" w:rsidRPr="00DA352E" w14:paraId="0BD142A9" w14:textId="77777777" w:rsidTr="00AA1074">
        <w:trPr>
          <w:gridAfter w:val="1"/>
          <w:wAfter w:w="8" w:type="pct"/>
        </w:trPr>
        <w:tc>
          <w:tcPr>
            <w:tcW w:w="4992" w:type="pct"/>
          </w:tcPr>
          <w:p w14:paraId="563DEF05" w14:textId="20F5D64C" w:rsidR="00000479" w:rsidRDefault="00000479" w:rsidP="00000479">
            <w:pPr>
              <w:pStyle w:val="Tabletextprimarysource"/>
            </w:pPr>
            <w:r>
              <w:t>TLV-TWA recommended to minimise</w:t>
            </w:r>
            <w:r w:rsidR="00F85F06">
              <w:t xml:space="preserve"> </w:t>
            </w:r>
            <w:r w:rsidR="00D834BB">
              <w:t>lower respiratory tract irritation</w:t>
            </w:r>
            <w:r w:rsidR="00986B7D">
              <w:t>. Should protect both non-asthmatic and asthmatic workers from respiratory system effects</w:t>
            </w:r>
            <w:r w:rsidR="00BC3532">
              <w:t>.</w:t>
            </w:r>
          </w:p>
          <w:p w14:paraId="21077B32" w14:textId="7275FA05" w:rsidR="00000479" w:rsidRDefault="00000479" w:rsidP="00000479">
            <w:pPr>
              <w:pStyle w:val="Tabletextprimarysource"/>
            </w:pPr>
            <w:r>
              <w:t>Summary of data:</w:t>
            </w:r>
          </w:p>
          <w:p w14:paraId="7DD4DA61" w14:textId="77777777" w:rsidR="00D62E23" w:rsidRDefault="00986B7D" w:rsidP="00CC7DFB">
            <w:pPr>
              <w:pStyle w:val="ListBullet"/>
              <w:numPr>
                <w:ilvl w:val="0"/>
                <w:numId w:val="0"/>
              </w:numPr>
            </w:pPr>
            <w:r>
              <w:t>Human data:</w:t>
            </w:r>
          </w:p>
          <w:p w14:paraId="55C6E641" w14:textId="4D0409E3" w:rsidR="00986B7D" w:rsidRDefault="00591E7F" w:rsidP="0023448A">
            <w:pPr>
              <w:pStyle w:val="ListBullet"/>
              <w:spacing w:before="60" w:after="60"/>
              <w:ind w:left="1080" w:hanging="357"/>
              <w:contextualSpacing w:val="0"/>
            </w:pPr>
            <w:r>
              <w:t xml:space="preserve">Asthmatics </w:t>
            </w:r>
            <w:r w:rsidR="00986B7D">
              <w:t xml:space="preserve">experience airway irritant effects at concentrations lower than those </w:t>
            </w:r>
            <w:r>
              <w:t>that</w:t>
            </w:r>
            <w:r w:rsidR="00986B7D">
              <w:t xml:space="preserve"> produce the same effects in non-asthmatics</w:t>
            </w:r>
          </w:p>
          <w:p w14:paraId="07D093D9" w14:textId="77777777" w:rsidR="001B4682" w:rsidRDefault="001B4682" w:rsidP="0023448A">
            <w:pPr>
              <w:pStyle w:val="ListBullet"/>
              <w:spacing w:before="60" w:after="60"/>
              <w:ind w:left="1080" w:hanging="357"/>
              <w:contextualSpacing w:val="0"/>
            </w:pPr>
            <w:r>
              <w:t>Relatively insoluble and can penetrate past nasal passages and upper respiratory tract to reach small respiratory zone even at small doses</w:t>
            </w:r>
          </w:p>
          <w:p w14:paraId="2EFC1A3D" w14:textId="0FC2149E" w:rsidR="00001D58" w:rsidRDefault="00001D58" w:rsidP="0023448A">
            <w:pPr>
              <w:pStyle w:val="ListBullet"/>
              <w:spacing w:before="60" w:after="60"/>
              <w:ind w:left="1080" w:hanging="357"/>
              <w:contextualSpacing w:val="0"/>
            </w:pPr>
            <w:r>
              <w:t>Exercise and activity increase the delivered dose of NO</w:t>
            </w:r>
            <w:r w:rsidRPr="00001D58">
              <w:rPr>
                <w:vertAlign w:val="subscript"/>
              </w:rPr>
              <w:t>2</w:t>
            </w:r>
            <w:r>
              <w:t xml:space="preserve"> to the s</w:t>
            </w:r>
            <w:r w:rsidR="001B4682">
              <w:t>maller, more peripheral airways</w:t>
            </w:r>
          </w:p>
          <w:p w14:paraId="2B73F8E6" w14:textId="3305F9B7" w:rsidR="00591E7F" w:rsidRDefault="00447B1F" w:rsidP="0023448A">
            <w:pPr>
              <w:pStyle w:val="ListBullet"/>
              <w:spacing w:before="60" w:after="60"/>
              <w:ind w:left="1080" w:hanging="357"/>
              <w:contextualSpacing w:val="0"/>
            </w:pPr>
            <w:r>
              <w:t>Controlled exposure studies provide the key</w:t>
            </w:r>
            <w:r w:rsidR="00001D58">
              <w:t xml:space="preserve"> evidence i</w:t>
            </w:r>
            <w:r>
              <w:t>nforming the TWA</w:t>
            </w:r>
            <w:r w:rsidR="00591E7F">
              <w:t>:</w:t>
            </w:r>
          </w:p>
          <w:p w14:paraId="5A255C4A" w14:textId="30A158EF" w:rsidR="00591E7F" w:rsidRDefault="00BC3532" w:rsidP="0023448A">
            <w:pPr>
              <w:pStyle w:val="ListBullet"/>
              <w:numPr>
                <w:ilvl w:val="0"/>
                <w:numId w:val="5"/>
              </w:numPr>
              <w:spacing w:before="60" w:after="60"/>
              <w:ind w:hanging="357"/>
              <w:contextualSpacing w:val="0"/>
            </w:pPr>
            <w:r>
              <w:t>n</w:t>
            </w:r>
            <w:r w:rsidR="00F873B0">
              <w:t xml:space="preserve">o effect on airway resistance or methacholine reactivity in </w:t>
            </w:r>
            <w:r w:rsidR="00591E7F">
              <w:t xml:space="preserve">non-asthmatics and mild asthmatics exposed </w:t>
            </w:r>
            <w:r>
              <w:t>for 1 h</w:t>
            </w:r>
            <w:r w:rsidR="00F873B0">
              <w:t xml:space="preserve"> </w:t>
            </w:r>
            <w:r w:rsidR="00591E7F">
              <w:t>at 0.1 ppm at rest</w:t>
            </w:r>
          </w:p>
          <w:p w14:paraId="2B0AAFC9" w14:textId="53B3679D" w:rsidR="00591E7F" w:rsidRDefault="00BC3532" w:rsidP="0023448A">
            <w:pPr>
              <w:pStyle w:val="ListBullet"/>
              <w:numPr>
                <w:ilvl w:val="0"/>
                <w:numId w:val="5"/>
              </w:numPr>
              <w:spacing w:before="60" w:after="60"/>
              <w:ind w:hanging="357"/>
              <w:contextualSpacing w:val="0"/>
            </w:pPr>
            <w:r>
              <w:t>n</w:t>
            </w:r>
            <w:r w:rsidR="00591E7F">
              <w:t>o statistically significant increase in bronchial reactivity in asthmatics exposed</w:t>
            </w:r>
            <w:r>
              <w:t xml:space="preserve"> for 2 h</w:t>
            </w:r>
            <w:r w:rsidR="003D57A4">
              <w:t xml:space="preserve"> at</w:t>
            </w:r>
            <w:r w:rsidR="00591E7F">
              <w:t xml:space="preserve"> 0.2 ppm with light intermittent exercise</w:t>
            </w:r>
          </w:p>
          <w:p w14:paraId="6BC6EDA8" w14:textId="239DAEC4" w:rsidR="00591E7F" w:rsidRDefault="00BC3532" w:rsidP="0023448A">
            <w:pPr>
              <w:pStyle w:val="ListBullet"/>
              <w:numPr>
                <w:ilvl w:val="0"/>
                <w:numId w:val="5"/>
              </w:numPr>
              <w:spacing w:before="60" w:after="60"/>
              <w:ind w:hanging="357"/>
              <w:contextualSpacing w:val="0"/>
            </w:pPr>
            <w:r>
              <w:t>m</w:t>
            </w:r>
            <w:r w:rsidR="00591E7F">
              <w:t>ild asthmatics</w:t>
            </w:r>
            <w:r w:rsidR="003D57A4">
              <w:t xml:space="preserve"> exposed for </w:t>
            </w:r>
            <w:r w:rsidR="001B0DA3">
              <w:t>0.5</w:t>
            </w:r>
            <w:r>
              <w:t xml:space="preserve"> h</w:t>
            </w:r>
            <w:r w:rsidR="003D57A4">
              <w:t xml:space="preserve"> at rest at 0</w:t>
            </w:r>
            <w:r>
              <w:t>.26 ppm; allergen challenge 4 h</w:t>
            </w:r>
            <w:r w:rsidR="003D57A4">
              <w:t xml:space="preserve"> after exposure;</w:t>
            </w:r>
            <w:r w:rsidR="00591E7F">
              <w:t xml:space="preserve"> subclinical effects </w:t>
            </w:r>
            <w:r w:rsidR="003D57A4">
              <w:t>increased bronchoalveolar lavage percent neutrophils and eosinophilic cationic protein after NO</w:t>
            </w:r>
            <w:r w:rsidR="003D57A4" w:rsidRPr="003D57A4">
              <w:rPr>
                <w:vertAlign w:val="subscript"/>
              </w:rPr>
              <w:t>2</w:t>
            </w:r>
            <w:r w:rsidR="003D57A4">
              <w:t xml:space="preserve"> plus allergen challenge</w:t>
            </w:r>
          </w:p>
          <w:p w14:paraId="25A03A26" w14:textId="5CBFF6D3" w:rsidR="00214572" w:rsidRDefault="00BC3532" w:rsidP="0023448A">
            <w:pPr>
              <w:pStyle w:val="ListBullet"/>
              <w:numPr>
                <w:ilvl w:val="0"/>
                <w:numId w:val="5"/>
              </w:numPr>
              <w:spacing w:before="60" w:after="60"/>
              <w:ind w:hanging="357"/>
              <w:contextualSpacing w:val="0"/>
            </w:pPr>
            <w:r>
              <w:t>n</w:t>
            </w:r>
            <w:r w:rsidR="00214572">
              <w:t>o symptoms or lung function effects in m</w:t>
            </w:r>
            <w:r w:rsidR="00591E7F">
              <w:t xml:space="preserve">ild asthmatics after 75 min of exposure at 0.6 ppm </w:t>
            </w:r>
            <w:r w:rsidR="00ED3944">
              <w:t>with intermittent exercise</w:t>
            </w:r>
          </w:p>
          <w:p w14:paraId="0F5D568B" w14:textId="734665F9" w:rsidR="00591E7F" w:rsidRDefault="00BC3532" w:rsidP="0023448A">
            <w:pPr>
              <w:pStyle w:val="ListBullet"/>
              <w:numPr>
                <w:ilvl w:val="0"/>
                <w:numId w:val="5"/>
              </w:numPr>
              <w:spacing w:before="60" w:after="60"/>
              <w:ind w:hanging="357"/>
              <w:contextualSpacing w:val="0"/>
            </w:pPr>
            <w:r>
              <w:t>mi</w:t>
            </w:r>
            <w:r w:rsidR="00591E7F">
              <w:t xml:space="preserve">ld asthmatics </w:t>
            </w:r>
            <w:r>
              <w:t>exposed at 0.4 ppm for 3 h</w:t>
            </w:r>
            <w:r w:rsidR="00F31ADA">
              <w:t xml:space="preserve"> with dust mite allergen challenge </w:t>
            </w:r>
            <w:r w:rsidR="001B0DA3">
              <w:t xml:space="preserve">had </w:t>
            </w:r>
            <w:r w:rsidR="00591E7F">
              <w:t xml:space="preserve">increased airway reactivity </w:t>
            </w:r>
          </w:p>
          <w:p w14:paraId="4AE1862A" w14:textId="6EC2FA50" w:rsidR="00591E7F" w:rsidRDefault="00BC3532" w:rsidP="0023448A">
            <w:pPr>
              <w:pStyle w:val="ListBullet"/>
              <w:numPr>
                <w:ilvl w:val="0"/>
                <w:numId w:val="5"/>
              </w:numPr>
              <w:spacing w:before="60" w:after="60"/>
              <w:ind w:hanging="357"/>
              <w:contextualSpacing w:val="0"/>
            </w:pPr>
            <w:r>
              <w:t>n</w:t>
            </w:r>
            <w:r w:rsidR="00591E7F">
              <w:t xml:space="preserve">on-asthmatics </w:t>
            </w:r>
            <w:r w:rsidR="00ED3944">
              <w:t xml:space="preserve">exposed </w:t>
            </w:r>
            <w:r w:rsidR="00591E7F">
              <w:t>at rest</w:t>
            </w:r>
            <w:r>
              <w:t xml:space="preserve"> for 1 h</w:t>
            </w:r>
            <w:r w:rsidR="00591E7F">
              <w:t xml:space="preserve"> </w:t>
            </w:r>
            <w:r w:rsidR="00ED3944">
              <w:t>at</w:t>
            </w:r>
            <w:r w:rsidR="00591E7F">
              <w:t xml:space="preserve"> 2 ppm </w:t>
            </w:r>
            <w:r w:rsidR="001B0DA3">
              <w:t xml:space="preserve">had </w:t>
            </w:r>
            <w:r w:rsidR="00ED3944">
              <w:t>a</w:t>
            </w:r>
            <w:r w:rsidR="00591E7F">
              <w:t>n increased methacholine airway reactivity</w:t>
            </w:r>
          </w:p>
          <w:p w14:paraId="77D55809" w14:textId="43ECC7E7" w:rsidR="00591E7F" w:rsidRDefault="00A81113" w:rsidP="0023448A">
            <w:pPr>
              <w:pStyle w:val="ListBullet"/>
              <w:spacing w:before="60" w:after="60"/>
              <w:ind w:left="1080" w:hanging="357"/>
              <w:contextualSpacing w:val="0"/>
            </w:pPr>
            <w:r>
              <w:t>Background exposure to NO</w:t>
            </w:r>
            <w:r>
              <w:rPr>
                <w:vertAlign w:val="subscript"/>
              </w:rPr>
              <w:t>2</w:t>
            </w:r>
            <w:r>
              <w:t>; a</w:t>
            </w:r>
            <w:r w:rsidR="00447B1F">
              <w:t xml:space="preserve"> common ambient air pollutant with daily exposure at variable levels impacting the general population; recent studies </w:t>
            </w:r>
            <w:r w:rsidR="00BC3532">
              <w:t>indicate impact from NO</w:t>
            </w:r>
            <w:r w:rsidR="00BC3532" w:rsidRPr="00BC3532">
              <w:rPr>
                <w:vertAlign w:val="subscript"/>
              </w:rPr>
              <w:t>2</w:t>
            </w:r>
            <w:r w:rsidR="00BC3532">
              <w:t xml:space="preserve"> </w:t>
            </w:r>
            <w:r w:rsidR="00447B1F">
              <w:t>on cardiac arrhythmias in adults with underlying heart disease; occupational exposures relevant to adults return to the workplace with pacemakers and defibrillators implanted in the chest following serious heart disease</w:t>
            </w:r>
            <w:r w:rsidR="00F873B0">
              <w:t>.</w:t>
            </w:r>
          </w:p>
          <w:p w14:paraId="0F1F23DE" w14:textId="77777777" w:rsidR="00F873B0" w:rsidRDefault="00F873B0" w:rsidP="00F873B0">
            <w:pPr>
              <w:pStyle w:val="Tabletextprimarysource"/>
            </w:pPr>
            <w:r>
              <w:t>Animal data:</w:t>
            </w:r>
          </w:p>
          <w:p w14:paraId="051FE587" w14:textId="2510C90B" w:rsidR="00F873B0" w:rsidRDefault="00F873B0" w:rsidP="0023448A">
            <w:pPr>
              <w:pStyle w:val="ListBullet"/>
              <w:spacing w:before="60" w:after="60"/>
              <w:ind w:left="1077" w:hanging="357"/>
              <w:contextualSpacing w:val="0"/>
            </w:pPr>
            <w:r>
              <w:t>Animal data not important to the TLV basis because acute short-term effects have been demonstrated at lower levels in human exposure</w:t>
            </w:r>
          </w:p>
          <w:p w14:paraId="71431652" w14:textId="41EA169B" w:rsidR="00F873B0" w:rsidRDefault="00F873B0" w:rsidP="0023448A">
            <w:pPr>
              <w:pStyle w:val="ListBullet"/>
              <w:spacing w:before="60" w:after="60"/>
              <w:ind w:left="1077" w:hanging="357"/>
              <w:contextualSpacing w:val="0"/>
            </w:pPr>
            <w:r>
              <w:t>Chronic respiratory tract effects of inhaled NO</w:t>
            </w:r>
            <w:r w:rsidRPr="00F873B0">
              <w:rPr>
                <w:vertAlign w:val="subscript"/>
              </w:rPr>
              <w:t>2</w:t>
            </w:r>
            <w:r>
              <w:t xml:space="preserve"> are strongly dose </w:t>
            </w:r>
            <w:r w:rsidR="001B0DA3">
              <w:t>related,</w:t>
            </w:r>
            <w:r>
              <w:t xml:space="preserve"> reversible biochemical abnormalities, subclinical lung injury, chronic lung disease and subsequent premature death</w:t>
            </w:r>
          </w:p>
          <w:p w14:paraId="79E2640A" w14:textId="193794E1" w:rsidR="00F873B0" w:rsidRDefault="00F873B0" w:rsidP="0023448A">
            <w:pPr>
              <w:pStyle w:val="ListBullet"/>
              <w:spacing w:before="60" w:after="60"/>
              <w:ind w:left="1077" w:hanging="357"/>
              <w:contextualSpacing w:val="0"/>
            </w:pPr>
            <w:r>
              <w:t>Evidence of airway histologic injury becomes more widespread through the respiratory tree and the degree of injury more severe becomes more apparent</w:t>
            </w:r>
            <w:r w:rsidR="00BC3532">
              <w:t>.</w:t>
            </w:r>
          </w:p>
          <w:p w14:paraId="2903674C" w14:textId="77777777" w:rsidR="00BB619D" w:rsidRDefault="00BB619D" w:rsidP="000B1322">
            <w:pPr>
              <w:pStyle w:val="Tabletextprimarysource"/>
            </w:pPr>
          </w:p>
          <w:p w14:paraId="0C3201C2" w14:textId="1F9818FD" w:rsidR="000B1322" w:rsidRDefault="000B1322" w:rsidP="000B1322">
            <w:pPr>
              <w:pStyle w:val="Tabletextprimarysource"/>
            </w:pPr>
            <w:r>
              <w:t>No clear evidence in humans or animals to suspect carcinogenic</w:t>
            </w:r>
            <w:r w:rsidR="00163278">
              <w:t xml:space="preserve"> </w:t>
            </w:r>
            <w:r>
              <w:t>effects</w:t>
            </w:r>
            <w:r w:rsidR="00BC3532">
              <w:t>.</w:t>
            </w:r>
          </w:p>
          <w:p w14:paraId="0AF82764" w14:textId="282B4665" w:rsidR="00163278" w:rsidRDefault="00163278" w:rsidP="000B1322">
            <w:pPr>
              <w:pStyle w:val="Tabletextprimarysource"/>
            </w:pPr>
            <w:r>
              <w:t>Limited evidence of genotoxicity in bacteria</w:t>
            </w:r>
            <w:r w:rsidR="00BC3532">
              <w:t>.</w:t>
            </w:r>
          </w:p>
          <w:p w14:paraId="208D5DC7" w14:textId="3493B7E0" w:rsidR="000B1322" w:rsidRDefault="000B1322" w:rsidP="000B1322">
            <w:pPr>
              <w:pStyle w:val="Tabletextprimarysource"/>
            </w:pPr>
            <w:r>
              <w:t>Insufficient evidence to recommend a skin or sensitiser notation or TLV-STEL</w:t>
            </w:r>
            <w:r w:rsidR="008248AA">
              <w:t>.</w:t>
            </w:r>
            <w:r>
              <w:t xml:space="preserve"> </w:t>
            </w:r>
          </w:p>
          <w:p w14:paraId="3B3F70A5" w14:textId="0014299F" w:rsidR="00204507" w:rsidRPr="00DA352E" w:rsidRDefault="00204507" w:rsidP="000B1322">
            <w:pPr>
              <w:pStyle w:val="Tabletextprimarysource"/>
            </w:pPr>
          </w:p>
        </w:tc>
      </w:tr>
      <w:tr w:rsidR="00C978F0" w:rsidRPr="00DA352E" w14:paraId="2045388C" w14:textId="77777777" w:rsidTr="00AA1074">
        <w:trPr>
          <w:gridAfter w:val="1"/>
          <w:wAfter w:w="8" w:type="pct"/>
        </w:trPr>
        <w:tc>
          <w:tcPr>
            <w:tcW w:w="4992" w:type="pct"/>
            <w:shd w:val="clear" w:color="auto" w:fill="F2F2F2" w:themeFill="background1" w:themeFillShade="F2"/>
          </w:tcPr>
          <w:p w14:paraId="75F70344"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756A8F">
                  <w:t>2</w:t>
                </w:r>
                <w:r w:rsidR="003B528A">
                  <w:t>010</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3B528A" w:rsidRPr="00D834BB">
                  <w:t>MAK: 0.5 ppm (0.95 mg/m</w:t>
                </w:r>
                <w:r w:rsidR="003B528A" w:rsidRPr="00D834BB">
                  <w:rPr>
                    <w:vertAlign w:val="superscript"/>
                  </w:rPr>
                  <w:t>3</w:t>
                </w:r>
                <w:r w:rsidR="003B528A" w:rsidRPr="00D834BB">
                  <w:t>)</w:t>
                </w:r>
              </w:sdtContent>
            </w:sdt>
          </w:p>
        </w:tc>
      </w:tr>
      <w:tr w:rsidR="00C978F0" w:rsidRPr="00DA352E" w14:paraId="320B3E30" w14:textId="77777777" w:rsidTr="00AA1074">
        <w:trPr>
          <w:gridAfter w:val="1"/>
          <w:wAfter w:w="8" w:type="pct"/>
        </w:trPr>
        <w:tc>
          <w:tcPr>
            <w:tcW w:w="4992" w:type="pct"/>
          </w:tcPr>
          <w:p w14:paraId="233E979E" w14:textId="70B018D5" w:rsidR="00DB0701" w:rsidRDefault="00163278" w:rsidP="00CC7DFB">
            <w:pPr>
              <w:pStyle w:val="ListBullet"/>
              <w:numPr>
                <w:ilvl w:val="0"/>
                <w:numId w:val="0"/>
              </w:numPr>
              <w:ind w:left="360" w:hanging="360"/>
            </w:pPr>
            <w:r>
              <w:t xml:space="preserve">MAK recommended to prevent damage to tissue in the </w:t>
            </w:r>
            <w:r w:rsidR="00051A29">
              <w:t>lower respiratory tract</w:t>
            </w:r>
            <w:r w:rsidR="00AA1074">
              <w:t>.</w:t>
            </w:r>
          </w:p>
          <w:p w14:paraId="0F91965A" w14:textId="77777777" w:rsidR="00163278" w:rsidRDefault="00163278" w:rsidP="00163278">
            <w:pPr>
              <w:pStyle w:val="Tabletextprimarysource"/>
            </w:pPr>
            <w:r>
              <w:t>Summary of additional data:</w:t>
            </w:r>
          </w:p>
          <w:p w14:paraId="62DBA523" w14:textId="09CE5C83" w:rsidR="00051A29" w:rsidRPr="00FB4061" w:rsidRDefault="00051A29" w:rsidP="0023448A">
            <w:pPr>
              <w:pStyle w:val="ListBullet"/>
              <w:spacing w:before="60" w:after="60"/>
              <w:ind w:left="1080" w:hanging="357"/>
              <w:contextualSpacing w:val="0"/>
            </w:pPr>
            <w:r w:rsidRPr="00FB4061">
              <w:t>MAK based on the following evidence:</w:t>
            </w:r>
          </w:p>
          <w:p w14:paraId="440DBEE3" w14:textId="17CBAF17" w:rsidR="00163278" w:rsidRPr="00FB4061" w:rsidRDefault="00163278" w:rsidP="0023448A">
            <w:pPr>
              <w:pStyle w:val="ListBullet"/>
              <w:numPr>
                <w:ilvl w:val="0"/>
                <w:numId w:val="6"/>
              </w:numPr>
              <w:spacing w:before="60" w:after="60"/>
              <w:ind w:hanging="357"/>
              <w:contextualSpacing w:val="0"/>
            </w:pPr>
            <w:r w:rsidRPr="00FB4061">
              <w:t xml:space="preserve">21 volunteers exposed at 0, 0.6 and 1.5 ppm during intermittent physical exercise at 1-wk </w:t>
            </w:r>
            <w:r w:rsidR="00A81113" w:rsidRPr="00FB4061">
              <w:t>intervals; changes in bronchoalveolar</w:t>
            </w:r>
            <w:r w:rsidR="00A81113" w:rsidRPr="00FB4061">
              <w:rPr>
                <w:rFonts w:cs="Arial"/>
                <w:shd w:val="clear" w:color="auto" w:fill="FFFFFF"/>
              </w:rPr>
              <w:t xml:space="preserve"> lavage fluid and initial signs of inflammatory reactions at 1.5 ppm (and noted from other study at 2 ppm; no further detail); no effects at 0.6 ppm (cited by ACGIH, 2018)</w:t>
            </w:r>
            <w:r w:rsidR="00E84CAA" w:rsidRPr="00FB4061">
              <w:rPr>
                <w:rFonts w:cs="Arial"/>
                <w:shd w:val="clear" w:color="auto" w:fill="FFFFFF"/>
              </w:rPr>
              <w:t xml:space="preserve">; </w:t>
            </w:r>
          </w:p>
          <w:p w14:paraId="0330999D" w14:textId="0CEFF3CB" w:rsidR="00A81113" w:rsidRPr="00FB4061" w:rsidRDefault="00204507" w:rsidP="0023448A">
            <w:pPr>
              <w:pStyle w:val="ListBullet"/>
              <w:numPr>
                <w:ilvl w:val="0"/>
                <w:numId w:val="6"/>
              </w:numPr>
              <w:spacing w:before="60" w:after="60"/>
              <w:ind w:hanging="357"/>
              <w:contextualSpacing w:val="0"/>
            </w:pPr>
            <w:r w:rsidRPr="00FB4061">
              <w:rPr>
                <w:rFonts w:cs="Arial"/>
                <w:shd w:val="clear" w:color="auto" w:fill="FFFFFF"/>
              </w:rPr>
              <w:t>r</w:t>
            </w:r>
            <w:r w:rsidR="00A81113" w:rsidRPr="00FB4061">
              <w:rPr>
                <w:rFonts w:cs="Arial"/>
                <w:shd w:val="clear" w:color="auto" w:fill="FFFFFF"/>
              </w:rPr>
              <w:t>ats exposed</w:t>
            </w:r>
            <w:r w:rsidR="00083655" w:rsidRPr="00FB4061">
              <w:rPr>
                <w:rFonts w:cs="Arial"/>
                <w:shd w:val="clear" w:color="auto" w:fill="FFFFFF"/>
              </w:rPr>
              <w:t xml:space="preserve"> on 5 d for 6h/d at 0, 0.5, 5 or 20 ppm; LOAEC of 5 ppm; histopathological changes in the lungs (bronchoalveolar hyperplasia, infiltration of mononuclear cells and alveolar histocytes) and in the trachea (diffuse hyperplasia of the tracheal epithelium) and cell proliferation was found in the large and medium bronchi, terminal bronchioles and alveoli</w:t>
            </w:r>
          </w:p>
          <w:p w14:paraId="42867A3C" w14:textId="77777777" w:rsidR="00083655" w:rsidRPr="00FB4061" w:rsidRDefault="00B428C2" w:rsidP="0023448A">
            <w:pPr>
              <w:pStyle w:val="ListBullet"/>
              <w:numPr>
                <w:ilvl w:val="0"/>
                <w:numId w:val="6"/>
              </w:numPr>
              <w:spacing w:before="60" w:after="60"/>
              <w:ind w:hanging="357"/>
              <w:contextualSpacing w:val="0"/>
            </w:pPr>
            <w:r w:rsidRPr="00FB4061">
              <w:t>NOAEC of 2.15 ppm in rats; based on changes in bronchoalveolar</w:t>
            </w:r>
            <w:r w:rsidR="00AA1074" w:rsidRPr="00FB4061">
              <w:rPr>
                <w:rFonts w:cs="Arial"/>
                <w:shd w:val="clear" w:color="auto" w:fill="FFFFFF"/>
              </w:rPr>
              <w:t xml:space="preserve"> lavage fluid; 13 </w:t>
            </w:r>
            <w:r w:rsidRPr="00FB4061">
              <w:rPr>
                <w:rFonts w:cs="Arial"/>
                <w:shd w:val="clear" w:color="auto" w:fill="FFFFFF"/>
              </w:rPr>
              <w:t>wk inhalation study, 5 d/wk for 6 h/d; dose 0.008, 0.25, 0.82 or 2.15 ppm</w:t>
            </w:r>
            <w:r w:rsidR="00AA1074" w:rsidRPr="00FB4061">
              <w:rPr>
                <w:rFonts w:cs="Arial"/>
                <w:shd w:val="clear" w:color="auto" w:fill="FFFFFF"/>
              </w:rPr>
              <w:t>.</w:t>
            </w:r>
          </w:p>
          <w:p w14:paraId="1A971B9E" w14:textId="7E8B569B" w:rsidR="00BB619D" w:rsidRPr="00DA352E" w:rsidRDefault="00BB619D" w:rsidP="00BB619D">
            <w:pPr>
              <w:pStyle w:val="ListBullet"/>
              <w:numPr>
                <w:ilvl w:val="0"/>
                <w:numId w:val="0"/>
              </w:numPr>
              <w:spacing w:before="60" w:after="60"/>
              <w:ind w:left="1440"/>
              <w:contextualSpacing w:val="0"/>
            </w:pPr>
          </w:p>
        </w:tc>
      </w:tr>
      <w:tr w:rsidR="00C978F0" w:rsidRPr="00DA352E" w14:paraId="419E84DE" w14:textId="77777777" w:rsidTr="00AA1074">
        <w:trPr>
          <w:gridAfter w:val="1"/>
          <w:wAfter w:w="8" w:type="pct"/>
        </w:trPr>
        <w:tc>
          <w:tcPr>
            <w:tcW w:w="4992" w:type="pct"/>
            <w:shd w:val="clear" w:color="auto" w:fill="F2F2F2" w:themeFill="background1" w:themeFillShade="F2"/>
          </w:tcPr>
          <w:p w14:paraId="745D7D58" w14:textId="781FABBC" w:rsidR="00C978F0" w:rsidRPr="00DA352E" w:rsidRDefault="00DA352E" w:rsidP="00756A8F">
            <w:pPr>
              <w:pStyle w:val="Tablerowheadingitalic"/>
              <w:tabs>
                <w:tab w:val="clear" w:pos="2268"/>
                <w:tab w:val="clear" w:pos="5670"/>
                <w:tab w:val="left" w:pos="1418"/>
                <w:tab w:val="left" w:pos="2552"/>
              </w:tabs>
              <w:ind w:left="2857" w:hanging="2857"/>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756A8F">
                  <w:t>2014</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756A8F" w:rsidRPr="00756A8F">
                  <w:t>TWA:</w:t>
                </w:r>
                <w:r w:rsidR="00756A8F">
                  <w:t xml:space="preserve"> </w:t>
                </w:r>
                <w:r w:rsidR="00756A8F" w:rsidRPr="00756A8F">
                  <w:t>0.5 ppm (0.955 mg/m</w:t>
                </w:r>
                <w:r w:rsidR="00756A8F" w:rsidRPr="00756A8F">
                  <w:rPr>
                    <w:vertAlign w:val="superscript"/>
                  </w:rPr>
                  <w:t>3</w:t>
                </w:r>
                <w:r w:rsidR="00756A8F" w:rsidRPr="00756A8F">
                  <w:t>)</w:t>
                </w:r>
                <w:r w:rsidR="00756A8F">
                  <w:t xml:space="preserve">; </w:t>
                </w:r>
                <w:r w:rsidR="00AA1074">
                  <w:t>STEL</w:t>
                </w:r>
                <w:r w:rsidR="00756A8F" w:rsidRPr="00756A8F">
                  <w:t>:</w:t>
                </w:r>
                <w:r w:rsidR="00756A8F">
                  <w:t xml:space="preserve"> </w:t>
                </w:r>
                <w:r w:rsidR="00756A8F" w:rsidRPr="00756A8F">
                  <w:t>1 ppm (1.91 mg/m</w:t>
                </w:r>
                <w:r w:rsidR="00756A8F" w:rsidRPr="00FC7562">
                  <w:rPr>
                    <w:vertAlign w:val="superscript"/>
                  </w:rPr>
                  <w:t>3</w:t>
                </w:r>
                <w:r w:rsidR="00756A8F" w:rsidRPr="00756A8F">
                  <w:t>)</w:t>
                </w:r>
                <w:r w:rsidR="00756A8F">
                  <w:t xml:space="preserve"> </w:t>
                </w:r>
              </w:sdtContent>
            </w:sdt>
          </w:p>
        </w:tc>
      </w:tr>
      <w:tr w:rsidR="00C978F0" w:rsidRPr="00DA352E" w14:paraId="59BA340D" w14:textId="77777777" w:rsidTr="00AA1074">
        <w:trPr>
          <w:gridAfter w:val="1"/>
          <w:wAfter w:w="8" w:type="pct"/>
        </w:trPr>
        <w:tc>
          <w:tcPr>
            <w:tcW w:w="4992" w:type="pct"/>
          </w:tcPr>
          <w:p w14:paraId="7210304F" w14:textId="77777777" w:rsidR="00C978F0" w:rsidRDefault="00E84CAA" w:rsidP="00E84CAA">
            <w:pPr>
              <w:pStyle w:val="Tabletextprimarysource"/>
            </w:pPr>
            <w:r>
              <w:t>TWA and STEL recommended to protect for effects in the deep respiratory tract.</w:t>
            </w:r>
          </w:p>
          <w:p w14:paraId="5B4DAFF9" w14:textId="003B392C" w:rsidR="00E84CAA" w:rsidRDefault="00E84CAA" w:rsidP="00E84CAA">
            <w:pPr>
              <w:pStyle w:val="Tabletextprimarysource"/>
            </w:pPr>
            <w:r>
              <w:t>Summary of additional data:</w:t>
            </w:r>
          </w:p>
          <w:p w14:paraId="3FBF1DA0" w14:textId="3CB8C994" w:rsidR="00E84CAA" w:rsidRPr="00E84CAA" w:rsidRDefault="0002397E" w:rsidP="0023448A">
            <w:pPr>
              <w:pStyle w:val="ListBullet"/>
              <w:spacing w:before="60" w:after="60"/>
              <w:ind w:left="1080" w:hanging="357"/>
              <w:contextualSpacing w:val="0"/>
            </w:pPr>
            <w:r>
              <w:t>NO</w:t>
            </w:r>
            <w:r w:rsidRPr="0002397E">
              <w:rPr>
                <w:vertAlign w:val="subscript"/>
              </w:rPr>
              <w:t>2</w:t>
            </w:r>
            <w:r>
              <w:t xml:space="preserve"> is often found in ambient air with nitrogen monoxide (NO); oxidation of NO to NO</w:t>
            </w:r>
            <w:r w:rsidRPr="0002397E">
              <w:rPr>
                <w:vertAlign w:val="subscript"/>
              </w:rPr>
              <w:t>2</w:t>
            </w:r>
            <w:r>
              <w:t xml:space="preserve"> occurs easily in some circumstances</w:t>
            </w:r>
          </w:p>
          <w:p w14:paraId="4A3C2919" w14:textId="67300755" w:rsidR="00FC2C08" w:rsidRDefault="00467F38" w:rsidP="0023448A">
            <w:pPr>
              <w:pStyle w:val="ListBullet"/>
              <w:spacing w:before="60" w:after="60"/>
              <w:ind w:left="1080" w:hanging="357"/>
              <w:contextualSpacing w:val="0"/>
            </w:pPr>
            <w:r>
              <w:t xml:space="preserve">Basis for TWA: </w:t>
            </w:r>
            <w:r w:rsidR="00FC2C08">
              <w:t>Epidemiological study in hard coal miners</w:t>
            </w:r>
            <w:r w:rsidR="00054D56">
              <w:t>; long-term longitud</w:t>
            </w:r>
            <w:r w:rsidR="001B0DA3">
              <w:t>in</w:t>
            </w:r>
            <w:r w:rsidR="00054D56">
              <w:t>al study considering number of shifts underground, the exposure to coal mine dust, quartz dust, NO, NO</w:t>
            </w:r>
            <w:r w:rsidR="00054D56" w:rsidRPr="00467F38">
              <w:rPr>
                <w:vertAlign w:val="subscript"/>
              </w:rPr>
              <w:t>2</w:t>
            </w:r>
            <w:r w:rsidR="00054D56">
              <w:t>, smoking behaviours and the lung function parameters FVC, FEV1 and FEV1/FVC</w:t>
            </w:r>
          </w:p>
          <w:p w14:paraId="0D0AECEE" w14:textId="3022DFA5" w:rsidR="00467F38" w:rsidRDefault="00AA1074" w:rsidP="0023448A">
            <w:pPr>
              <w:pStyle w:val="ListBullet"/>
              <w:numPr>
                <w:ilvl w:val="0"/>
                <w:numId w:val="7"/>
              </w:numPr>
              <w:spacing w:before="60" w:after="60"/>
              <w:ind w:hanging="357"/>
              <w:contextualSpacing w:val="0"/>
            </w:pPr>
            <w:r>
              <w:t>1,369 miners worked on average 3,</w:t>
            </w:r>
            <w:r w:rsidR="00467F38">
              <w:t>017 shifts underground per person</w:t>
            </w:r>
          </w:p>
          <w:p w14:paraId="6CC40AA6" w14:textId="39337EA6" w:rsidR="00FC2C08" w:rsidRDefault="00054D56" w:rsidP="0023448A">
            <w:pPr>
              <w:pStyle w:val="ListBullet"/>
              <w:numPr>
                <w:ilvl w:val="0"/>
                <w:numId w:val="7"/>
              </w:numPr>
              <w:spacing w:before="60" w:after="60"/>
              <w:ind w:hanging="357"/>
              <w:contextualSpacing w:val="0"/>
            </w:pPr>
            <w:r>
              <w:t>t</w:t>
            </w:r>
            <w:r w:rsidR="00FC2C08">
              <w:t>otal mean concentrations of 0.007 ppm NO</w:t>
            </w:r>
            <w:r w:rsidR="00FC2C08" w:rsidRPr="00FC2C08">
              <w:rPr>
                <w:vertAlign w:val="subscript"/>
              </w:rPr>
              <w:t>2</w:t>
            </w:r>
            <w:r w:rsidR="00FC2C08">
              <w:t xml:space="preserve"> and 0.58 ppm NO</w:t>
            </w:r>
          </w:p>
          <w:p w14:paraId="078E706A" w14:textId="70D65F38" w:rsidR="00467F38" w:rsidRDefault="00467F38" w:rsidP="0023448A">
            <w:pPr>
              <w:pStyle w:val="ListBullet"/>
              <w:numPr>
                <w:ilvl w:val="0"/>
                <w:numId w:val="7"/>
              </w:numPr>
              <w:spacing w:before="60" w:after="60"/>
              <w:ind w:hanging="357"/>
              <w:contextualSpacing w:val="0"/>
            </w:pPr>
            <w:r>
              <w:t>exposure in defined subgroups wa</w:t>
            </w:r>
            <w:r w:rsidR="00AA1074">
              <w:t>s consistently higher mean 8-h</w:t>
            </w:r>
            <w:r>
              <w:t xml:space="preserve"> shift concentrations: Diesel engine drivers, 1.35 ppm NO and 0.21 ppm NO</w:t>
            </w:r>
            <w:r w:rsidRPr="00467F38">
              <w:rPr>
                <w:vertAlign w:val="subscript"/>
              </w:rPr>
              <w:t>2</w:t>
            </w:r>
            <w:r>
              <w:t>; Diesel train drivers, 1.35 ppm NO and 0.52 ppm NO</w:t>
            </w:r>
            <w:r w:rsidRPr="00467F38">
              <w:rPr>
                <w:vertAlign w:val="subscript"/>
              </w:rPr>
              <w:t>2</w:t>
            </w:r>
            <w:r>
              <w:t>; blasting specialists, 0.84 ppm NO and 0.014 ppm NO</w:t>
            </w:r>
            <w:r w:rsidRPr="00467F38">
              <w:rPr>
                <w:vertAlign w:val="subscript"/>
              </w:rPr>
              <w:t>2</w:t>
            </w:r>
          </w:p>
          <w:p w14:paraId="271C8E6D" w14:textId="28198BBB" w:rsidR="00054D56" w:rsidRDefault="00054D56" w:rsidP="0023448A">
            <w:pPr>
              <w:pStyle w:val="ListBullet"/>
              <w:numPr>
                <w:ilvl w:val="0"/>
                <w:numId w:val="7"/>
              </w:numPr>
              <w:spacing w:before="60" w:after="60"/>
              <w:ind w:hanging="357"/>
              <w:contextualSpacing w:val="0"/>
            </w:pPr>
            <w:r>
              <w:t>concluded exposures</w:t>
            </w:r>
            <w:r w:rsidR="00467F38">
              <w:t xml:space="preserve"> to nitrogen oxides</w:t>
            </w:r>
            <w:r>
              <w:t>, including those in the subgroups, showed no adverse influence on lung function</w:t>
            </w:r>
          </w:p>
          <w:p w14:paraId="7744738B" w14:textId="25F789F8" w:rsidR="00467F38" w:rsidRDefault="00467F38" w:rsidP="0023448A">
            <w:pPr>
              <w:pStyle w:val="ListBullet"/>
              <w:numPr>
                <w:ilvl w:val="0"/>
                <w:numId w:val="7"/>
              </w:numPr>
              <w:spacing w:before="60" w:after="60"/>
              <w:ind w:hanging="357"/>
              <w:contextualSpacing w:val="0"/>
            </w:pPr>
            <w:r>
              <w:t>concluded a NOAEC of 0.5 ppm regarding lung function under chronic occupational exposures</w:t>
            </w:r>
          </w:p>
          <w:p w14:paraId="17C91600" w14:textId="77777777" w:rsidR="00E84CAA" w:rsidRDefault="00467F38" w:rsidP="0023448A">
            <w:pPr>
              <w:pStyle w:val="ListBullet"/>
              <w:spacing w:before="60" w:after="60"/>
              <w:ind w:left="1080" w:hanging="357"/>
              <w:contextualSpacing w:val="0"/>
            </w:pPr>
            <w:r>
              <w:t>LOAEC of 5 ppm and NOAEC of 2.15 ppm in rats (cited by DFG, 2010); animal studies supporting TWA</w:t>
            </w:r>
          </w:p>
          <w:p w14:paraId="74C88D2D" w14:textId="77777777" w:rsidR="00467F38" w:rsidRDefault="000C52F5" w:rsidP="0023448A">
            <w:pPr>
              <w:pStyle w:val="ListBullet"/>
              <w:spacing w:before="60" w:after="60"/>
              <w:ind w:left="1080" w:hanging="357"/>
              <w:contextualSpacing w:val="0"/>
            </w:pPr>
            <w:r>
              <w:t>Basis for STEL: Changes in the BALF were obse</w:t>
            </w:r>
            <w:r w:rsidR="00AA1074">
              <w:t>rved in volunteers after a 3-h</w:t>
            </w:r>
            <w:r>
              <w:t xml:space="preserve"> exposure to NO</w:t>
            </w:r>
            <w:r w:rsidR="00A03158" w:rsidRPr="000C52F5">
              <w:rPr>
                <w:vertAlign w:val="subscript"/>
              </w:rPr>
              <w:t xml:space="preserve">2 </w:t>
            </w:r>
            <w:r w:rsidR="00AA1074">
              <w:rPr>
                <w:rFonts w:cs="Arial"/>
              </w:rPr>
              <w:t>≥</w:t>
            </w:r>
            <w:r w:rsidR="00537D38">
              <w:t xml:space="preserve"> </w:t>
            </w:r>
            <w:r>
              <w:t>1.5 ppm (cited by DFG, 2010)</w:t>
            </w:r>
            <w:r w:rsidR="00AA1074">
              <w:t>.</w:t>
            </w:r>
          </w:p>
          <w:p w14:paraId="795C01B3" w14:textId="4E783650" w:rsidR="008248AA" w:rsidRPr="00DA352E" w:rsidRDefault="008248AA" w:rsidP="008248AA">
            <w:pPr>
              <w:pStyle w:val="ListBullet"/>
              <w:numPr>
                <w:ilvl w:val="0"/>
                <w:numId w:val="0"/>
              </w:numPr>
              <w:spacing w:before="60" w:after="60"/>
              <w:ind w:left="1080"/>
              <w:contextualSpacing w:val="0"/>
            </w:pPr>
          </w:p>
        </w:tc>
      </w:tr>
      <w:tr w:rsidR="00DA352E" w:rsidRPr="00DA352E" w14:paraId="59B1D25D" w14:textId="77777777" w:rsidTr="00AA1074">
        <w:trPr>
          <w:gridAfter w:val="1"/>
          <w:wAfter w:w="8" w:type="pct"/>
        </w:trPr>
        <w:tc>
          <w:tcPr>
            <w:tcW w:w="4992" w:type="pct"/>
            <w:shd w:val="clear" w:color="auto" w:fill="F2F2F2" w:themeFill="background1" w:themeFillShade="F2"/>
          </w:tcPr>
          <w:p w14:paraId="576BB2A9"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471B12">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471B12">
                  <w:t>NA</w:t>
                </w:r>
              </w:sdtContent>
            </w:sdt>
          </w:p>
        </w:tc>
      </w:tr>
      <w:tr w:rsidR="00DA352E" w:rsidRPr="00DA352E" w14:paraId="5040F417" w14:textId="77777777" w:rsidTr="00AA1074">
        <w:trPr>
          <w:gridAfter w:val="1"/>
          <w:wAfter w:w="8" w:type="pct"/>
        </w:trPr>
        <w:tc>
          <w:tcPr>
            <w:tcW w:w="4992" w:type="pct"/>
          </w:tcPr>
          <w:p w14:paraId="15E012E1" w14:textId="4945D245" w:rsidR="00DA352E" w:rsidRPr="00DA352E" w:rsidRDefault="00471B12" w:rsidP="003365A5">
            <w:pPr>
              <w:pStyle w:val="Tabletextprimarysource"/>
            </w:pPr>
            <w:r>
              <w:t>No report</w:t>
            </w:r>
            <w:r w:rsidR="00AA1074">
              <w:t>.</w:t>
            </w:r>
          </w:p>
        </w:tc>
      </w:tr>
      <w:tr w:rsidR="00DA352E" w:rsidRPr="00DA352E" w14:paraId="5EC77BB2" w14:textId="77777777" w:rsidTr="00AA1074">
        <w:trPr>
          <w:gridAfter w:val="1"/>
          <w:wAfter w:w="8" w:type="pct"/>
        </w:trPr>
        <w:tc>
          <w:tcPr>
            <w:tcW w:w="4992" w:type="pct"/>
            <w:shd w:val="clear" w:color="auto" w:fill="F2F2F2" w:themeFill="background1" w:themeFillShade="F2"/>
          </w:tcPr>
          <w:p w14:paraId="66E0F297" w14:textId="66775644" w:rsidR="00DA352E" w:rsidRPr="00DA352E" w:rsidRDefault="00DA352E" w:rsidP="00471B12">
            <w:pPr>
              <w:pStyle w:val="Tablerowheadingitalic"/>
              <w:tabs>
                <w:tab w:val="clear" w:pos="2268"/>
                <w:tab w:val="clear" w:pos="5670"/>
                <w:tab w:val="left" w:pos="1418"/>
                <w:tab w:val="left" w:pos="2552"/>
              </w:tabs>
              <w:ind w:left="2857" w:hanging="2857"/>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471B12">
                  <w:t>2004</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AA1074">
                  <w:t>TWA</w:t>
                </w:r>
                <w:r w:rsidR="00471B12">
                  <w:t xml:space="preserve">: </w:t>
                </w:r>
                <w:r w:rsidR="00801C62">
                  <w:t>0.2 ppm (</w:t>
                </w:r>
                <w:r w:rsidR="00A03158">
                  <w:t>0.</w:t>
                </w:r>
                <w:r w:rsidR="00471B12">
                  <w:t>4 mg/m</w:t>
                </w:r>
                <w:r w:rsidR="00471B12" w:rsidRPr="00471B12">
                  <w:rPr>
                    <w:vertAlign w:val="superscript"/>
                  </w:rPr>
                  <w:t>3</w:t>
                </w:r>
                <w:r w:rsidR="00801C62">
                  <w:t>)</w:t>
                </w:r>
                <w:r w:rsidR="00471B12">
                  <w:t xml:space="preserve">; </w:t>
                </w:r>
                <w:r w:rsidR="00471B12" w:rsidRPr="00471B12">
                  <w:t>STEL</w:t>
                </w:r>
                <w:r w:rsidR="00A03158">
                  <w:t xml:space="preserve">: </w:t>
                </w:r>
                <w:r w:rsidR="00801C62">
                  <w:t>0.5 ppm (</w:t>
                </w:r>
                <w:r w:rsidR="00471B12">
                  <w:t>1.0 mg/m</w:t>
                </w:r>
                <w:r w:rsidR="00471B12" w:rsidRPr="00471B12">
                  <w:rPr>
                    <w:vertAlign w:val="superscript"/>
                  </w:rPr>
                  <w:t>3</w:t>
                </w:r>
                <w:r w:rsidR="00801C62">
                  <w:t>)</w:t>
                </w:r>
                <w:r w:rsidR="00471B12">
                  <w:t xml:space="preserve"> </w:t>
                </w:r>
              </w:sdtContent>
            </w:sdt>
          </w:p>
        </w:tc>
      </w:tr>
      <w:tr w:rsidR="00DA352E" w:rsidRPr="00DA352E" w14:paraId="4EF90311" w14:textId="77777777" w:rsidTr="00AA1074">
        <w:trPr>
          <w:gridAfter w:val="1"/>
          <w:wAfter w:w="8" w:type="pct"/>
        </w:trPr>
        <w:tc>
          <w:tcPr>
            <w:tcW w:w="4992" w:type="pct"/>
          </w:tcPr>
          <w:p w14:paraId="0504291C" w14:textId="0AB4C241" w:rsidR="00152E07" w:rsidRDefault="00A03158" w:rsidP="00A03158">
            <w:pPr>
              <w:pStyle w:val="Tabletextprimarysource"/>
            </w:pPr>
            <w:r>
              <w:t>TWA and STEL recommended to protect for local effects on the respiratory system</w:t>
            </w:r>
            <w:r w:rsidR="00AA1074">
              <w:t>.</w:t>
            </w:r>
          </w:p>
          <w:p w14:paraId="4D4B2C63" w14:textId="77777777" w:rsidR="00A03158" w:rsidRDefault="00A03158" w:rsidP="00A03158">
            <w:pPr>
              <w:pStyle w:val="Tabletextprimarysource"/>
            </w:pPr>
            <w:r>
              <w:t>Summary of additional data:</w:t>
            </w:r>
          </w:p>
          <w:p w14:paraId="0741983A" w14:textId="5C5F12E9" w:rsidR="00D97658" w:rsidRDefault="00D97658" w:rsidP="0023448A">
            <w:pPr>
              <w:pStyle w:val="ListBullet"/>
              <w:spacing w:before="60" w:after="60"/>
              <w:ind w:left="1080" w:hanging="357"/>
              <w:contextualSpacing w:val="0"/>
            </w:pPr>
            <w:r>
              <w:lastRenderedPageBreak/>
              <w:t>Considers epidemiological data insufficient to inform the derivation of a TWA due to co-exposures with other substances</w:t>
            </w:r>
          </w:p>
          <w:p w14:paraId="76D6123A" w14:textId="529AFDF2" w:rsidR="00D97658" w:rsidRDefault="00D97658" w:rsidP="0023448A">
            <w:pPr>
              <w:pStyle w:val="ListBullet"/>
              <w:spacing w:before="60" w:after="60"/>
              <w:ind w:left="1080" w:hanging="357"/>
              <w:contextualSpacing w:val="0"/>
            </w:pPr>
            <w:r>
              <w:t>NOAEC of 0.04 ppm (0.08 mg/m</w:t>
            </w:r>
            <w:r>
              <w:rPr>
                <w:vertAlign w:val="superscript"/>
              </w:rPr>
              <w:t>3</w:t>
            </w:r>
            <w:r>
              <w:t>) and LOAEC of 0.4 ppm (0.76 mg/m</w:t>
            </w:r>
            <w:r>
              <w:rPr>
                <w:vertAlign w:val="superscript"/>
              </w:rPr>
              <w:t>3</w:t>
            </w:r>
            <w:r>
              <w:t xml:space="preserve">) in rats; continuous exposure for 9, 18 and </w:t>
            </w:r>
            <w:r w:rsidR="000C0582">
              <w:t>27</w:t>
            </w:r>
            <w:r>
              <w:t xml:space="preserve"> mo; concentrations 0.04, 0.4 or 4 ppm</w:t>
            </w:r>
          </w:p>
          <w:p w14:paraId="3E3471A8" w14:textId="0EC9CC2F" w:rsidR="00D97658" w:rsidRDefault="00AA1074" w:rsidP="0023448A">
            <w:pPr>
              <w:pStyle w:val="ListBullet"/>
              <w:numPr>
                <w:ilvl w:val="0"/>
                <w:numId w:val="8"/>
              </w:numPr>
              <w:spacing w:before="60" w:after="60"/>
              <w:ind w:hanging="357"/>
              <w:contextualSpacing w:val="0"/>
            </w:pPr>
            <w:r>
              <w:t>a</w:t>
            </w:r>
            <w:r w:rsidR="000C0582">
              <w:t xml:space="preserve">fter 9 mo: 4 ppm </w:t>
            </w:r>
            <w:r>
              <w:t>hypertropia</w:t>
            </w:r>
            <w:r w:rsidR="00D97658">
              <w:t xml:space="preserve"> and hyperplasia of bronchial mucosa and thickening of walls through the bronchopulmonary junction of alveolar duct with cell infiltration and increase in Clara cells</w:t>
            </w:r>
            <w:r w:rsidR="000C0582">
              <w:t>; no changes at other concentrations</w:t>
            </w:r>
          </w:p>
          <w:p w14:paraId="3AACFF45" w14:textId="166D76C6" w:rsidR="000C0582" w:rsidRDefault="00AA1074" w:rsidP="0023448A">
            <w:pPr>
              <w:pStyle w:val="ListBullet"/>
              <w:numPr>
                <w:ilvl w:val="0"/>
                <w:numId w:val="8"/>
              </w:numPr>
              <w:spacing w:before="60" w:after="60"/>
              <w:ind w:hanging="357"/>
              <w:contextualSpacing w:val="0"/>
            </w:pPr>
            <w:r>
              <w:t>a</w:t>
            </w:r>
            <w:r w:rsidR="000C0582">
              <w:t>fter 18 mo: no changes at 0.04 ppm; epithelial changes and interstitial oedema of alveolar wall at 0.4 ppm</w:t>
            </w:r>
          </w:p>
          <w:p w14:paraId="705D7BCD" w14:textId="57E23D4A" w:rsidR="000C0582" w:rsidRDefault="00AA1074" w:rsidP="0023448A">
            <w:pPr>
              <w:pStyle w:val="ListBullet"/>
              <w:numPr>
                <w:ilvl w:val="0"/>
                <w:numId w:val="8"/>
              </w:numPr>
              <w:spacing w:before="60" w:after="60"/>
              <w:ind w:hanging="357"/>
              <w:contextualSpacing w:val="0"/>
            </w:pPr>
            <w:r>
              <w:t>after 27 mo: i</w:t>
            </w:r>
            <w:r w:rsidR="000C0582">
              <w:t>nterstitial fibrosis and hyperplasia of epithelium progressed steadily at 4 ppm; definite alteration of the epithelium became evident at 0.4</w:t>
            </w:r>
            <w:r w:rsidR="004777AA">
              <w:t xml:space="preserve"> </w:t>
            </w:r>
            <w:r w:rsidR="000C0582">
              <w:t>ppm; no lung morphology changes at 0.04 ppm</w:t>
            </w:r>
          </w:p>
          <w:p w14:paraId="727E51BC" w14:textId="4264439D" w:rsidR="00077C0C" w:rsidRDefault="00AA1074" w:rsidP="0023448A">
            <w:pPr>
              <w:pStyle w:val="ListBullet"/>
              <w:numPr>
                <w:ilvl w:val="0"/>
                <w:numId w:val="8"/>
              </w:numPr>
              <w:spacing w:before="60" w:after="60"/>
              <w:ind w:hanging="357"/>
              <w:contextualSpacing w:val="0"/>
            </w:pPr>
            <w:r>
              <w:t>c</w:t>
            </w:r>
            <w:r w:rsidR="00077C0C">
              <w:t>onsiders gap of 10-fold between NOAEL and LOAEL to</w:t>
            </w:r>
            <w:r w:rsidR="0081558D">
              <w:t>o</w:t>
            </w:r>
            <w:r w:rsidR="00077C0C">
              <w:t xml:space="preserve"> </w:t>
            </w:r>
            <w:r w:rsidR="0081558D">
              <w:t>large</w:t>
            </w:r>
            <w:r w:rsidR="00077C0C">
              <w:t>; the "real" NOAEL may be higher</w:t>
            </w:r>
          </w:p>
          <w:p w14:paraId="0FB59E18" w14:textId="722C22C4" w:rsidR="0081558D" w:rsidRDefault="0081558D" w:rsidP="0023448A">
            <w:pPr>
              <w:pStyle w:val="ListBullet"/>
              <w:spacing w:before="60" w:after="60"/>
              <w:ind w:left="1080" w:hanging="357"/>
              <w:contextualSpacing w:val="0"/>
            </w:pPr>
            <w:r>
              <w:t xml:space="preserve">No treatment related changes in lung morphology, lung function and pulmonary host defence in mice, </w:t>
            </w:r>
            <w:r w:rsidR="004777AA">
              <w:t xml:space="preserve">continuously </w:t>
            </w:r>
            <w:r w:rsidR="00393976">
              <w:t>exposed at</w:t>
            </w:r>
            <w:r>
              <w:t xml:space="preserve"> </w:t>
            </w:r>
            <w:r w:rsidR="00393976">
              <w:t>0.2 ppm (</w:t>
            </w:r>
            <w:r>
              <w:t>0.38 mg/m</w:t>
            </w:r>
            <w:r w:rsidRPr="00393976">
              <w:rPr>
                <w:vertAlign w:val="superscript"/>
              </w:rPr>
              <w:t>3</w:t>
            </w:r>
            <w:r w:rsidR="00393976">
              <w:t xml:space="preserve">) </w:t>
            </w:r>
            <w:r>
              <w:t xml:space="preserve">for up to </w:t>
            </w:r>
            <w:r w:rsidR="00393976">
              <w:t xml:space="preserve">12 mo; </w:t>
            </w:r>
            <w:r w:rsidR="00690399">
              <w:t>considered the NOAEC</w:t>
            </w:r>
            <w:r w:rsidR="00393976">
              <w:t xml:space="preserve"> for derivation of the TWA</w:t>
            </w:r>
          </w:p>
          <w:p w14:paraId="28A17F84" w14:textId="6EAAD095" w:rsidR="00D97658" w:rsidRDefault="00D97658" w:rsidP="0023448A">
            <w:pPr>
              <w:pStyle w:val="ListBullet"/>
              <w:spacing w:before="60" w:after="60"/>
              <w:ind w:left="1080" w:hanging="357"/>
              <w:contextualSpacing w:val="0"/>
            </w:pPr>
            <w:r>
              <w:t xml:space="preserve">Clinical studies on healthy volunteers showed toxicological significant effects on lung function or respiratory resistance from exposure </w:t>
            </w:r>
            <w:r>
              <w:rPr>
                <w:rFonts w:cs="Arial"/>
              </w:rPr>
              <w:t>≥</w:t>
            </w:r>
            <w:r>
              <w:t>2 ppm (3.8 mg/m</w:t>
            </w:r>
            <w:r w:rsidRPr="00A03158">
              <w:rPr>
                <w:vertAlign w:val="superscript"/>
              </w:rPr>
              <w:t>3</w:t>
            </w:r>
            <w:r>
              <w:t>)</w:t>
            </w:r>
          </w:p>
          <w:p w14:paraId="0BA6BB10" w14:textId="77777777" w:rsidR="00A03158" w:rsidRDefault="00801C62" w:rsidP="0023448A">
            <w:pPr>
              <w:pStyle w:val="ListBullet"/>
              <w:spacing w:before="60" w:after="60"/>
              <w:ind w:left="1080" w:hanging="357"/>
              <w:contextualSpacing w:val="0"/>
            </w:pPr>
            <w:r>
              <w:t>Considered a NOA</w:t>
            </w:r>
            <w:r w:rsidR="006221EC">
              <w:t>EL of 0.5</w:t>
            </w:r>
            <w:r>
              <w:t xml:space="preserve"> ppm (1 mg/m</w:t>
            </w:r>
            <w:r>
              <w:rPr>
                <w:vertAlign w:val="superscript"/>
              </w:rPr>
              <w:t>3</w:t>
            </w:r>
            <w:r>
              <w:t>) based on human volunteer studies; no further information</w:t>
            </w:r>
            <w:r w:rsidR="006221EC">
              <w:t>; basis for STEL</w:t>
            </w:r>
            <w:r w:rsidR="00AA1074">
              <w:t>.</w:t>
            </w:r>
          </w:p>
          <w:p w14:paraId="25E14AA3" w14:textId="7AE05841" w:rsidR="00391D16" w:rsidRPr="00DA352E" w:rsidRDefault="00391D16" w:rsidP="00391D16">
            <w:pPr>
              <w:pStyle w:val="ListBullet"/>
              <w:numPr>
                <w:ilvl w:val="0"/>
                <w:numId w:val="0"/>
              </w:numPr>
              <w:spacing w:before="60" w:after="60"/>
              <w:ind w:left="1080"/>
              <w:contextualSpacing w:val="0"/>
            </w:pPr>
          </w:p>
        </w:tc>
      </w:tr>
    </w:tbl>
    <w:p w14:paraId="41F77154" w14:textId="77777777" w:rsidR="00A20751" w:rsidRPr="004C23F4" w:rsidRDefault="00A20751" w:rsidP="003365A5">
      <w:pPr>
        <w:pStyle w:val="Heading3"/>
      </w:pPr>
      <w:bookmarkStart w:id="0" w:name="SecondSource"/>
      <w:r w:rsidRPr="004C23F4">
        <w:lastRenderedPageBreak/>
        <w:t xml:space="preserve">Secondary </w:t>
      </w:r>
      <w:r w:rsidR="0088798F">
        <w:t xml:space="preserve">source reports relied upon </w:t>
      </w:r>
    </w:p>
    <w:p w14:paraId="49515B5C" w14:textId="6246E767" w:rsidR="007E2A4B" w:rsidRDefault="00AA1074">
      <w:r>
        <w:t xml:space="preserve">NIL. </w:t>
      </w:r>
    </w:p>
    <w:bookmarkEnd w:id="0"/>
    <w:p w14:paraId="512ABE2C"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64E5DF26" w14:textId="77777777" w:rsidTr="004777AA">
        <w:trPr>
          <w:trHeight w:val="454"/>
          <w:tblHeader/>
        </w:trPr>
        <w:tc>
          <w:tcPr>
            <w:tcW w:w="6603" w:type="dxa"/>
            <w:vAlign w:val="center"/>
          </w:tcPr>
          <w:p w14:paraId="6FCE9172"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62AEBF18" w14:textId="299C7BEA" w:rsidR="002E0D61" w:rsidRDefault="004777AA" w:rsidP="00C3091E">
                <w:pPr>
                  <w:pStyle w:val="Tablefont"/>
                  <w:keepNext/>
                  <w:keepLines/>
                  <w:spacing w:before="40" w:after="40"/>
                </w:pPr>
                <w:r>
                  <w:t>No</w:t>
                </w:r>
              </w:p>
            </w:tc>
          </w:sdtContent>
        </w:sdt>
      </w:tr>
      <w:tr w:rsidR="008A36CF" w14:paraId="372BF332" w14:textId="77777777" w:rsidTr="004777AA">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2AAFE0AE" w14:textId="271C1B22" w:rsidR="008A36CF" w:rsidRPr="006901A2" w:rsidRDefault="004777AA"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384B2DE1" w14:textId="77777777" w:rsidR="008A36CF" w:rsidRDefault="008A36CF" w:rsidP="008A36CF">
            <w:pPr>
              <w:pStyle w:val="Tablefont"/>
              <w:keepNext/>
              <w:keepLines/>
              <w:spacing w:before="40" w:after="40"/>
            </w:pPr>
          </w:p>
        </w:tc>
      </w:tr>
    </w:tbl>
    <w:bookmarkEnd w:id="1"/>
    <w:p w14:paraId="6E0E8A8F"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2070CFE0" w14:textId="77777777" w:rsidTr="00812887">
        <w:trPr>
          <w:cantSplit/>
          <w:tblHeader/>
        </w:trPr>
        <w:tc>
          <w:tcPr>
            <w:tcW w:w="3227" w:type="dxa"/>
            <w:shd w:val="clear" w:color="auto" w:fill="BFBFBF" w:themeFill="background1" w:themeFillShade="BF"/>
            <w:vAlign w:val="center"/>
          </w:tcPr>
          <w:p w14:paraId="3EE67AA6"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2AFBFEF5" w14:textId="77777777" w:rsidR="00687890" w:rsidRPr="004C23F4" w:rsidRDefault="00687890" w:rsidP="00F4402E">
            <w:pPr>
              <w:pStyle w:val="Tableheader"/>
              <w:tabs>
                <w:tab w:val="right" w:pos="5272"/>
              </w:tabs>
            </w:pPr>
            <w:r w:rsidRPr="004C23F4">
              <w:t>Notations</w:t>
            </w:r>
            <w:r w:rsidR="003A2B94">
              <w:tab/>
            </w:r>
          </w:p>
        </w:tc>
      </w:tr>
      <w:tr w:rsidR="00687890" w:rsidRPr="004C23F4" w14:paraId="21890AF7" w14:textId="77777777" w:rsidTr="00812887">
        <w:trPr>
          <w:cantSplit/>
        </w:trPr>
        <w:tc>
          <w:tcPr>
            <w:tcW w:w="3227" w:type="dxa"/>
          </w:tcPr>
          <w:p w14:paraId="22E39A2C" w14:textId="77777777" w:rsidR="004079B4" w:rsidRPr="004C23F4" w:rsidRDefault="00084513" w:rsidP="00F4402E">
            <w:pPr>
              <w:pStyle w:val="Tablefont"/>
            </w:pPr>
            <w:r w:rsidRPr="004C23F4">
              <w:t>SWA</w:t>
            </w:r>
          </w:p>
        </w:tc>
        <w:tc>
          <w:tcPr>
            <w:tcW w:w="6015" w:type="dxa"/>
          </w:tcPr>
          <w:p w14:paraId="109E3CA4" w14:textId="77777777" w:rsidR="00687890" w:rsidRPr="00DD2F9B" w:rsidRDefault="00732282" w:rsidP="00DD2F9B">
            <w:pPr>
              <w:pStyle w:val="Tablefont"/>
            </w:pPr>
            <w:r>
              <w:t>NA</w:t>
            </w:r>
          </w:p>
        </w:tc>
      </w:tr>
      <w:tr w:rsidR="007925F0" w:rsidRPr="004C23F4" w14:paraId="0D15B4FA" w14:textId="77777777" w:rsidTr="00812887">
        <w:trPr>
          <w:cantSplit/>
        </w:trPr>
        <w:tc>
          <w:tcPr>
            <w:tcW w:w="3227" w:type="dxa"/>
          </w:tcPr>
          <w:p w14:paraId="21765FBA" w14:textId="77777777" w:rsidR="004079B4" w:rsidRPr="004C23F4" w:rsidRDefault="007925F0" w:rsidP="00F4402E">
            <w:pPr>
              <w:pStyle w:val="Tablefont"/>
            </w:pPr>
            <w:r>
              <w:t>HCIS</w:t>
            </w:r>
          </w:p>
        </w:tc>
        <w:tc>
          <w:tcPr>
            <w:tcW w:w="6015" w:type="dxa"/>
          </w:tcPr>
          <w:p w14:paraId="55432CAC" w14:textId="77777777" w:rsidR="007925F0" w:rsidRPr="00DD2F9B" w:rsidRDefault="00732282" w:rsidP="00DD2F9B">
            <w:pPr>
              <w:pStyle w:val="Tablefont"/>
            </w:pPr>
            <w:r>
              <w:t>NA</w:t>
            </w:r>
          </w:p>
        </w:tc>
      </w:tr>
      <w:tr w:rsidR="00AF483F" w:rsidRPr="004C23F4" w14:paraId="733633EE" w14:textId="77777777" w:rsidTr="00812887">
        <w:trPr>
          <w:cantSplit/>
        </w:trPr>
        <w:tc>
          <w:tcPr>
            <w:tcW w:w="3227" w:type="dxa"/>
          </w:tcPr>
          <w:p w14:paraId="14CCA347" w14:textId="77777777" w:rsidR="00AF483F" w:rsidRPr="004C23F4" w:rsidRDefault="00AF483F" w:rsidP="00F4402E">
            <w:pPr>
              <w:pStyle w:val="Tablefont"/>
            </w:pPr>
            <w:r>
              <w:t>NICNAS</w:t>
            </w:r>
          </w:p>
        </w:tc>
        <w:tc>
          <w:tcPr>
            <w:tcW w:w="6015" w:type="dxa"/>
          </w:tcPr>
          <w:p w14:paraId="09A0A713" w14:textId="77777777" w:rsidR="00AF483F" w:rsidRPr="00DD2F9B" w:rsidRDefault="003B528A" w:rsidP="00DD2F9B">
            <w:pPr>
              <w:pStyle w:val="Tablefont"/>
            </w:pPr>
            <w:r>
              <w:t>NA</w:t>
            </w:r>
          </w:p>
        </w:tc>
      </w:tr>
      <w:tr w:rsidR="00687890" w:rsidRPr="004C23F4" w14:paraId="0ABCAF2C" w14:textId="77777777" w:rsidTr="00812887">
        <w:trPr>
          <w:cantSplit/>
        </w:trPr>
        <w:tc>
          <w:tcPr>
            <w:tcW w:w="3227" w:type="dxa"/>
          </w:tcPr>
          <w:p w14:paraId="01731BDD" w14:textId="77777777" w:rsidR="004079B4" w:rsidRPr="004C23F4" w:rsidRDefault="00687890" w:rsidP="00F4402E">
            <w:pPr>
              <w:pStyle w:val="Tablefont"/>
            </w:pPr>
            <w:r w:rsidRPr="004C23F4">
              <w:t>EU Annex</w:t>
            </w:r>
          </w:p>
        </w:tc>
        <w:tc>
          <w:tcPr>
            <w:tcW w:w="6015" w:type="dxa"/>
          </w:tcPr>
          <w:p w14:paraId="38009E10" w14:textId="77777777" w:rsidR="00687890" w:rsidRPr="00DD2F9B" w:rsidRDefault="003B528A" w:rsidP="00DD2F9B">
            <w:pPr>
              <w:pStyle w:val="Tablefont"/>
            </w:pPr>
            <w:r>
              <w:t>NA</w:t>
            </w:r>
          </w:p>
        </w:tc>
      </w:tr>
      <w:tr w:rsidR="00E41A26" w:rsidRPr="004C23F4" w14:paraId="54DD02E2" w14:textId="77777777" w:rsidTr="00812887">
        <w:trPr>
          <w:cantSplit/>
        </w:trPr>
        <w:tc>
          <w:tcPr>
            <w:tcW w:w="3227" w:type="dxa"/>
          </w:tcPr>
          <w:p w14:paraId="0398E462" w14:textId="77777777" w:rsidR="00E41A26" w:rsidRDefault="00E41A26" w:rsidP="00F4402E">
            <w:pPr>
              <w:pStyle w:val="Tablefont"/>
            </w:pPr>
            <w:r>
              <w:t>ECHA</w:t>
            </w:r>
          </w:p>
        </w:tc>
        <w:tc>
          <w:tcPr>
            <w:tcW w:w="6015" w:type="dxa"/>
          </w:tcPr>
          <w:p w14:paraId="1B7E3C53" w14:textId="77777777" w:rsidR="00E41A26" w:rsidRPr="00DD2F9B" w:rsidRDefault="003B528A" w:rsidP="00DD2F9B">
            <w:pPr>
              <w:pStyle w:val="Tablefont"/>
            </w:pPr>
            <w:r>
              <w:t>NA</w:t>
            </w:r>
          </w:p>
        </w:tc>
      </w:tr>
      <w:tr w:rsidR="002E0D61" w:rsidRPr="004C23F4" w14:paraId="770335DA" w14:textId="77777777" w:rsidTr="00812887">
        <w:trPr>
          <w:cantSplit/>
        </w:trPr>
        <w:tc>
          <w:tcPr>
            <w:tcW w:w="3227" w:type="dxa"/>
          </w:tcPr>
          <w:p w14:paraId="3DC483ED" w14:textId="77777777" w:rsidR="004079B4" w:rsidRPr="004C23F4" w:rsidRDefault="002E0D61" w:rsidP="00F4402E">
            <w:pPr>
              <w:pStyle w:val="Tablefont"/>
            </w:pPr>
            <w:r>
              <w:t>ACGIH</w:t>
            </w:r>
          </w:p>
        </w:tc>
        <w:tc>
          <w:tcPr>
            <w:tcW w:w="6015" w:type="dxa"/>
          </w:tcPr>
          <w:p w14:paraId="3705DD2F" w14:textId="77777777" w:rsidR="002E0D61" w:rsidRPr="00DD2F9B" w:rsidRDefault="00732282" w:rsidP="00DD2F9B">
            <w:pPr>
              <w:pStyle w:val="Tablefont"/>
            </w:pPr>
            <w:r w:rsidRPr="00732282">
              <w:t>Carcinogenicity – A4</w:t>
            </w:r>
          </w:p>
        </w:tc>
      </w:tr>
      <w:tr w:rsidR="002E0D61" w:rsidRPr="004C23F4" w14:paraId="529326AA" w14:textId="77777777" w:rsidTr="00812887">
        <w:trPr>
          <w:cantSplit/>
        </w:trPr>
        <w:tc>
          <w:tcPr>
            <w:tcW w:w="3227" w:type="dxa"/>
          </w:tcPr>
          <w:p w14:paraId="5135EDF8" w14:textId="77777777" w:rsidR="004079B4" w:rsidRPr="004C23F4" w:rsidRDefault="002E0D61" w:rsidP="00F4402E">
            <w:pPr>
              <w:pStyle w:val="Tablefont"/>
            </w:pPr>
            <w:r>
              <w:t>DFG</w:t>
            </w:r>
          </w:p>
        </w:tc>
        <w:tc>
          <w:tcPr>
            <w:tcW w:w="6015" w:type="dxa"/>
          </w:tcPr>
          <w:p w14:paraId="1CF73403" w14:textId="77777777" w:rsidR="002E0D61" w:rsidRPr="00DD2F9B" w:rsidRDefault="00756A8F" w:rsidP="00DD2F9B">
            <w:pPr>
              <w:pStyle w:val="Tablefont"/>
            </w:pPr>
            <w:r w:rsidRPr="00756A8F">
              <w:t>Carcinogenicity – 3B</w:t>
            </w:r>
          </w:p>
        </w:tc>
      </w:tr>
      <w:tr w:rsidR="002E0D61" w:rsidRPr="004C23F4" w14:paraId="299A3479" w14:textId="77777777" w:rsidTr="00812887">
        <w:trPr>
          <w:cantSplit/>
        </w:trPr>
        <w:tc>
          <w:tcPr>
            <w:tcW w:w="3227" w:type="dxa"/>
          </w:tcPr>
          <w:p w14:paraId="723F1DD9" w14:textId="77777777" w:rsidR="004079B4" w:rsidRPr="004C23F4" w:rsidRDefault="002E0D61" w:rsidP="00F4402E">
            <w:pPr>
              <w:pStyle w:val="Tablefont"/>
            </w:pPr>
            <w:r>
              <w:t>SCOEL</w:t>
            </w:r>
          </w:p>
        </w:tc>
        <w:tc>
          <w:tcPr>
            <w:tcW w:w="6015" w:type="dxa"/>
          </w:tcPr>
          <w:p w14:paraId="7A6902B8" w14:textId="77777777" w:rsidR="002E0D61" w:rsidRPr="00DD2F9B" w:rsidRDefault="00DE034B" w:rsidP="00DD2F9B">
            <w:pPr>
              <w:pStyle w:val="Tablefont"/>
            </w:pPr>
            <w:r>
              <w:t>NA</w:t>
            </w:r>
          </w:p>
        </w:tc>
      </w:tr>
      <w:tr w:rsidR="002E0D61" w:rsidRPr="004C23F4" w14:paraId="77C5C437" w14:textId="77777777" w:rsidTr="00812887">
        <w:trPr>
          <w:cantSplit/>
        </w:trPr>
        <w:tc>
          <w:tcPr>
            <w:tcW w:w="3227" w:type="dxa"/>
          </w:tcPr>
          <w:p w14:paraId="1BDBC187" w14:textId="77777777" w:rsidR="004079B4" w:rsidRDefault="002E0D61" w:rsidP="00F4402E">
            <w:pPr>
              <w:pStyle w:val="Tablefont"/>
            </w:pPr>
            <w:r>
              <w:t>HCOTN</w:t>
            </w:r>
          </w:p>
        </w:tc>
        <w:tc>
          <w:tcPr>
            <w:tcW w:w="6015" w:type="dxa"/>
          </w:tcPr>
          <w:p w14:paraId="589C1B07" w14:textId="77777777" w:rsidR="002E0D61" w:rsidRPr="00DD2F9B" w:rsidRDefault="003B528A" w:rsidP="00DD2F9B">
            <w:pPr>
              <w:pStyle w:val="Tablefont"/>
            </w:pPr>
            <w:r>
              <w:t>NA</w:t>
            </w:r>
          </w:p>
        </w:tc>
      </w:tr>
      <w:tr w:rsidR="00386093" w:rsidRPr="004C23F4" w14:paraId="478A5EBD" w14:textId="77777777" w:rsidTr="00812887">
        <w:trPr>
          <w:cantSplit/>
        </w:trPr>
        <w:tc>
          <w:tcPr>
            <w:tcW w:w="3227" w:type="dxa"/>
          </w:tcPr>
          <w:p w14:paraId="790568AA" w14:textId="77777777" w:rsidR="004079B4" w:rsidRDefault="00386093" w:rsidP="00F4402E">
            <w:pPr>
              <w:pStyle w:val="Tablefont"/>
            </w:pPr>
            <w:r>
              <w:t>IARC</w:t>
            </w:r>
          </w:p>
        </w:tc>
        <w:tc>
          <w:tcPr>
            <w:tcW w:w="6015" w:type="dxa"/>
          </w:tcPr>
          <w:p w14:paraId="5F8D372B" w14:textId="77777777" w:rsidR="00386093" w:rsidRPr="00DD2F9B" w:rsidRDefault="003B528A" w:rsidP="00DD2F9B">
            <w:pPr>
              <w:pStyle w:val="Tablefont"/>
            </w:pPr>
            <w:r>
              <w:t>NA</w:t>
            </w:r>
          </w:p>
        </w:tc>
      </w:tr>
      <w:tr w:rsidR="00386093" w:rsidRPr="004C23F4" w14:paraId="0AC44D9B" w14:textId="77777777" w:rsidTr="00812887">
        <w:trPr>
          <w:cantSplit/>
        </w:trPr>
        <w:tc>
          <w:tcPr>
            <w:tcW w:w="3227" w:type="dxa"/>
          </w:tcPr>
          <w:p w14:paraId="226144A4" w14:textId="77777777" w:rsidR="004079B4" w:rsidRDefault="00386093" w:rsidP="00F4402E">
            <w:pPr>
              <w:pStyle w:val="Tablefont"/>
              <w:keepNext/>
            </w:pPr>
            <w:r>
              <w:lastRenderedPageBreak/>
              <w:t>US NIOSH</w:t>
            </w:r>
          </w:p>
        </w:tc>
        <w:tc>
          <w:tcPr>
            <w:tcW w:w="6015" w:type="dxa"/>
          </w:tcPr>
          <w:p w14:paraId="0893021A" w14:textId="77777777" w:rsidR="00386093" w:rsidRPr="00DD2F9B" w:rsidRDefault="003B528A" w:rsidP="00D87570">
            <w:pPr>
              <w:pStyle w:val="Tablefont"/>
              <w:keepNext/>
            </w:pPr>
            <w:r>
              <w:t>NA</w:t>
            </w:r>
          </w:p>
        </w:tc>
      </w:tr>
    </w:tbl>
    <w:bookmarkEnd w:id="2"/>
    <w:p w14:paraId="27E1E297"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1FBE85F0"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04DD3A2D" w14:textId="77777777" w:rsidTr="00EA6243">
        <w:trPr>
          <w:cantSplit/>
          <w:tblHeader/>
        </w:trPr>
        <w:tc>
          <w:tcPr>
            <w:tcW w:w="5000" w:type="pct"/>
            <w:shd w:val="clear" w:color="auto" w:fill="BFBFBF" w:themeFill="background1" w:themeFillShade="BF"/>
            <w:vAlign w:val="center"/>
          </w:tcPr>
          <w:p w14:paraId="6B24FBD0"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3E399654" w14:textId="77777777" w:rsidTr="00EA6243">
        <w:trPr>
          <w:cantSplit/>
          <w:tblHeader/>
        </w:trPr>
        <w:tc>
          <w:tcPr>
            <w:tcW w:w="5000" w:type="pct"/>
            <w:vAlign w:val="center"/>
          </w:tcPr>
          <w:p w14:paraId="360D7B22" w14:textId="349B2F08" w:rsidR="00932DCE" w:rsidRPr="004C23F4" w:rsidRDefault="00AA1074" w:rsidP="00F9496B">
            <w:pPr>
              <w:pStyle w:val="Tablefont"/>
            </w:pPr>
            <w:r>
              <w:t>Insufficient data to assign a skin notation.</w:t>
            </w:r>
          </w:p>
        </w:tc>
      </w:tr>
    </w:tbl>
    <w:bookmarkEnd w:id="3"/>
    <w:p w14:paraId="4248D93A"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32C1A246" w14:textId="77777777" w:rsidTr="00610F2E">
        <w:trPr>
          <w:trHeight w:val="454"/>
          <w:tblHeader/>
        </w:trPr>
        <w:tc>
          <w:tcPr>
            <w:tcW w:w="4361" w:type="dxa"/>
            <w:vAlign w:val="center"/>
          </w:tcPr>
          <w:p w14:paraId="7FC24F32"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C653C28" w14:textId="0682DE49" w:rsidR="00EB3D1B" w:rsidRDefault="00BC3532" w:rsidP="00EB3D1B">
                <w:pPr>
                  <w:pStyle w:val="Tablefont"/>
                </w:pPr>
                <w:r>
                  <w:t>Yes</w:t>
                </w:r>
              </w:p>
            </w:tc>
          </w:sdtContent>
        </w:sdt>
      </w:tr>
    </w:tbl>
    <w:p w14:paraId="497B25CE"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63562AEC" w14:textId="77777777" w:rsidTr="00EA6243">
        <w:trPr>
          <w:cantSplit/>
          <w:tblHeader/>
        </w:trPr>
        <w:tc>
          <w:tcPr>
            <w:tcW w:w="4077" w:type="dxa"/>
            <w:vAlign w:val="center"/>
          </w:tcPr>
          <w:p w14:paraId="14662987"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2E53E3C8" w14:textId="77777777" w:rsidR="001B79E5" w:rsidRDefault="00790DBA" w:rsidP="001B79E5">
                <w:pPr>
                  <w:pStyle w:val="Tablefont"/>
                </w:pPr>
                <w:r>
                  <w:t>40.01</w:t>
                </w:r>
              </w:p>
            </w:tc>
          </w:sdtContent>
        </w:sdt>
      </w:tr>
      <w:tr w:rsidR="00A31D99" w:rsidRPr="004C23F4" w14:paraId="7655106D" w14:textId="77777777" w:rsidTr="00EA6243">
        <w:trPr>
          <w:cantSplit/>
          <w:tblHeader/>
        </w:trPr>
        <w:tc>
          <w:tcPr>
            <w:tcW w:w="4077" w:type="dxa"/>
            <w:vAlign w:val="center"/>
          </w:tcPr>
          <w:p w14:paraId="7BB99392"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195F4133"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382C76D5" w14:textId="77777777" w:rsidTr="00EA6243">
        <w:trPr>
          <w:cantSplit/>
          <w:tblHeader/>
        </w:trPr>
        <w:tc>
          <w:tcPr>
            <w:tcW w:w="4077" w:type="dxa"/>
            <w:vAlign w:val="center"/>
          </w:tcPr>
          <w:p w14:paraId="386409B4"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70D50BA4"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2AEC51A8" w14:textId="77777777" w:rsidTr="00EA6243">
        <w:trPr>
          <w:cantSplit/>
        </w:trPr>
        <w:tc>
          <w:tcPr>
            <w:tcW w:w="4077" w:type="dxa"/>
            <w:vAlign w:val="center"/>
          </w:tcPr>
          <w:p w14:paraId="1CD7A4B8"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17D6EA6F"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3CE869FA" w14:textId="77777777" w:rsidTr="00EA6243">
        <w:trPr>
          <w:cantSplit/>
        </w:trPr>
        <w:tc>
          <w:tcPr>
            <w:tcW w:w="4077" w:type="dxa"/>
            <w:vAlign w:val="center"/>
          </w:tcPr>
          <w:p w14:paraId="47056FC0" w14:textId="77777777" w:rsidR="00687890" w:rsidRPr="00263255" w:rsidRDefault="00687890" w:rsidP="00263255">
            <w:pPr>
              <w:pStyle w:val="Tablefont"/>
            </w:pPr>
            <w:r w:rsidRPr="00263255">
              <w:t>This chemical is a by-product of a process:</w:t>
            </w:r>
          </w:p>
        </w:tc>
        <w:sdt>
          <w:sdtPr>
            <w:id w:val="-863134491"/>
            <w14:checkbox>
              <w14:checked w14:val="1"/>
              <w14:checkedState w14:val="00FC" w14:font="Wingdings"/>
              <w14:uncheckedState w14:val="2610" w14:font="MS Gothic"/>
            </w14:checkbox>
          </w:sdtPr>
          <w:sdtEndPr/>
          <w:sdtContent>
            <w:tc>
              <w:tcPr>
                <w:tcW w:w="5165" w:type="dxa"/>
                <w:vAlign w:val="center"/>
              </w:tcPr>
              <w:p w14:paraId="369CEACC" w14:textId="47FE2458" w:rsidR="00687890" w:rsidRPr="004C23F4" w:rsidRDefault="00AA1074" w:rsidP="00717D45">
                <w:pPr>
                  <w:pStyle w:val="Tablefont"/>
                </w:pPr>
                <w:r>
                  <w:sym w:font="Wingdings" w:char="F0FC"/>
                </w:r>
              </w:p>
            </w:tc>
          </w:sdtContent>
        </w:sdt>
      </w:tr>
      <w:tr w:rsidR="00E06F40" w:rsidRPr="004C23F4" w14:paraId="71199E99" w14:textId="77777777" w:rsidTr="00EA6243">
        <w:trPr>
          <w:cantSplit/>
        </w:trPr>
        <w:tc>
          <w:tcPr>
            <w:tcW w:w="4077" w:type="dxa"/>
            <w:vAlign w:val="center"/>
          </w:tcPr>
          <w:p w14:paraId="3B367BCE"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34385B76" w14:textId="77777777" w:rsidR="00E06F40" w:rsidRPr="00A006A0" w:rsidRDefault="00F368DF"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7EE64086"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49C01611" w14:textId="77777777" w:rsidTr="00F053FA">
        <w:trPr>
          <w:tblHeader/>
        </w:trPr>
        <w:tc>
          <w:tcPr>
            <w:tcW w:w="4077" w:type="dxa"/>
            <w:shd w:val="clear" w:color="auto" w:fill="BFBFBF" w:themeFill="background1" w:themeFillShade="BF"/>
            <w:vAlign w:val="center"/>
          </w:tcPr>
          <w:p w14:paraId="62465914"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3FD42C9B" w14:textId="77777777" w:rsidR="00224EE2" w:rsidRPr="004C23F4" w:rsidRDefault="00224EE2" w:rsidP="00EB3D1B">
            <w:pPr>
              <w:pStyle w:val="Tableheader"/>
              <w:keepNext/>
              <w:keepLines/>
            </w:pPr>
            <w:r>
              <w:t>Standard</w:t>
            </w:r>
          </w:p>
        </w:tc>
      </w:tr>
      <w:tr w:rsidR="007F1005" w:rsidRPr="004C23F4" w14:paraId="6F69FC5C" w14:textId="77777777" w:rsidTr="00F053FA">
        <w:trPr>
          <w:tblHeader/>
        </w:trPr>
        <w:sdt>
          <w:sdtPr>
            <w:id w:val="-25557549"/>
            <w:placeholder>
              <w:docPart w:val="2BF891C0AB704CDAB9BC6E80D556473F"/>
            </w:placeholder>
            <w:showingPlcHdr/>
            <w:text/>
          </w:sdtPr>
          <w:sdtEndPr/>
          <w:sdtContent>
            <w:tc>
              <w:tcPr>
                <w:tcW w:w="4077" w:type="dxa"/>
                <w:vAlign w:val="center"/>
              </w:tcPr>
              <w:p w14:paraId="691B6942"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5BA1F612" w14:textId="77777777" w:rsidR="007F1005" w:rsidRPr="004C23F4" w:rsidRDefault="007F1005" w:rsidP="00EB3D1B">
            <w:pPr>
              <w:pStyle w:val="Tablefont"/>
              <w:keepLines/>
            </w:pPr>
          </w:p>
        </w:tc>
      </w:tr>
    </w:tbl>
    <w:bookmarkEnd w:id="4"/>
    <w:p w14:paraId="50033DDF" w14:textId="77777777" w:rsidR="00F87D92" w:rsidRDefault="00F87D92" w:rsidP="00EF7F78">
      <w:pPr>
        <w:pStyle w:val="Heading2"/>
        <w:tabs>
          <w:tab w:val="right" w:pos="8505"/>
        </w:tabs>
      </w:pPr>
      <w:r>
        <w:t>References</w:t>
      </w:r>
      <w:r w:rsidR="00EF7F78">
        <w:tab/>
      </w:r>
    </w:p>
    <w:p w14:paraId="276975F2" w14:textId="0A53013D"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109A4FD9" w14:textId="38EBAADB" w:rsidR="00723970" w:rsidRDefault="00723970" w:rsidP="00723970">
      <w:pPr>
        <w:rPr>
          <w:b/>
        </w:rPr>
      </w:pPr>
      <w:r w:rsidRPr="002022B6">
        <w:t>Deutsche Forschungsgemeinschaft (DFG)</w:t>
      </w:r>
      <w:r>
        <w:t xml:space="preserve"> (</w:t>
      </w:r>
      <w:r w:rsidR="00CF373F">
        <w:t>2010</w:t>
      </w:r>
      <w:r>
        <w:t xml:space="preserve">) </w:t>
      </w:r>
      <w:r w:rsidR="00CF373F">
        <w:t>Nitrogen dioxide</w:t>
      </w:r>
      <w:r>
        <w:t xml:space="preserve"> – MAK value documentation.</w:t>
      </w:r>
    </w:p>
    <w:p w14:paraId="6893E08E" w14:textId="2B8ACC21" w:rsidR="00723970" w:rsidRDefault="00723970" w:rsidP="00723970">
      <w:pPr>
        <w:rPr>
          <w:b/>
        </w:rPr>
      </w:pPr>
      <w:r w:rsidRPr="002022B6">
        <w:t>EU Scientific Committee on Occupational Exposure Limits (SCOEL)</w:t>
      </w:r>
      <w:r>
        <w:t xml:space="preserve"> (</w:t>
      </w:r>
      <w:r w:rsidR="001D28D1">
        <w:t>2014</w:t>
      </w:r>
      <w:r>
        <w:t xml:space="preserve">) Recommendation from the Scientific Committee on Occupational Exposure Limits for </w:t>
      </w:r>
      <w:r w:rsidR="001D28D1">
        <w:t>n</w:t>
      </w:r>
      <w:r w:rsidR="001D28D1" w:rsidRPr="001D28D1">
        <w:t xml:space="preserve">itrogen </w:t>
      </w:r>
      <w:r w:rsidR="001D28D1">
        <w:t>d</w:t>
      </w:r>
      <w:r w:rsidR="001D28D1" w:rsidRPr="001D28D1">
        <w:t>ioxide</w:t>
      </w:r>
      <w:r>
        <w:t>. SCOEL/</w:t>
      </w:r>
      <w:r w:rsidR="001D28D1">
        <w:t>SUM/53</w:t>
      </w:r>
      <w:r>
        <w:t>.</w:t>
      </w:r>
    </w:p>
    <w:p w14:paraId="2D6328A6" w14:textId="3913142A" w:rsidR="00723970" w:rsidRDefault="00723970" w:rsidP="00084859">
      <w:r w:rsidRPr="002022B6">
        <w:t>Health Council of the Netherlands</w:t>
      </w:r>
      <w:r>
        <w:t xml:space="preserve"> (HCOTN) (2004) Nitrogen dioxide</w:t>
      </w:r>
      <w:r w:rsidRPr="005F7416">
        <w:t xml:space="preserve">. </w:t>
      </w:r>
      <w:r w:rsidRPr="00723970">
        <w:t>Health-based recommended occupational exposure limit</w:t>
      </w:r>
      <w:r w:rsidRPr="005F7416">
        <w:t xml:space="preserve">. The Hague: Health Council of the Netherlands; publication no. </w:t>
      </w:r>
      <w:r>
        <w:t>2004/01OSH.</w:t>
      </w:r>
    </w:p>
    <w:p w14:paraId="23FD3E89" w14:textId="429F4AC4" w:rsidR="00AA1074" w:rsidRDefault="00AA1074" w:rsidP="00AA1074">
      <w:r>
        <w:t xml:space="preserve">US National Institute for Occupational Safety and Health (NIOSH) (1994) Immediately dangerous to life or health concentrations – </w:t>
      </w:r>
      <w:r w:rsidR="001D58E6">
        <w:t>n</w:t>
      </w:r>
      <w:r>
        <w:t xml:space="preserve">itrogen dioxide. </w:t>
      </w:r>
    </w:p>
    <w:p w14:paraId="2BF950D2" w14:textId="331411D7" w:rsidR="00BC3532" w:rsidRPr="00351FE0" w:rsidRDefault="00BC3532" w:rsidP="00AA1074"/>
    <w:sectPr w:rsidR="00BC3532"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FB172" w16cid:durableId="21F153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B903C" w14:textId="77777777" w:rsidR="009E1088" w:rsidRDefault="009E1088" w:rsidP="00F43AD5">
      <w:pPr>
        <w:spacing w:after="0" w:line="240" w:lineRule="auto"/>
      </w:pPr>
      <w:r>
        <w:separator/>
      </w:r>
    </w:p>
  </w:endnote>
  <w:endnote w:type="continuationSeparator" w:id="0">
    <w:p w14:paraId="710F1E30" w14:textId="77777777" w:rsidR="009E1088" w:rsidRDefault="009E1088"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B768" w14:textId="77777777" w:rsidR="00F368DF" w:rsidRDefault="00F36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26675492" w14:textId="3D69E01F" w:rsidR="008A36CF" w:rsidRDefault="000B2265" w:rsidP="0034744C">
        <w:pPr>
          <w:pStyle w:val="Footer"/>
          <w:rPr>
            <w:sz w:val="18"/>
            <w:szCs w:val="18"/>
          </w:rPr>
        </w:pPr>
        <w:r>
          <w:rPr>
            <w:b/>
            <w:sz w:val="18"/>
            <w:szCs w:val="18"/>
          </w:rPr>
          <w:t>Nitrogen dioxide</w:t>
        </w:r>
        <w:r w:rsidR="008A36CF">
          <w:rPr>
            <w:b/>
            <w:sz w:val="18"/>
            <w:szCs w:val="18"/>
          </w:rPr>
          <w:t xml:space="preserve"> (</w:t>
        </w:r>
        <w:r>
          <w:rPr>
            <w:b/>
            <w:sz w:val="18"/>
            <w:szCs w:val="18"/>
          </w:rPr>
          <w:t>10102-44-0</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BC3532">
          <w:rPr>
            <w:sz w:val="18"/>
            <w:szCs w:val="18"/>
          </w:rPr>
          <w:t xml:space="preserve"> 2020</w:t>
        </w:r>
      </w:p>
      <w:p w14:paraId="65242CD2" w14:textId="15F1D627"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F368DF">
          <w:rPr>
            <w:noProof/>
            <w:sz w:val="18"/>
            <w:szCs w:val="18"/>
          </w:rPr>
          <w:t>1</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1C2D" w14:textId="77777777" w:rsidR="00F368DF" w:rsidRDefault="00F3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D6DA" w14:textId="77777777" w:rsidR="009E1088" w:rsidRDefault="009E1088" w:rsidP="00F43AD5">
      <w:pPr>
        <w:spacing w:after="0" w:line="240" w:lineRule="auto"/>
      </w:pPr>
      <w:r>
        <w:separator/>
      </w:r>
    </w:p>
  </w:footnote>
  <w:footnote w:type="continuationSeparator" w:id="0">
    <w:p w14:paraId="77F05AA0" w14:textId="77777777" w:rsidR="009E1088" w:rsidRDefault="009E1088"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68F43" w14:textId="77777777" w:rsidR="00F368DF" w:rsidRDefault="00F36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BB75" w14:textId="77777777" w:rsidR="00F368DF" w:rsidRDefault="00F368DF" w:rsidP="00F368DF">
    <w:pPr>
      <w:pStyle w:val="Header"/>
      <w:jc w:val="right"/>
    </w:pPr>
    <w:sdt>
      <w:sdtPr>
        <w:id w:val="620417911"/>
        <w:docPartObj>
          <w:docPartGallery w:val="Watermarks"/>
          <w:docPartUnique/>
        </w:docPartObj>
      </w:sdtPr>
      <w:sdtContent>
        <w:r>
          <w:pict w14:anchorId="2F2BD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3F1560C2" wp14:editId="7C2F69CD">
          <wp:extent cx="2943225" cy="590550"/>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5A1AF569" w14:textId="0AB3CF7E" w:rsidR="008A36CF" w:rsidRPr="00F368DF" w:rsidRDefault="008A36CF" w:rsidP="00F36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43E2" w14:textId="77777777" w:rsidR="00F368DF" w:rsidRDefault="00F368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64AA" w14:textId="03B8D688" w:rsidR="00F368DF" w:rsidRDefault="00F368DF" w:rsidP="00F368DF">
    <w:pPr>
      <w:pStyle w:val="Header"/>
      <w:jc w:val="right"/>
    </w:pPr>
    <w:sdt>
      <w:sdtPr>
        <w:id w:val="399564451"/>
        <w:docPartObj>
          <w:docPartGallery w:val="Watermarks"/>
          <w:docPartUnique/>
        </w:docPartObj>
      </w:sdtPr>
      <w:sdtContent>
        <w:r>
          <w:pict w14:anchorId="0A1D0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15B64101" wp14:editId="2EDD880B">
          <wp:extent cx="2943225" cy="590550"/>
          <wp:effectExtent l="0" t="0" r="0" b="0"/>
          <wp:docPr id="4" name="Picture 4"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004B58E3" w14:textId="77777777" w:rsidR="008A36CF" w:rsidRDefault="008A36CF"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40B0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1A4D24"/>
    <w:multiLevelType w:val="hybridMultilevel"/>
    <w:tmpl w:val="3F180906"/>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5955AAE"/>
    <w:multiLevelType w:val="hybridMultilevel"/>
    <w:tmpl w:val="2D36B71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1E339FF"/>
    <w:multiLevelType w:val="hybridMultilevel"/>
    <w:tmpl w:val="1348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9A3FA2"/>
    <w:multiLevelType w:val="hybridMultilevel"/>
    <w:tmpl w:val="B9A0E5D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9C41FB9"/>
    <w:multiLevelType w:val="hybridMultilevel"/>
    <w:tmpl w:val="7E3E96BE"/>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4"/>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0479"/>
    <w:rsid w:val="00001D58"/>
    <w:rsid w:val="00007B80"/>
    <w:rsid w:val="00013A22"/>
    <w:rsid w:val="00014C3F"/>
    <w:rsid w:val="000168E7"/>
    <w:rsid w:val="00017C82"/>
    <w:rsid w:val="0002397E"/>
    <w:rsid w:val="00032B88"/>
    <w:rsid w:val="00046DF5"/>
    <w:rsid w:val="00051A29"/>
    <w:rsid w:val="00052060"/>
    <w:rsid w:val="00054D56"/>
    <w:rsid w:val="0005574A"/>
    <w:rsid w:val="00055FE1"/>
    <w:rsid w:val="00056EC2"/>
    <w:rsid w:val="00060B48"/>
    <w:rsid w:val="00067F32"/>
    <w:rsid w:val="00071807"/>
    <w:rsid w:val="00077C0C"/>
    <w:rsid w:val="000803E1"/>
    <w:rsid w:val="00083655"/>
    <w:rsid w:val="00084513"/>
    <w:rsid w:val="00084859"/>
    <w:rsid w:val="00092D94"/>
    <w:rsid w:val="000B0868"/>
    <w:rsid w:val="000B1322"/>
    <w:rsid w:val="000B2265"/>
    <w:rsid w:val="000B3E12"/>
    <w:rsid w:val="000B3E78"/>
    <w:rsid w:val="000B7B48"/>
    <w:rsid w:val="000B7C9B"/>
    <w:rsid w:val="000C0582"/>
    <w:rsid w:val="000C096D"/>
    <w:rsid w:val="000C139A"/>
    <w:rsid w:val="000C2053"/>
    <w:rsid w:val="000C248C"/>
    <w:rsid w:val="000C52F5"/>
    <w:rsid w:val="000D196D"/>
    <w:rsid w:val="000D291C"/>
    <w:rsid w:val="000E5A54"/>
    <w:rsid w:val="000E63D3"/>
    <w:rsid w:val="000E67CF"/>
    <w:rsid w:val="00101AB6"/>
    <w:rsid w:val="00104225"/>
    <w:rsid w:val="0010461E"/>
    <w:rsid w:val="00106FAA"/>
    <w:rsid w:val="00113443"/>
    <w:rsid w:val="001156CF"/>
    <w:rsid w:val="001269A7"/>
    <w:rsid w:val="00131092"/>
    <w:rsid w:val="0013497C"/>
    <w:rsid w:val="00140E6A"/>
    <w:rsid w:val="00146545"/>
    <w:rsid w:val="00146B75"/>
    <w:rsid w:val="0015266D"/>
    <w:rsid w:val="0015288A"/>
    <w:rsid w:val="00152E07"/>
    <w:rsid w:val="00160F47"/>
    <w:rsid w:val="00163278"/>
    <w:rsid w:val="00177CA1"/>
    <w:rsid w:val="00183823"/>
    <w:rsid w:val="00183942"/>
    <w:rsid w:val="001A009E"/>
    <w:rsid w:val="001A1287"/>
    <w:rsid w:val="001A3859"/>
    <w:rsid w:val="001A3C9D"/>
    <w:rsid w:val="001A3D7B"/>
    <w:rsid w:val="001A43F8"/>
    <w:rsid w:val="001B0DA3"/>
    <w:rsid w:val="001B4682"/>
    <w:rsid w:val="001B79E5"/>
    <w:rsid w:val="001D28D1"/>
    <w:rsid w:val="001D56F0"/>
    <w:rsid w:val="001D58E6"/>
    <w:rsid w:val="001D663B"/>
    <w:rsid w:val="001D7B41"/>
    <w:rsid w:val="001E46DA"/>
    <w:rsid w:val="001E7D80"/>
    <w:rsid w:val="001F4B6C"/>
    <w:rsid w:val="001F4DDB"/>
    <w:rsid w:val="001F62CB"/>
    <w:rsid w:val="001F6ED0"/>
    <w:rsid w:val="001F72E6"/>
    <w:rsid w:val="001F73C5"/>
    <w:rsid w:val="00204507"/>
    <w:rsid w:val="002046A6"/>
    <w:rsid w:val="00204956"/>
    <w:rsid w:val="00213640"/>
    <w:rsid w:val="00214572"/>
    <w:rsid w:val="00221547"/>
    <w:rsid w:val="002216FC"/>
    <w:rsid w:val="00222533"/>
    <w:rsid w:val="00222F30"/>
    <w:rsid w:val="00224EE2"/>
    <w:rsid w:val="00227EC7"/>
    <w:rsid w:val="0023448A"/>
    <w:rsid w:val="00244AD1"/>
    <w:rsid w:val="002463BC"/>
    <w:rsid w:val="002465CE"/>
    <w:rsid w:val="00247D11"/>
    <w:rsid w:val="0025734A"/>
    <w:rsid w:val="00260EAF"/>
    <w:rsid w:val="00263255"/>
    <w:rsid w:val="002761D3"/>
    <w:rsid w:val="00276494"/>
    <w:rsid w:val="00277B0C"/>
    <w:rsid w:val="002B1A2C"/>
    <w:rsid w:val="002C34F2"/>
    <w:rsid w:val="002C58FF"/>
    <w:rsid w:val="002C7AFE"/>
    <w:rsid w:val="002D05D2"/>
    <w:rsid w:val="002E0D61"/>
    <w:rsid w:val="002E4C7B"/>
    <w:rsid w:val="0030740C"/>
    <w:rsid w:val="00315833"/>
    <w:rsid w:val="003215EE"/>
    <w:rsid w:val="003224BF"/>
    <w:rsid w:val="003241A8"/>
    <w:rsid w:val="003253F0"/>
    <w:rsid w:val="003337DA"/>
    <w:rsid w:val="00334EFB"/>
    <w:rsid w:val="00335CDE"/>
    <w:rsid w:val="003365A5"/>
    <w:rsid w:val="00347192"/>
    <w:rsid w:val="0034744C"/>
    <w:rsid w:val="00351FE0"/>
    <w:rsid w:val="00352615"/>
    <w:rsid w:val="0035383F"/>
    <w:rsid w:val="0035412B"/>
    <w:rsid w:val="00354F14"/>
    <w:rsid w:val="003567A8"/>
    <w:rsid w:val="00362895"/>
    <w:rsid w:val="00370DBF"/>
    <w:rsid w:val="00386093"/>
    <w:rsid w:val="003904A4"/>
    <w:rsid w:val="00391841"/>
    <w:rsid w:val="00391B6D"/>
    <w:rsid w:val="00391D16"/>
    <w:rsid w:val="00393976"/>
    <w:rsid w:val="00394922"/>
    <w:rsid w:val="00396A5C"/>
    <w:rsid w:val="003A0E32"/>
    <w:rsid w:val="003A2B94"/>
    <w:rsid w:val="003A576B"/>
    <w:rsid w:val="003B387D"/>
    <w:rsid w:val="003B528A"/>
    <w:rsid w:val="003C0D58"/>
    <w:rsid w:val="003C56D7"/>
    <w:rsid w:val="003D4FA3"/>
    <w:rsid w:val="003D57A4"/>
    <w:rsid w:val="003D5BEE"/>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47B1F"/>
    <w:rsid w:val="004509E2"/>
    <w:rsid w:val="004515EE"/>
    <w:rsid w:val="004529F0"/>
    <w:rsid w:val="00460A03"/>
    <w:rsid w:val="00464335"/>
    <w:rsid w:val="00467F38"/>
    <w:rsid w:val="00471B12"/>
    <w:rsid w:val="00472A11"/>
    <w:rsid w:val="00472AAD"/>
    <w:rsid w:val="00474E33"/>
    <w:rsid w:val="00476803"/>
    <w:rsid w:val="004777AA"/>
    <w:rsid w:val="004819FE"/>
    <w:rsid w:val="00485BFD"/>
    <w:rsid w:val="004867A2"/>
    <w:rsid w:val="004873F2"/>
    <w:rsid w:val="00490D4C"/>
    <w:rsid w:val="00493A35"/>
    <w:rsid w:val="0049527A"/>
    <w:rsid w:val="004966BF"/>
    <w:rsid w:val="00497984"/>
    <w:rsid w:val="004A01A1"/>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03D4F"/>
    <w:rsid w:val="005102A8"/>
    <w:rsid w:val="00511AE9"/>
    <w:rsid w:val="005142C4"/>
    <w:rsid w:val="005144A5"/>
    <w:rsid w:val="0051509C"/>
    <w:rsid w:val="005272E2"/>
    <w:rsid w:val="00530CFF"/>
    <w:rsid w:val="0053108F"/>
    <w:rsid w:val="00532B56"/>
    <w:rsid w:val="00534B10"/>
    <w:rsid w:val="00537D38"/>
    <w:rsid w:val="005446A2"/>
    <w:rsid w:val="00544D2F"/>
    <w:rsid w:val="00547523"/>
    <w:rsid w:val="00551BD8"/>
    <w:rsid w:val="0055268B"/>
    <w:rsid w:val="005721E9"/>
    <w:rsid w:val="00581055"/>
    <w:rsid w:val="00582812"/>
    <w:rsid w:val="00591E38"/>
    <w:rsid w:val="00591E7F"/>
    <w:rsid w:val="005A19C5"/>
    <w:rsid w:val="005A3034"/>
    <w:rsid w:val="005A462D"/>
    <w:rsid w:val="005B1767"/>
    <w:rsid w:val="005B253B"/>
    <w:rsid w:val="005B771D"/>
    <w:rsid w:val="005C5D16"/>
    <w:rsid w:val="005D3193"/>
    <w:rsid w:val="005D4A6E"/>
    <w:rsid w:val="005E6979"/>
    <w:rsid w:val="005E75CB"/>
    <w:rsid w:val="006013C1"/>
    <w:rsid w:val="0060669E"/>
    <w:rsid w:val="00610F2E"/>
    <w:rsid w:val="00611399"/>
    <w:rsid w:val="006221EC"/>
    <w:rsid w:val="00624C4E"/>
    <w:rsid w:val="00625200"/>
    <w:rsid w:val="006363A8"/>
    <w:rsid w:val="00636DB7"/>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399"/>
    <w:rsid w:val="0069079C"/>
    <w:rsid w:val="00690B53"/>
    <w:rsid w:val="00691765"/>
    <w:rsid w:val="00695B72"/>
    <w:rsid w:val="006A3AF0"/>
    <w:rsid w:val="006B160A"/>
    <w:rsid w:val="006B4E6C"/>
    <w:rsid w:val="006B50B6"/>
    <w:rsid w:val="006D79EA"/>
    <w:rsid w:val="006E5D05"/>
    <w:rsid w:val="006F1007"/>
    <w:rsid w:val="00701053"/>
    <w:rsid w:val="00701507"/>
    <w:rsid w:val="00714021"/>
    <w:rsid w:val="00716A0F"/>
    <w:rsid w:val="00717D45"/>
    <w:rsid w:val="007208F7"/>
    <w:rsid w:val="007218AF"/>
    <w:rsid w:val="00723970"/>
    <w:rsid w:val="00732282"/>
    <w:rsid w:val="007365D1"/>
    <w:rsid w:val="00740E0E"/>
    <w:rsid w:val="00750212"/>
    <w:rsid w:val="007517AD"/>
    <w:rsid w:val="00754779"/>
    <w:rsid w:val="00756A8F"/>
    <w:rsid w:val="0075716D"/>
    <w:rsid w:val="00765F14"/>
    <w:rsid w:val="00770E31"/>
    <w:rsid w:val="0077173B"/>
    <w:rsid w:val="007770F1"/>
    <w:rsid w:val="00783FB1"/>
    <w:rsid w:val="00785CDD"/>
    <w:rsid w:val="00790DBA"/>
    <w:rsid w:val="00791847"/>
    <w:rsid w:val="007925F0"/>
    <w:rsid w:val="007939B3"/>
    <w:rsid w:val="0079509C"/>
    <w:rsid w:val="00796708"/>
    <w:rsid w:val="007B1B42"/>
    <w:rsid w:val="007C30EB"/>
    <w:rsid w:val="007E063C"/>
    <w:rsid w:val="007E2A4B"/>
    <w:rsid w:val="007E307D"/>
    <w:rsid w:val="007E5210"/>
    <w:rsid w:val="007E6A4E"/>
    <w:rsid w:val="007E6C94"/>
    <w:rsid w:val="007F1005"/>
    <w:rsid w:val="007F25E0"/>
    <w:rsid w:val="007F5328"/>
    <w:rsid w:val="00801C62"/>
    <w:rsid w:val="00804F5A"/>
    <w:rsid w:val="00810C6D"/>
    <w:rsid w:val="00812887"/>
    <w:rsid w:val="0081558D"/>
    <w:rsid w:val="008248AA"/>
    <w:rsid w:val="00826F21"/>
    <w:rsid w:val="00834CC8"/>
    <w:rsid w:val="00835E00"/>
    <w:rsid w:val="00837113"/>
    <w:rsid w:val="008414E4"/>
    <w:rsid w:val="00843E21"/>
    <w:rsid w:val="0084508E"/>
    <w:rsid w:val="00857A8A"/>
    <w:rsid w:val="00862FE3"/>
    <w:rsid w:val="008630EE"/>
    <w:rsid w:val="00864D13"/>
    <w:rsid w:val="00871A19"/>
    <w:rsid w:val="00871CD5"/>
    <w:rsid w:val="008745A2"/>
    <w:rsid w:val="008768A8"/>
    <w:rsid w:val="0088798F"/>
    <w:rsid w:val="00887E4B"/>
    <w:rsid w:val="008915C8"/>
    <w:rsid w:val="008A36CF"/>
    <w:rsid w:val="008A3BC4"/>
    <w:rsid w:val="008B403C"/>
    <w:rsid w:val="008B463C"/>
    <w:rsid w:val="008B7983"/>
    <w:rsid w:val="008C2511"/>
    <w:rsid w:val="008D026D"/>
    <w:rsid w:val="008D23AB"/>
    <w:rsid w:val="008D4B8B"/>
    <w:rsid w:val="008D5A78"/>
    <w:rsid w:val="008E191D"/>
    <w:rsid w:val="008E7B64"/>
    <w:rsid w:val="008F5DCD"/>
    <w:rsid w:val="0090048B"/>
    <w:rsid w:val="00900951"/>
    <w:rsid w:val="00904D1E"/>
    <w:rsid w:val="0090673C"/>
    <w:rsid w:val="009118A6"/>
    <w:rsid w:val="009163C0"/>
    <w:rsid w:val="00916909"/>
    <w:rsid w:val="00916EC0"/>
    <w:rsid w:val="00920467"/>
    <w:rsid w:val="00921DE7"/>
    <w:rsid w:val="009220B2"/>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E88"/>
    <w:rsid w:val="00984920"/>
    <w:rsid w:val="00985438"/>
    <w:rsid w:val="00986B7D"/>
    <w:rsid w:val="0099251A"/>
    <w:rsid w:val="0099303A"/>
    <w:rsid w:val="00996E35"/>
    <w:rsid w:val="009971C2"/>
    <w:rsid w:val="009A1254"/>
    <w:rsid w:val="009A19D6"/>
    <w:rsid w:val="009B2FF2"/>
    <w:rsid w:val="009B380C"/>
    <w:rsid w:val="009B4843"/>
    <w:rsid w:val="009B6543"/>
    <w:rsid w:val="009B68B0"/>
    <w:rsid w:val="009C0EE5"/>
    <w:rsid w:val="009C199D"/>
    <w:rsid w:val="009C278F"/>
    <w:rsid w:val="009C2B94"/>
    <w:rsid w:val="009C5874"/>
    <w:rsid w:val="009D3B5A"/>
    <w:rsid w:val="009D79E8"/>
    <w:rsid w:val="009E0C05"/>
    <w:rsid w:val="009E0D1C"/>
    <w:rsid w:val="009E1088"/>
    <w:rsid w:val="009E2214"/>
    <w:rsid w:val="009E355A"/>
    <w:rsid w:val="009E63E2"/>
    <w:rsid w:val="009F04D2"/>
    <w:rsid w:val="009F05CF"/>
    <w:rsid w:val="009F0F3A"/>
    <w:rsid w:val="009F2EDB"/>
    <w:rsid w:val="00A01D0C"/>
    <w:rsid w:val="00A03158"/>
    <w:rsid w:val="00A0643F"/>
    <w:rsid w:val="00A067EE"/>
    <w:rsid w:val="00A10FCE"/>
    <w:rsid w:val="00A1110F"/>
    <w:rsid w:val="00A132C4"/>
    <w:rsid w:val="00A16D91"/>
    <w:rsid w:val="00A174CC"/>
    <w:rsid w:val="00A2073D"/>
    <w:rsid w:val="00A20751"/>
    <w:rsid w:val="00A27E2D"/>
    <w:rsid w:val="00A31D99"/>
    <w:rsid w:val="00A357BA"/>
    <w:rsid w:val="00A35ADC"/>
    <w:rsid w:val="00A402A3"/>
    <w:rsid w:val="00A53681"/>
    <w:rsid w:val="00A633D4"/>
    <w:rsid w:val="00A6461A"/>
    <w:rsid w:val="00A81113"/>
    <w:rsid w:val="00A84504"/>
    <w:rsid w:val="00A8672F"/>
    <w:rsid w:val="00A93057"/>
    <w:rsid w:val="00A968B0"/>
    <w:rsid w:val="00AA1074"/>
    <w:rsid w:val="00AB13D6"/>
    <w:rsid w:val="00AB2672"/>
    <w:rsid w:val="00AB2817"/>
    <w:rsid w:val="00AB43C4"/>
    <w:rsid w:val="00AC32E7"/>
    <w:rsid w:val="00AC3A9F"/>
    <w:rsid w:val="00AC6D2F"/>
    <w:rsid w:val="00AE2745"/>
    <w:rsid w:val="00AE2F0D"/>
    <w:rsid w:val="00AE2F64"/>
    <w:rsid w:val="00AF42CB"/>
    <w:rsid w:val="00AF483F"/>
    <w:rsid w:val="00AF5E07"/>
    <w:rsid w:val="00AF5F06"/>
    <w:rsid w:val="00B00A25"/>
    <w:rsid w:val="00B11ED6"/>
    <w:rsid w:val="00B1422A"/>
    <w:rsid w:val="00B1614D"/>
    <w:rsid w:val="00B1765C"/>
    <w:rsid w:val="00B213C4"/>
    <w:rsid w:val="00B40C60"/>
    <w:rsid w:val="00B428C2"/>
    <w:rsid w:val="00B479A9"/>
    <w:rsid w:val="00B52EDF"/>
    <w:rsid w:val="00B71188"/>
    <w:rsid w:val="00B76A41"/>
    <w:rsid w:val="00B87D4C"/>
    <w:rsid w:val="00B93646"/>
    <w:rsid w:val="00BA0B38"/>
    <w:rsid w:val="00BA1DBB"/>
    <w:rsid w:val="00BA4510"/>
    <w:rsid w:val="00BA529A"/>
    <w:rsid w:val="00BB612A"/>
    <w:rsid w:val="00BB619D"/>
    <w:rsid w:val="00BC14EE"/>
    <w:rsid w:val="00BC3532"/>
    <w:rsid w:val="00BD499F"/>
    <w:rsid w:val="00BD56DE"/>
    <w:rsid w:val="00BF2406"/>
    <w:rsid w:val="00C06E43"/>
    <w:rsid w:val="00C16315"/>
    <w:rsid w:val="00C27F41"/>
    <w:rsid w:val="00C3091E"/>
    <w:rsid w:val="00C30D4C"/>
    <w:rsid w:val="00C36371"/>
    <w:rsid w:val="00C40FF1"/>
    <w:rsid w:val="00C419E2"/>
    <w:rsid w:val="00C47AE8"/>
    <w:rsid w:val="00C5020E"/>
    <w:rsid w:val="00C55B7B"/>
    <w:rsid w:val="00C56131"/>
    <w:rsid w:val="00C57452"/>
    <w:rsid w:val="00C61EDF"/>
    <w:rsid w:val="00C6239D"/>
    <w:rsid w:val="00C6594B"/>
    <w:rsid w:val="00C659D0"/>
    <w:rsid w:val="00C67FFB"/>
    <w:rsid w:val="00C70E01"/>
    <w:rsid w:val="00C7155E"/>
    <w:rsid w:val="00C71D1E"/>
    <w:rsid w:val="00C71D7D"/>
    <w:rsid w:val="00C74833"/>
    <w:rsid w:val="00C850A0"/>
    <w:rsid w:val="00C85A86"/>
    <w:rsid w:val="00C978F0"/>
    <w:rsid w:val="00CA58FE"/>
    <w:rsid w:val="00CB1CB1"/>
    <w:rsid w:val="00CB6BC1"/>
    <w:rsid w:val="00CB6CB8"/>
    <w:rsid w:val="00CC1A68"/>
    <w:rsid w:val="00CC2123"/>
    <w:rsid w:val="00CC7DFB"/>
    <w:rsid w:val="00CD2BFD"/>
    <w:rsid w:val="00CD4CC3"/>
    <w:rsid w:val="00CE5AD6"/>
    <w:rsid w:val="00CE617F"/>
    <w:rsid w:val="00CE78EF"/>
    <w:rsid w:val="00CF373F"/>
    <w:rsid w:val="00D048F7"/>
    <w:rsid w:val="00D0517E"/>
    <w:rsid w:val="00D1210F"/>
    <w:rsid w:val="00D140FC"/>
    <w:rsid w:val="00D21D8C"/>
    <w:rsid w:val="00D31357"/>
    <w:rsid w:val="00D33220"/>
    <w:rsid w:val="00D334D1"/>
    <w:rsid w:val="00D43810"/>
    <w:rsid w:val="00D44C89"/>
    <w:rsid w:val="00D516CD"/>
    <w:rsid w:val="00D62E23"/>
    <w:rsid w:val="00D64B70"/>
    <w:rsid w:val="00D668E6"/>
    <w:rsid w:val="00D70670"/>
    <w:rsid w:val="00D74D80"/>
    <w:rsid w:val="00D76624"/>
    <w:rsid w:val="00D834BB"/>
    <w:rsid w:val="00D87570"/>
    <w:rsid w:val="00D91CB9"/>
    <w:rsid w:val="00D97658"/>
    <w:rsid w:val="00D97989"/>
    <w:rsid w:val="00D97D8D"/>
    <w:rsid w:val="00DA352E"/>
    <w:rsid w:val="00DB0701"/>
    <w:rsid w:val="00DC7694"/>
    <w:rsid w:val="00DD1BF6"/>
    <w:rsid w:val="00DD2F9B"/>
    <w:rsid w:val="00DE034B"/>
    <w:rsid w:val="00DE2513"/>
    <w:rsid w:val="00DE26E8"/>
    <w:rsid w:val="00DF6F36"/>
    <w:rsid w:val="00E0084C"/>
    <w:rsid w:val="00E00C83"/>
    <w:rsid w:val="00E025AB"/>
    <w:rsid w:val="00E02B23"/>
    <w:rsid w:val="00E06F40"/>
    <w:rsid w:val="00E07CE8"/>
    <w:rsid w:val="00E26A07"/>
    <w:rsid w:val="00E32595"/>
    <w:rsid w:val="00E37CFD"/>
    <w:rsid w:val="00E40E0D"/>
    <w:rsid w:val="00E41A26"/>
    <w:rsid w:val="00E46BCB"/>
    <w:rsid w:val="00E51CAF"/>
    <w:rsid w:val="00E60F04"/>
    <w:rsid w:val="00E62AAC"/>
    <w:rsid w:val="00E67C2F"/>
    <w:rsid w:val="00E67EF5"/>
    <w:rsid w:val="00E804EA"/>
    <w:rsid w:val="00E80A71"/>
    <w:rsid w:val="00E82337"/>
    <w:rsid w:val="00E84CAA"/>
    <w:rsid w:val="00E850CF"/>
    <w:rsid w:val="00E92499"/>
    <w:rsid w:val="00E949AF"/>
    <w:rsid w:val="00E96077"/>
    <w:rsid w:val="00EA0A06"/>
    <w:rsid w:val="00EA6243"/>
    <w:rsid w:val="00EA7196"/>
    <w:rsid w:val="00EA74AB"/>
    <w:rsid w:val="00EB2134"/>
    <w:rsid w:val="00EB3D1B"/>
    <w:rsid w:val="00ED1D89"/>
    <w:rsid w:val="00ED3944"/>
    <w:rsid w:val="00ED66BC"/>
    <w:rsid w:val="00ED7CCF"/>
    <w:rsid w:val="00EF233A"/>
    <w:rsid w:val="00EF303E"/>
    <w:rsid w:val="00EF38E5"/>
    <w:rsid w:val="00EF3A40"/>
    <w:rsid w:val="00EF7F78"/>
    <w:rsid w:val="00F01B08"/>
    <w:rsid w:val="00F01C4D"/>
    <w:rsid w:val="00F053FA"/>
    <w:rsid w:val="00F10C97"/>
    <w:rsid w:val="00F11C71"/>
    <w:rsid w:val="00F16019"/>
    <w:rsid w:val="00F20E68"/>
    <w:rsid w:val="00F22093"/>
    <w:rsid w:val="00F236DF"/>
    <w:rsid w:val="00F31ADA"/>
    <w:rsid w:val="00F368DF"/>
    <w:rsid w:val="00F43AD5"/>
    <w:rsid w:val="00F4402E"/>
    <w:rsid w:val="00F52370"/>
    <w:rsid w:val="00F56DD0"/>
    <w:rsid w:val="00F6491C"/>
    <w:rsid w:val="00F67BBB"/>
    <w:rsid w:val="00F851A5"/>
    <w:rsid w:val="00F85F06"/>
    <w:rsid w:val="00F8607E"/>
    <w:rsid w:val="00F873B0"/>
    <w:rsid w:val="00F87D92"/>
    <w:rsid w:val="00F90AA7"/>
    <w:rsid w:val="00F92498"/>
    <w:rsid w:val="00F9496B"/>
    <w:rsid w:val="00F970C9"/>
    <w:rsid w:val="00FA06A8"/>
    <w:rsid w:val="00FA3DF5"/>
    <w:rsid w:val="00FA741F"/>
    <w:rsid w:val="00FB4061"/>
    <w:rsid w:val="00FB4E07"/>
    <w:rsid w:val="00FB755A"/>
    <w:rsid w:val="00FC2C08"/>
    <w:rsid w:val="00FC2F19"/>
    <w:rsid w:val="00FC60A2"/>
    <w:rsid w:val="00FC7562"/>
    <w:rsid w:val="00FD1871"/>
    <w:rsid w:val="00FD3110"/>
    <w:rsid w:val="00FF5C3D"/>
    <w:rsid w:val="00FF6881"/>
    <w:rsid w:val="00FF7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22B6379"/>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3B528A"/>
    <w:rPr>
      <w:sz w:val="16"/>
      <w:szCs w:val="16"/>
    </w:rPr>
  </w:style>
  <w:style w:type="paragraph" w:styleId="CommentText">
    <w:name w:val="annotation text"/>
    <w:basedOn w:val="Normal"/>
    <w:link w:val="CommentTextChar"/>
    <w:uiPriority w:val="99"/>
    <w:semiHidden/>
    <w:unhideWhenUsed/>
    <w:rsid w:val="003B528A"/>
    <w:pPr>
      <w:spacing w:line="240" w:lineRule="auto"/>
    </w:pPr>
    <w:rPr>
      <w:szCs w:val="20"/>
    </w:rPr>
  </w:style>
  <w:style w:type="character" w:customStyle="1" w:styleId="CommentTextChar">
    <w:name w:val="Comment Text Char"/>
    <w:basedOn w:val="DefaultParagraphFont"/>
    <w:link w:val="CommentText"/>
    <w:uiPriority w:val="99"/>
    <w:semiHidden/>
    <w:rsid w:val="003B528A"/>
    <w:rPr>
      <w:szCs w:val="20"/>
    </w:rPr>
  </w:style>
  <w:style w:type="paragraph" w:styleId="CommentSubject">
    <w:name w:val="annotation subject"/>
    <w:basedOn w:val="CommentText"/>
    <w:next w:val="CommentText"/>
    <w:link w:val="CommentSubjectChar"/>
    <w:uiPriority w:val="99"/>
    <w:semiHidden/>
    <w:unhideWhenUsed/>
    <w:rsid w:val="003B528A"/>
    <w:rPr>
      <w:b/>
      <w:bCs/>
    </w:rPr>
  </w:style>
  <w:style w:type="character" w:customStyle="1" w:styleId="CommentSubjectChar">
    <w:name w:val="Comment Subject Char"/>
    <w:basedOn w:val="CommentTextChar"/>
    <w:link w:val="CommentSubject"/>
    <w:uiPriority w:val="99"/>
    <w:semiHidden/>
    <w:rsid w:val="003B528A"/>
    <w:rPr>
      <w:b/>
      <w:bCs/>
      <w:szCs w:val="20"/>
    </w:rPr>
  </w:style>
  <w:style w:type="table" w:styleId="LightShading-Accent2">
    <w:name w:val="Light Shading Accent 2"/>
    <w:aliases w:val="SWA Table Style"/>
    <w:basedOn w:val="TableNormal"/>
    <w:uiPriority w:val="60"/>
    <w:rsid w:val="00723970"/>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ListBullet">
    <w:name w:val="List Bullet"/>
    <w:basedOn w:val="Normal"/>
    <w:uiPriority w:val="99"/>
    <w:unhideWhenUsed/>
    <w:rsid w:val="00EB2134"/>
    <w:pPr>
      <w:numPr>
        <w:numId w:val="1"/>
      </w:numPr>
      <w:contextualSpacing/>
    </w:pPr>
  </w:style>
  <w:style w:type="character" w:styleId="FollowedHyperlink">
    <w:name w:val="FollowedHyperlink"/>
    <w:basedOn w:val="DefaultParagraphFont"/>
    <w:uiPriority w:val="99"/>
    <w:semiHidden/>
    <w:unhideWhenUsed/>
    <w:rsid w:val="00547523"/>
    <w:rPr>
      <w:color w:val="800080" w:themeColor="followedHyperlink"/>
      <w:u w:val="single"/>
    </w:rPr>
  </w:style>
  <w:style w:type="paragraph" w:styleId="ListParagraph">
    <w:name w:val="List Paragraph"/>
    <w:basedOn w:val="Normal"/>
    <w:uiPriority w:val="34"/>
    <w:qFormat/>
    <w:rsid w:val="00691765"/>
    <w:pPr>
      <w:spacing w:after="0" w:line="240" w:lineRule="auto"/>
      <w:ind w:left="72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7883">
      <w:bodyDiv w:val="1"/>
      <w:marLeft w:val="0"/>
      <w:marRight w:val="0"/>
      <w:marTop w:val="0"/>
      <w:marBottom w:val="0"/>
      <w:divBdr>
        <w:top w:val="none" w:sz="0" w:space="0" w:color="auto"/>
        <w:left w:val="none" w:sz="0" w:space="0" w:color="auto"/>
        <w:bottom w:val="none" w:sz="0" w:space="0" w:color="auto"/>
        <w:right w:val="none" w:sz="0" w:space="0" w:color="auto"/>
      </w:divBdr>
    </w:div>
    <w:div w:id="1543786353">
      <w:bodyDiv w:val="1"/>
      <w:marLeft w:val="0"/>
      <w:marRight w:val="0"/>
      <w:marTop w:val="0"/>
      <w:marBottom w:val="0"/>
      <w:divBdr>
        <w:top w:val="none" w:sz="0" w:space="0" w:color="auto"/>
        <w:left w:val="none" w:sz="0" w:space="0" w:color="auto"/>
        <w:bottom w:val="none" w:sz="0" w:space="0" w:color="auto"/>
        <w:right w:val="none" w:sz="0" w:space="0" w:color="auto"/>
      </w:divBdr>
    </w:div>
    <w:div w:id="16770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04BB104C8E79437C8EDE846C7426C955"/>
        <w:category>
          <w:name w:val="General"/>
          <w:gallery w:val="placeholder"/>
        </w:category>
        <w:types>
          <w:type w:val="bbPlcHdr"/>
        </w:types>
        <w:behaviors>
          <w:behavior w:val="content"/>
        </w:behaviors>
        <w:guid w:val="{4C21CBEE-D2E8-416D-863E-C356225F4D48}"/>
      </w:docPartPr>
      <w:docPartBody>
        <w:p w:rsidR="00587712" w:rsidRDefault="00FE4CAF" w:rsidP="00FE4CAF">
          <w:pPr>
            <w:pStyle w:val="04BB104C8E79437C8EDE846C7426C955"/>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587712"/>
    <w:rsid w:val="007350D7"/>
    <w:rsid w:val="00D21A9F"/>
    <w:rsid w:val="00ED2ECB"/>
    <w:rsid w:val="00FE4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CAF"/>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B711FEF11354712A8661A9EC5168988">
    <w:name w:val="BB711FEF11354712A8661A9EC5168988"/>
    <w:rsid w:val="007350D7"/>
    <w:rPr>
      <w:lang w:val="en-US" w:eastAsia="en-US"/>
    </w:rPr>
  </w:style>
  <w:style w:type="paragraph" w:customStyle="1" w:styleId="1F5BE4A2A62B42CB8E9F925AAB5B1EC4">
    <w:name w:val="1F5BE4A2A62B42CB8E9F925AAB5B1EC4"/>
    <w:rsid w:val="007350D7"/>
    <w:rPr>
      <w:lang w:val="en-US" w:eastAsia="en-US"/>
    </w:rPr>
  </w:style>
  <w:style w:type="paragraph" w:customStyle="1" w:styleId="6F1793299F944FF4B957EC7A73658A8B">
    <w:name w:val="6F1793299F944FF4B957EC7A73658A8B"/>
    <w:rsid w:val="007350D7"/>
    <w:rPr>
      <w:lang w:val="en-US" w:eastAsia="en-US"/>
    </w:rPr>
  </w:style>
  <w:style w:type="paragraph" w:customStyle="1" w:styleId="03198DCAEA704C2A9B853200F0945EE0">
    <w:name w:val="03198DCAEA704C2A9B853200F0945EE0"/>
    <w:rsid w:val="007350D7"/>
    <w:rPr>
      <w:lang w:val="en-US" w:eastAsia="en-US"/>
    </w:rPr>
  </w:style>
  <w:style w:type="paragraph" w:customStyle="1" w:styleId="394B5D142E494B33B654FEA4A3BDF456">
    <w:name w:val="394B5D142E494B33B654FEA4A3BDF456"/>
    <w:rsid w:val="007350D7"/>
    <w:rPr>
      <w:lang w:val="en-US" w:eastAsia="en-US"/>
    </w:rPr>
  </w:style>
  <w:style w:type="paragraph" w:customStyle="1" w:styleId="F94F3960E5F442C79161A3E9D08B1BEC">
    <w:name w:val="F94F3960E5F442C79161A3E9D08B1BEC"/>
    <w:rsid w:val="007350D7"/>
    <w:rPr>
      <w:lang w:val="en-US" w:eastAsia="en-US"/>
    </w:rPr>
  </w:style>
  <w:style w:type="paragraph" w:customStyle="1" w:styleId="9137B1328B6B4985BABAE6A18FD42252">
    <w:name w:val="9137B1328B6B4985BABAE6A18FD42252"/>
    <w:rsid w:val="007350D7"/>
    <w:rPr>
      <w:lang w:val="en-US" w:eastAsia="en-US"/>
    </w:rPr>
  </w:style>
  <w:style w:type="paragraph" w:customStyle="1" w:styleId="E9B176475EB646C6B070CB3ED8019F73">
    <w:name w:val="E9B176475EB646C6B070CB3ED8019F73"/>
    <w:rsid w:val="007350D7"/>
    <w:rPr>
      <w:lang w:val="en-US" w:eastAsia="en-US"/>
    </w:rPr>
  </w:style>
  <w:style w:type="paragraph" w:customStyle="1" w:styleId="419A68EBFAD8489587EC68681F6EE000">
    <w:name w:val="419A68EBFAD8489587EC68681F6EE000"/>
    <w:rsid w:val="007350D7"/>
    <w:rPr>
      <w:lang w:val="en-US" w:eastAsia="en-US"/>
    </w:rPr>
  </w:style>
  <w:style w:type="paragraph" w:customStyle="1" w:styleId="A487A30F56D546DF9DBB2E5C276C32EE">
    <w:name w:val="A487A30F56D546DF9DBB2E5C276C32EE"/>
    <w:rsid w:val="007350D7"/>
    <w:rPr>
      <w:lang w:val="en-US" w:eastAsia="en-US"/>
    </w:rPr>
  </w:style>
  <w:style w:type="paragraph" w:customStyle="1" w:styleId="90A1F29DDFF8419DB945FDCA8E4744B8">
    <w:name w:val="90A1F29DDFF8419DB945FDCA8E4744B8"/>
    <w:rsid w:val="007350D7"/>
    <w:rPr>
      <w:lang w:val="en-US" w:eastAsia="en-US"/>
    </w:rPr>
  </w:style>
  <w:style w:type="paragraph" w:customStyle="1" w:styleId="EA9CDA8B536C420B959951BC78C1AF31">
    <w:name w:val="EA9CDA8B536C420B959951BC78C1AF31"/>
    <w:rsid w:val="007350D7"/>
    <w:rPr>
      <w:lang w:val="en-US" w:eastAsia="en-US"/>
    </w:rPr>
  </w:style>
  <w:style w:type="paragraph" w:customStyle="1" w:styleId="D541759FC8EE4D19A3E99BF0E2B6C015">
    <w:name w:val="D541759FC8EE4D19A3E99BF0E2B6C015"/>
    <w:rsid w:val="007350D7"/>
    <w:rPr>
      <w:lang w:val="en-US" w:eastAsia="en-US"/>
    </w:rPr>
  </w:style>
  <w:style w:type="paragraph" w:customStyle="1" w:styleId="08A76420504748D482ED021F6D4C776B">
    <w:name w:val="08A76420504748D482ED021F6D4C776B"/>
    <w:rsid w:val="007350D7"/>
    <w:rPr>
      <w:lang w:val="en-US" w:eastAsia="en-US"/>
    </w:rPr>
  </w:style>
  <w:style w:type="paragraph" w:customStyle="1" w:styleId="1C24778CC98A41D5A7330CA00F1B7B43">
    <w:name w:val="1C24778CC98A41D5A7330CA00F1B7B43"/>
    <w:rsid w:val="007350D7"/>
    <w:rPr>
      <w:lang w:val="en-US" w:eastAsia="en-US"/>
    </w:rPr>
  </w:style>
  <w:style w:type="paragraph" w:customStyle="1" w:styleId="2651D40289FC4BB5A742DC920A0291DC">
    <w:name w:val="2651D40289FC4BB5A742DC920A0291DC"/>
    <w:rsid w:val="007350D7"/>
    <w:rPr>
      <w:lang w:val="en-US" w:eastAsia="en-US"/>
    </w:rPr>
  </w:style>
  <w:style w:type="paragraph" w:customStyle="1" w:styleId="04BB104C8E79437C8EDE846C7426C955">
    <w:name w:val="04BB104C8E79437C8EDE846C7426C955"/>
    <w:rsid w:val="00FE4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B26FD3B4-E5FF-44D0-A85D-1656AEB7A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64EBD-D699-4A57-AD31-2ECC1060F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A5845-E4B7-4E4B-9EED-B8B3AE96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39397F45.dotm</Template>
  <TotalTime>2299</TotalTime>
  <Pages>7</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119</cp:revision>
  <cp:lastPrinted>2018-10-22T22:41:00Z</cp:lastPrinted>
  <dcterms:created xsi:type="dcterms:W3CDTF">2019-04-14T23:55:00Z</dcterms:created>
  <dcterms:modified xsi:type="dcterms:W3CDTF">2020-02-27T21:10:00Z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