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32669753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12054C2" w14:textId="77777777" w:rsidR="00BD499F" w:rsidRPr="004C23F4" w:rsidRDefault="004D305F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2"/>
        <w:gridCol w:w="5034"/>
      </w:tblGrid>
      <w:tr w:rsidR="00F43AD5" w:rsidRPr="004C23F4" w14:paraId="6DA4F23E" w14:textId="77777777" w:rsidTr="00B76A41">
        <w:trPr>
          <w:cantSplit/>
          <w:tblHeader/>
        </w:trPr>
        <w:tc>
          <w:tcPr>
            <w:tcW w:w="4077" w:type="dxa"/>
          </w:tcPr>
          <w:bookmarkEnd w:id="0"/>
          <w:p w14:paraId="1060621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C9F7DAB" w14:textId="77777777" w:rsidR="00F43AD5" w:rsidRPr="00717D45" w:rsidRDefault="004D305F" w:rsidP="00B76A41">
            <w:pPr>
              <w:pStyle w:val="Tablefont"/>
            </w:pPr>
            <w:r>
              <w:t>111-65-9</w:t>
            </w:r>
          </w:p>
        </w:tc>
      </w:tr>
      <w:tr w:rsidR="00F43AD5" w:rsidRPr="004C23F4" w14:paraId="054D8397" w14:textId="77777777" w:rsidTr="00B76A41">
        <w:trPr>
          <w:cantSplit/>
        </w:trPr>
        <w:tc>
          <w:tcPr>
            <w:tcW w:w="4077" w:type="dxa"/>
          </w:tcPr>
          <w:p w14:paraId="6BEE2EA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B80BFDE" w14:textId="77777777" w:rsidR="00F43AD5" w:rsidRPr="00717D45" w:rsidRDefault="004D305F" w:rsidP="00B76A41">
            <w:pPr>
              <w:pStyle w:val="Tablefont"/>
            </w:pPr>
            <w:r>
              <w:t>Normal octane, octane, alkane</w:t>
            </w:r>
            <w:r w:rsidR="002E469A">
              <w:t xml:space="preserve"> C(8)</w:t>
            </w:r>
          </w:p>
        </w:tc>
      </w:tr>
      <w:tr w:rsidR="00F43AD5" w:rsidRPr="004C23F4" w14:paraId="703A30B7" w14:textId="77777777" w:rsidTr="00B76A41">
        <w:trPr>
          <w:cantSplit/>
        </w:trPr>
        <w:tc>
          <w:tcPr>
            <w:tcW w:w="4077" w:type="dxa"/>
          </w:tcPr>
          <w:p w14:paraId="09BDE67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53F15F5" w14:textId="77777777" w:rsidR="00F43AD5" w:rsidRPr="00717D45" w:rsidRDefault="006A5B23" w:rsidP="00B76A41">
            <w:pPr>
              <w:pStyle w:val="Tablefont"/>
            </w:pPr>
            <w:r>
              <w:t>C</w:t>
            </w:r>
            <w:r w:rsidR="00A40EE9" w:rsidRPr="00A40EE9">
              <w:rPr>
                <w:vertAlign w:val="subscript"/>
              </w:rPr>
              <w:t>8</w:t>
            </w:r>
            <w:r>
              <w:t>H</w:t>
            </w:r>
            <w:r w:rsidR="00A40EE9">
              <w:rPr>
                <w:vertAlign w:val="subscript"/>
              </w:rPr>
              <w:t>18</w:t>
            </w:r>
          </w:p>
        </w:tc>
      </w:tr>
      <w:tr w:rsidR="00F43AD5" w:rsidRPr="004C23F4" w14:paraId="01D321A7" w14:textId="77777777" w:rsidTr="00B76A41">
        <w:trPr>
          <w:cantSplit/>
        </w:trPr>
        <w:tc>
          <w:tcPr>
            <w:tcW w:w="4077" w:type="dxa"/>
          </w:tcPr>
          <w:p w14:paraId="036BDF1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C59F32E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1BBEB366" w14:textId="56F9B9A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133FB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6E0585A1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7DF51E9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FA31265" w14:textId="42C9AA76" w:rsidR="002C7AFE" w:rsidRPr="00977B4C" w:rsidRDefault="00977B4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300 ppm (1,400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67ED1990" w14:textId="77777777" w:rsidTr="00037E52">
        <w:trPr>
          <w:cantSplit/>
        </w:trPr>
        <w:tc>
          <w:tcPr>
            <w:tcW w:w="4010" w:type="dxa"/>
            <w:vAlign w:val="center"/>
          </w:tcPr>
          <w:p w14:paraId="64E462A1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28A89F1E" w14:textId="04C05152" w:rsidR="00037E52" w:rsidRPr="003133FB" w:rsidRDefault="003133FB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375 ppm (1,750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749C5869" w14:textId="77777777" w:rsidTr="00037E52">
        <w:trPr>
          <w:cantSplit/>
        </w:trPr>
        <w:tc>
          <w:tcPr>
            <w:tcW w:w="4010" w:type="dxa"/>
            <w:vAlign w:val="center"/>
          </w:tcPr>
          <w:p w14:paraId="0DFA9716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182DE70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C6148F8" w14:textId="77777777" w:rsidTr="00037E52">
        <w:trPr>
          <w:cantSplit/>
        </w:trPr>
        <w:tc>
          <w:tcPr>
            <w:tcW w:w="4010" w:type="dxa"/>
          </w:tcPr>
          <w:p w14:paraId="2CF8994D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81DDAD7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6979CE9" w14:textId="77777777" w:rsidTr="00037E52">
        <w:trPr>
          <w:cantSplit/>
        </w:trPr>
        <w:tc>
          <w:tcPr>
            <w:tcW w:w="4010" w:type="dxa"/>
            <w:vAlign w:val="center"/>
          </w:tcPr>
          <w:p w14:paraId="0B3903E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558468F" w14:textId="71995490" w:rsidR="00037E52" w:rsidRPr="00EB3D1B" w:rsidRDefault="00E56484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1,000 ppm</w:t>
            </w:r>
            <w:r w:rsidR="00D21563">
              <w:rPr>
                <w:b/>
              </w:rPr>
              <w:t xml:space="preserve"> </w:t>
            </w:r>
          </w:p>
        </w:tc>
      </w:tr>
      <w:tr w:rsidR="0072014B" w:rsidRPr="004C23F4" w14:paraId="43AF953A" w14:textId="77777777" w:rsidTr="00763F09">
        <w:trPr>
          <w:cantSplit/>
        </w:trPr>
        <w:tc>
          <w:tcPr>
            <w:tcW w:w="9026" w:type="dxa"/>
            <w:gridSpan w:val="2"/>
            <w:vAlign w:val="center"/>
          </w:tcPr>
          <w:p w14:paraId="548D16C6" w14:textId="7AC27E1E" w:rsidR="0072014B" w:rsidRPr="00EB3D1B" w:rsidRDefault="0072014B" w:rsidP="0072014B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20FE8133B9DB410088EE7C8DB0783EAE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1FCB01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5FCD414" w14:textId="6AD771E0" w:rsidR="006639B4" w:rsidRDefault="0072014B" w:rsidP="000C139A">
      <w:pPr>
        <w:rPr>
          <w:rFonts w:cs="Arial"/>
        </w:rPr>
      </w:pPr>
      <w:r w:rsidRPr="0072014B">
        <w:rPr>
          <w:rFonts w:cs="Arial"/>
        </w:rPr>
        <w:t xml:space="preserve">A TWA of </w:t>
      </w:r>
      <w:r>
        <w:rPr>
          <w:rFonts w:cs="Arial"/>
        </w:rPr>
        <w:t>300</w:t>
      </w:r>
      <w:r w:rsidRPr="0072014B">
        <w:rPr>
          <w:rFonts w:cs="Arial"/>
        </w:rPr>
        <w:t xml:space="preserve"> ppm (</w:t>
      </w:r>
      <w:r>
        <w:rPr>
          <w:rFonts w:cs="Arial"/>
        </w:rPr>
        <w:t>1,400</w:t>
      </w:r>
      <w:r w:rsidRPr="0072014B">
        <w:rPr>
          <w:rFonts w:cs="Arial"/>
        </w:rPr>
        <w:t xml:space="preserve"> mg/m</w:t>
      </w:r>
      <w:r w:rsidRPr="0072014B">
        <w:rPr>
          <w:rFonts w:cs="Arial"/>
          <w:vertAlign w:val="superscript"/>
        </w:rPr>
        <w:t>3</w:t>
      </w:r>
      <w:r w:rsidRPr="0072014B">
        <w:rPr>
          <w:rFonts w:cs="Arial"/>
        </w:rPr>
        <w:t xml:space="preserve">) is recommended to protect for </w:t>
      </w:r>
      <w:r>
        <w:rPr>
          <w:rFonts w:cs="Arial"/>
        </w:rPr>
        <w:t>narcosis and respiratory irritation</w:t>
      </w:r>
      <w:r w:rsidRPr="0072014B">
        <w:rPr>
          <w:rFonts w:cs="Arial"/>
        </w:rPr>
        <w:t xml:space="preserve"> in exposed workers</w:t>
      </w:r>
      <w:r w:rsidR="00273F67">
        <w:rPr>
          <w:rFonts w:cs="Arial"/>
        </w:rPr>
        <w:t>.</w:t>
      </w:r>
    </w:p>
    <w:p w14:paraId="2B6E5E31" w14:textId="7C41D681" w:rsidR="00C563F1" w:rsidRPr="004C23F4" w:rsidRDefault="00C563F1" w:rsidP="000C139A">
      <w:pPr>
        <w:rPr>
          <w:rFonts w:cs="Arial"/>
        </w:rPr>
      </w:pPr>
      <w:r w:rsidRPr="00C563F1">
        <w:rPr>
          <w:rFonts w:cs="Arial"/>
        </w:rPr>
        <w:t xml:space="preserve">A STEL of </w:t>
      </w:r>
      <w:r>
        <w:rPr>
          <w:rFonts w:cs="Arial"/>
        </w:rPr>
        <w:t>375</w:t>
      </w:r>
      <w:r w:rsidRPr="00C563F1">
        <w:rPr>
          <w:rFonts w:cs="Arial"/>
        </w:rPr>
        <w:t xml:space="preserve"> ppm (</w:t>
      </w:r>
      <w:r>
        <w:rPr>
          <w:rFonts w:cs="Arial"/>
        </w:rPr>
        <w:t>1,750</w:t>
      </w:r>
      <w:r w:rsidRPr="00C563F1">
        <w:rPr>
          <w:rFonts w:cs="Arial"/>
        </w:rPr>
        <w:t xml:space="preserve"> mg/m</w:t>
      </w:r>
      <w:r w:rsidRPr="00C563F1">
        <w:rPr>
          <w:rFonts w:cs="Arial"/>
          <w:vertAlign w:val="superscript"/>
        </w:rPr>
        <w:t>3</w:t>
      </w:r>
      <w:r w:rsidRPr="00C563F1">
        <w:rPr>
          <w:rFonts w:cs="Arial"/>
        </w:rPr>
        <w:t xml:space="preserve">) is recommended to protect for </w:t>
      </w:r>
      <w:r>
        <w:rPr>
          <w:rFonts w:cs="Arial"/>
        </w:rPr>
        <w:t xml:space="preserve">central nervous system depression </w:t>
      </w:r>
      <w:r w:rsidRPr="00C563F1">
        <w:rPr>
          <w:rFonts w:cs="Arial"/>
        </w:rPr>
        <w:t xml:space="preserve">in </w:t>
      </w:r>
      <w:r>
        <w:rPr>
          <w:rFonts w:cs="Arial"/>
        </w:rPr>
        <w:t xml:space="preserve">acutely </w:t>
      </w:r>
      <w:r w:rsidRPr="00C563F1">
        <w:rPr>
          <w:rFonts w:cs="Arial"/>
        </w:rPr>
        <w:t>exposed workers.</w:t>
      </w:r>
    </w:p>
    <w:p w14:paraId="1F60B5B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C272A81" w14:textId="4174D297" w:rsidR="006639B4" w:rsidRDefault="00D06722" w:rsidP="006639B4">
      <w:pPr>
        <w:rPr>
          <w:rFonts w:cs="Arial"/>
        </w:rPr>
      </w:pPr>
      <w:r>
        <w:rPr>
          <w:rFonts w:cs="Arial"/>
        </w:rPr>
        <w:t>Octane is used as a solven</w:t>
      </w:r>
      <w:r w:rsidR="00A10B39">
        <w:rPr>
          <w:rFonts w:cs="Arial"/>
        </w:rPr>
        <w:t>t and additive in distillations</w:t>
      </w:r>
      <w:r w:rsidR="000F0953">
        <w:rPr>
          <w:rFonts w:cs="Arial"/>
        </w:rPr>
        <w:t>. I</w:t>
      </w:r>
      <w:r>
        <w:rPr>
          <w:rFonts w:cs="Arial"/>
        </w:rPr>
        <w:t>t is also present in petrol</w:t>
      </w:r>
      <w:r w:rsidR="00FF720A">
        <w:rPr>
          <w:rFonts w:cs="Arial"/>
        </w:rPr>
        <w:t xml:space="preserve"> as an isomeric mixture</w:t>
      </w:r>
      <w:r w:rsidR="00C563F1">
        <w:rPr>
          <w:rFonts w:cs="Arial"/>
        </w:rPr>
        <w:t>.</w:t>
      </w:r>
    </w:p>
    <w:p w14:paraId="455CC54B" w14:textId="1F216E16" w:rsidR="00BE5954" w:rsidRDefault="00273F67" w:rsidP="0059348C">
      <w:pPr>
        <w:rPr>
          <w:rFonts w:cs="Arial"/>
        </w:rPr>
      </w:pPr>
      <w:r>
        <w:rPr>
          <w:rFonts w:cs="Arial"/>
        </w:rPr>
        <w:t>C</w:t>
      </w:r>
      <w:r w:rsidR="00C563F1">
        <w:rPr>
          <w:rFonts w:cs="Arial"/>
        </w:rPr>
        <w:t>ritical effects of</w:t>
      </w:r>
      <w:r>
        <w:rPr>
          <w:rFonts w:cs="Arial"/>
        </w:rPr>
        <w:t xml:space="preserve"> exposure include</w:t>
      </w:r>
      <w:r w:rsidR="00C563F1">
        <w:rPr>
          <w:rFonts w:cs="Arial"/>
        </w:rPr>
        <w:t xml:space="preserve"> </w:t>
      </w:r>
      <w:r w:rsidR="0059348C">
        <w:rPr>
          <w:rFonts w:cs="Arial"/>
        </w:rPr>
        <w:t xml:space="preserve">mucous membrane </w:t>
      </w:r>
      <w:r w:rsidR="00A70D45">
        <w:rPr>
          <w:rFonts w:cs="Arial"/>
        </w:rPr>
        <w:t xml:space="preserve">irritation </w:t>
      </w:r>
      <w:r w:rsidR="0059348C">
        <w:rPr>
          <w:rFonts w:cs="Arial"/>
        </w:rPr>
        <w:t>and narcosis (DFG, 2014</w:t>
      </w:r>
      <w:r w:rsidR="00BE5954">
        <w:rPr>
          <w:rFonts w:cs="Arial"/>
        </w:rPr>
        <w:t xml:space="preserve">); </w:t>
      </w:r>
      <w:r>
        <w:rPr>
          <w:rFonts w:cs="Arial"/>
        </w:rPr>
        <w:t>however</w:t>
      </w:r>
      <w:r w:rsidR="00BE5954">
        <w:rPr>
          <w:rFonts w:cs="Arial"/>
        </w:rPr>
        <w:t>,</w:t>
      </w:r>
      <w:r>
        <w:rPr>
          <w:rFonts w:cs="Arial"/>
        </w:rPr>
        <w:t xml:space="preserve"> cases of human exposure are poorly documented</w:t>
      </w:r>
      <w:r w:rsidR="0059348C">
        <w:rPr>
          <w:rFonts w:cs="Arial"/>
        </w:rPr>
        <w:t xml:space="preserve">. </w:t>
      </w:r>
    </w:p>
    <w:p w14:paraId="4AC57936" w14:textId="2AD6C2A5" w:rsidR="00FF720A" w:rsidRDefault="00D2322A" w:rsidP="0059348C">
      <w:pPr>
        <w:rPr>
          <w:rFonts w:cs="Arial"/>
        </w:rPr>
      </w:pPr>
      <w:r>
        <w:rPr>
          <w:rFonts w:cs="Arial"/>
        </w:rPr>
        <w:t>Substance-specific a</w:t>
      </w:r>
      <w:r w:rsidR="0059348C">
        <w:rPr>
          <w:rFonts w:cs="Arial"/>
        </w:rPr>
        <w:t>nimal exposure data are limited to acute inhalation studies</w:t>
      </w:r>
      <w:r w:rsidR="000F0953">
        <w:rPr>
          <w:rFonts w:cs="Arial"/>
        </w:rPr>
        <w:t>.</w:t>
      </w:r>
      <w:r w:rsidR="0059348C">
        <w:rPr>
          <w:rFonts w:cs="Arial"/>
        </w:rPr>
        <w:t xml:space="preserve"> </w:t>
      </w:r>
      <w:r w:rsidR="000F0953">
        <w:rPr>
          <w:rFonts w:cs="Arial"/>
        </w:rPr>
        <w:t>I</w:t>
      </w:r>
      <w:r w:rsidR="0059348C">
        <w:rPr>
          <w:rFonts w:cs="Arial"/>
        </w:rPr>
        <w:t xml:space="preserve">n </w:t>
      </w:r>
      <w:r w:rsidR="000F0953">
        <w:rPr>
          <w:rFonts w:cs="Arial"/>
        </w:rPr>
        <w:t xml:space="preserve">these acute studies, </w:t>
      </w:r>
      <w:r w:rsidR="00E22444">
        <w:rPr>
          <w:rFonts w:cs="Arial"/>
        </w:rPr>
        <w:t>signs of central nervous system</w:t>
      </w:r>
      <w:r w:rsidR="00FF720A">
        <w:rPr>
          <w:rFonts w:cs="Arial"/>
        </w:rPr>
        <w:t xml:space="preserve"> (CNS) </w:t>
      </w:r>
      <w:r w:rsidR="00E22444">
        <w:rPr>
          <w:rFonts w:cs="Arial"/>
        </w:rPr>
        <w:t>depression are observed at 1,0</w:t>
      </w:r>
      <w:r w:rsidR="0072014B">
        <w:rPr>
          <w:rFonts w:cs="Arial"/>
        </w:rPr>
        <w:t>00 </w:t>
      </w:r>
      <w:r w:rsidR="00E22444">
        <w:rPr>
          <w:rFonts w:cs="Arial"/>
        </w:rPr>
        <w:t xml:space="preserve">ppm in rats </w:t>
      </w:r>
      <w:r w:rsidR="00BC5B0A">
        <w:rPr>
          <w:rFonts w:cs="Arial"/>
        </w:rPr>
        <w:t>with a NOAEC of 500</w:t>
      </w:r>
      <w:r w:rsidR="00BE5954">
        <w:rPr>
          <w:rFonts w:cs="Arial"/>
        </w:rPr>
        <w:t> </w:t>
      </w:r>
      <w:r w:rsidR="00BC5B0A">
        <w:rPr>
          <w:rFonts w:cs="Arial"/>
        </w:rPr>
        <w:t xml:space="preserve">ppm </w:t>
      </w:r>
      <w:r w:rsidR="00E22444">
        <w:rPr>
          <w:rFonts w:cs="Arial"/>
        </w:rPr>
        <w:t xml:space="preserve">(DFG, 2017) and respiratory tract irritation </w:t>
      </w:r>
      <w:r w:rsidR="00A10B39">
        <w:rPr>
          <w:rFonts w:cs="Arial"/>
        </w:rPr>
        <w:t>is reported</w:t>
      </w:r>
      <w:r w:rsidR="00E22444">
        <w:rPr>
          <w:rFonts w:cs="Arial"/>
        </w:rPr>
        <w:t xml:space="preserve"> above 11,700 ppm in mice (</w:t>
      </w:r>
      <w:r>
        <w:rPr>
          <w:rFonts w:cs="Arial"/>
        </w:rPr>
        <w:t>ACGIH,</w:t>
      </w:r>
      <w:r w:rsidR="00BE5954">
        <w:rPr>
          <w:rFonts w:cs="Arial"/>
        </w:rPr>
        <w:t> </w:t>
      </w:r>
      <w:r>
        <w:rPr>
          <w:rFonts w:cs="Arial"/>
        </w:rPr>
        <w:t>2018).</w:t>
      </w:r>
      <w:r w:rsidR="000F0953">
        <w:rPr>
          <w:rFonts w:cs="Arial"/>
        </w:rPr>
        <w:t xml:space="preserve"> </w:t>
      </w:r>
      <w:r w:rsidR="00851B81">
        <w:rPr>
          <w:rFonts w:cs="Arial"/>
        </w:rPr>
        <w:t xml:space="preserve">A </w:t>
      </w:r>
      <w:r w:rsidR="00FF720A">
        <w:rPr>
          <w:rFonts w:cs="Arial"/>
        </w:rPr>
        <w:t>NOAEC of 590 ppm</w:t>
      </w:r>
      <w:r w:rsidR="00103325">
        <w:rPr>
          <w:rFonts w:cs="Arial"/>
        </w:rPr>
        <w:t xml:space="preserve"> and</w:t>
      </w:r>
      <w:r w:rsidR="00FF720A">
        <w:rPr>
          <w:rFonts w:cs="Arial"/>
        </w:rPr>
        <w:t xml:space="preserve"> </w:t>
      </w:r>
      <w:r w:rsidR="00103325">
        <w:rPr>
          <w:rFonts w:cs="Arial"/>
        </w:rPr>
        <w:t xml:space="preserve">LOAEC of 1,600 ppm </w:t>
      </w:r>
      <w:r w:rsidR="00851B81">
        <w:rPr>
          <w:rFonts w:cs="Arial"/>
        </w:rPr>
        <w:t>f</w:t>
      </w:r>
      <w:r w:rsidR="00FF720A">
        <w:rPr>
          <w:rFonts w:cs="Arial"/>
        </w:rPr>
        <w:t xml:space="preserve">or CNS depression </w:t>
      </w:r>
      <w:r w:rsidR="00C82988">
        <w:rPr>
          <w:rFonts w:cs="Arial"/>
        </w:rPr>
        <w:t xml:space="preserve">for </w:t>
      </w:r>
      <w:r w:rsidR="000F0953">
        <w:rPr>
          <w:rFonts w:cs="Arial"/>
          <w:i/>
        </w:rPr>
        <w:t>n</w:t>
      </w:r>
      <w:r w:rsidR="000F0953">
        <w:rPr>
          <w:rFonts w:cs="Arial"/>
        </w:rPr>
        <w:t xml:space="preserve">-heptane (structurally and toxicologically related to octane) </w:t>
      </w:r>
      <w:r w:rsidR="00103325">
        <w:rPr>
          <w:rFonts w:cs="Arial"/>
        </w:rPr>
        <w:t>are</w:t>
      </w:r>
      <w:r w:rsidR="00FF720A">
        <w:rPr>
          <w:rFonts w:cs="Arial"/>
        </w:rPr>
        <w:t xml:space="preserve"> reported</w:t>
      </w:r>
      <w:r w:rsidR="00103325">
        <w:rPr>
          <w:rFonts w:cs="Arial"/>
        </w:rPr>
        <w:t xml:space="preserve"> in</w:t>
      </w:r>
      <w:r w:rsidR="00FF720A">
        <w:rPr>
          <w:rFonts w:cs="Arial"/>
        </w:rPr>
        <w:t xml:space="preserve"> a sub</w:t>
      </w:r>
      <w:r w:rsidR="00BE5954">
        <w:rPr>
          <w:rFonts w:cs="Arial"/>
        </w:rPr>
        <w:t>-</w:t>
      </w:r>
      <w:r w:rsidR="00FF720A">
        <w:rPr>
          <w:rFonts w:cs="Arial"/>
        </w:rPr>
        <w:t>chronic inhalation</w:t>
      </w:r>
      <w:r w:rsidR="00BE5954">
        <w:rPr>
          <w:rFonts w:cs="Arial"/>
        </w:rPr>
        <w:t xml:space="preserve"> </w:t>
      </w:r>
      <w:r w:rsidR="00FF720A">
        <w:rPr>
          <w:rFonts w:cs="Arial"/>
        </w:rPr>
        <w:t>study</w:t>
      </w:r>
      <w:r w:rsidR="0059632A">
        <w:rPr>
          <w:rFonts w:cs="Arial"/>
        </w:rPr>
        <w:t xml:space="preserve"> in</w:t>
      </w:r>
      <w:r w:rsidR="00851B81">
        <w:rPr>
          <w:rFonts w:cs="Arial"/>
        </w:rPr>
        <w:t xml:space="preserve"> </w:t>
      </w:r>
      <w:r w:rsidR="0059632A">
        <w:rPr>
          <w:rFonts w:cs="Arial"/>
        </w:rPr>
        <w:t xml:space="preserve">rats </w:t>
      </w:r>
      <w:r w:rsidR="00851B81">
        <w:rPr>
          <w:rFonts w:cs="Arial"/>
        </w:rPr>
        <w:t>(ACGIH, 2018; DFG, 2014)</w:t>
      </w:r>
      <w:r w:rsidR="00FF720A">
        <w:rPr>
          <w:rFonts w:cs="Arial"/>
        </w:rPr>
        <w:t xml:space="preserve">. </w:t>
      </w:r>
      <w:r w:rsidR="00851B81">
        <w:rPr>
          <w:rFonts w:cs="Arial"/>
        </w:rPr>
        <w:t>Kidney</w:t>
      </w:r>
      <w:r w:rsidR="0072014B">
        <w:rPr>
          <w:rFonts w:cs="Arial"/>
        </w:rPr>
        <w:t xml:space="preserve"> and </w:t>
      </w:r>
      <w:r w:rsidR="00851B81">
        <w:rPr>
          <w:rFonts w:cs="Arial"/>
        </w:rPr>
        <w:t xml:space="preserve">liver effects </w:t>
      </w:r>
      <w:r w:rsidR="0072014B">
        <w:rPr>
          <w:rFonts w:cs="Arial"/>
        </w:rPr>
        <w:t>observed in rodents are not considered relevant to human exposure due to species-specific metabolism (DFG, 2017).</w:t>
      </w:r>
    </w:p>
    <w:p w14:paraId="1CFE4FF5" w14:textId="6112E2D9" w:rsidR="0072014B" w:rsidRPr="00D2322A" w:rsidRDefault="0072014B" w:rsidP="0059348C">
      <w:pPr>
        <w:rPr>
          <w:rFonts w:cs="Arial"/>
        </w:rPr>
      </w:pPr>
      <w:r>
        <w:rPr>
          <w:rFonts w:cs="Arial"/>
        </w:rPr>
        <w:t>B</w:t>
      </w:r>
      <w:r w:rsidR="00C563F1">
        <w:rPr>
          <w:rFonts w:cs="Arial"/>
        </w:rPr>
        <w:t xml:space="preserve">ased on </w:t>
      </w:r>
      <w:r>
        <w:rPr>
          <w:rFonts w:cs="Arial"/>
        </w:rPr>
        <w:t xml:space="preserve">these animal exposure data, the TWA of 300 ppm </w:t>
      </w:r>
      <w:r w:rsidR="00851B81">
        <w:rPr>
          <w:rFonts w:cs="Arial"/>
        </w:rPr>
        <w:t xml:space="preserve">derived by ACGIH (2018) is recommended </w:t>
      </w:r>
      <w:r w:rsidR="00C82988">
        <w:rPr>
          <w:rFonts w:cs="Arial"/>
        </w:rPr>
        <w:t xml:space="preserve">to </w:t>
      </w:r>
      <w:r w:rsidR="00851B81">
        <w:rPr>
          <w:rFonts w:cs="Arial"/>
        </w:rPr>
        <w:t xml:space="preserve">be retained and </w:t>
      </w:r>
      <w:r>
        <w:rPr>
          <w:rFonts w:cs="Arial"/>
        </w:rPr>
        <w:t>is expected to protect</w:t>
      </w:r>
      <w:r w:rsidR="0021035E">
        <w:rPr>
          <w:rFonts w:cs="Arial"/>
        </w:rPr>
        <w:t xml:space="preserve"> for </w:t>
      </w:r>
      <w:r w:rsidR="00C563F1">
        <w:rPr>
          <w:rFonts w:cs="Arial"/>
        </w:rPr>
        <w:t xml:space="preserve">narcosis and </w:t>
      </w:r>
      <w:r>
        <w:rPr>
          <w:rFonts w:cs="Arial"/>
        </w:rPr>
        <w:t xml:space="preserve">mucous membrane irritation </w:t>
      </w:r>
      <w:r w:rsidR="0021035E">
        <w:rPr>
          <w:rFonts w:cs="Arial"/>
        </w:rPr>
        <w:t>in exposed workers</w:t>
      </w:r>
      <w:r>
        <w:rPr>
          <w:rFonts w:cs="Arial"/>
        </w:rPr>
        <w:t xml:space="preserve">. </w:t>
      </w:r>
      <w:r w:rsidR="003133FB">
        <w:rPr>
          <w:rFonts w:cs="Arial"/>
        </w:rPr>
        <w:t xml:space="preserve">The recommended STEL of 375 ppm is expected to protect for potential acute CNS depression </w:t>
      </w:r>
      <w:r w:rsidR="00C563F1">
        <w:rPr>
          <w:rFonts w:cs="Arial"/>
        </w:rPr>
        <w:t xml:space="preserve">as </w:t>
      </w:r>
      <w:r w:rsidR="003133FB">
        <w:rPr>
          <w:rFonts w:cs="Arial"/>
        </w:rPr>
        <w:t xml:space="preserve">observed in rats above </w:t>
      </w:r>
      <w:r w:rsidR="00273F67">
        <w:rPr>
          <w:rFonts w:cs="Arial"/>
        </w:rPr>
        <w:t>1,000 ppm</w:t>
      </w:r>
      <w:r w:rsidR="003133FB">
        <w:rPr>
          <w:rFonts w:cs="Arial"/>
        </w:rPr>
        <w:t>.</w:t>
      </w:r>
    </w:p>
    <w:p w14:paraId="5A42DA79" w14:textId="77777777" w:rsidR="004529F0" w:rsidRPr="004C23F4" w:rsidRDefault="004529F0" w:rsidP="00BF65A6">
      <w:pPr>
        <w:pStyle w:val="Heading2"/>
      </w:pPr>
      <w:r>
        <w:lastRenderedPageBreak/>
        <w:t>Recommendation for notations</w:t>
      </w:r>
    </w:p>
    <w:p w14:paraId="51C42AA6" w14:textId="6B2A56DB" w:rsidR="008E4F1F" w:rsidRPr="0072014B" w:rsidRDefault="008E4F1F" w:rsidP="00273F67">
      <w:pPr>
        <w:keepNext/>
        <w:rPr>
          <w:rFonts w:cs="Arial"/>
        </w:rPr>
      </w:pPr>
      <w:r w:rsidRPr="0072014B">
        <w:rPr>
          <w:rFonts w:cs="Arial"/>
        </w:rPr>
        <w:t>Not classified as a carcinogen according to the Globally Harmonized System of Classification and Labelling o</w:t>
      </w:r>
      <w:r w:rsidR="00BF65A6">
        <w:rPr>
          <w:rFonts w:cs="Arial"/>
        </w:rPr>
        <w:t>f</w:t>
      </w:r>
      <w:r w:rsidRPr="0072014B">
        <w:rPr>
          <w:rFonts w:cs="Arial"/>
        </w:rPr>
        <w:t xml:space="preserve"> Chemicals (GHS). </w:t>
      </w:r>
    </w:p>
    <w:p w14:paraId="6DA50236" w14:textId="0D102F1D" w:rsidR="008E4F1F" w:rsidRPr="0072014B" w:rsidRDefault="008E4F1F" w:rsidP="00273F67">
      <w:pPr>
        <w:keepNext/>
        <w:rPr>
          <w:rFonts w:cs="Arial"/>
        </w:rPr>
      </w:pPr>
      <w:r w:rsidRPr="0072014B">
        <w:rPr>
          <w:rFonts w:cs="Arial"/>
        </w:rPr>
        <w:t>Not classified as a skin</w:t>
      </w:r>
      <w:r w:rsidR="00BF65A6" w:rsidRPr="00BF65A6">
        <w:rPr>
          <w:rFonts w:cs="Arial"/>
        </w:rPr>
        <w:t xml:space="preserve"> </w:t>
      </w:r>
      <w:r w:rsidR="00BF65A6" w:rsidRPr="0072014B">
        <w:rPr>
          <w:rFonts w:cs="Arial"/>
        </w:rPr>
        <w:t>sensitiser</w:t>
      </w:r>
      <w:r w:rsidRPr="0072014B">
        <w:rPr>
          <w:rFonts w:cs="Arial"/>
        </w:rPr>
        <w:t xml:space="preserve"> or respiratory sensitiser according to the GHS.</w:t>
      </w:r>
    </w:p>
    <w:p w14:paraId="77685824" w14:textId="6B16017F" w:rsidR="0025734A" w:rsidRPr="004C23F4" w:rsidRDefault="00273F67" w:rsidP="00273F67">
      <w:pPr>
        <w:keepNext/>
        <w:rPr>
          <w:rFonts w:cs="Arial"/>
        </w:rPr>
      </w:pPr>
      <w:r>
        <w:rPr>
          <w:rFonts w:cs="Arial"/>
        </w:rPr>
        <w:t>There are i</w:t>
      </w:r>
      <w:r w:rsidR="008E4F1F" w:rsidRPr="0072014B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72014B">
        <w:rPr>
          <w:rFonts w:cs="Arial"/>
        </w:rPr>
        <w:t xml:space="preserve"> to recommend a skin notation.</w:t>
      </w:r>
    </w:p>
    <w:p w14:paraId="790A50B0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BC67AA2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85B54B9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257D295" w14:textId="77777777" w:rsidTr="00117152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2CDF5B4" w14:textId="77777777" w:rsidR="00C978F0" w:rsidRPr="00DA352E" w:rsidRDefault="00C978F0" w:rsidP="00BF65A6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971A49A" w14:textId="77777777" w:rsidTr="0011715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E366FF3" w14:textId="77777777" w:rsidR="00DE26E8" w:rsidRPr="003365A5" w:rsidRDefault="00DE26E8" w:rsidP="00273F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40EE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40EE9">
                  <w:t>TWA: 300 ppm (1,400 mg/m</w:t>
                </w:r>
                <w:r w:rsidR="00A40EE9" w:rsidRPr="00A40EE9">
                  <w:rPr>
                    <w:vertAlign w:val="superscript"/>
                  </w:rPr>
                  <w:t>3</w:t>
                </w:r>
                <w:r w:rsidR="00A40EE9">
                  <w:t>); STEL: 375 ppm (1,750 mg/m</w:t>
                </w:r>
                <w:r w:rsidR="00A40EE9" w:rsidRPr="00A40EE9">
                  <w:rPr>
                    <w:vertAlign w:val="superscript"/>
                  </w:rPr>
                  <w:t>3</w:t>
                </w:r>
                <w:r w:rsidR="00A40EE9">
                  <w:t>)</w:t>
                </w:r>
              </w:sdtContent>
            </w:sdt>
          </w:p>
        </w:tc>
      </w:tr>
      <w:tr w:rsidR="00C978F0" w:rsidRPr="00DA352E" w14:paraId="3B79CDC0" w14:textId="77777777" w:rsidTr="00117152">
        <w:trPr>
          <w:gridAfter w:val="1"/>
          <w:wAfter w:w="8" w:type="pct"/>
        </w:trPr>
        <w:tc>
          <w:tcPr>
            <w:tcW w:w="4992" w:type="pct"/>
          </w:tcPr>
          <w:p w14:paraId="27C4944B" w14:textId="77777777" w:rsidR="00C978F0" w:rsidRPr="00DA352E" w:rsidRDefault="00C978F0" w:rsidP="00BF65A6">
            <w:pPr>
              <w:pStyle w:val="Tabletextprimarysource"/>
            </w:pPr>
          </w:p>
        </w:tc>
      </w:tr>
      <w:tr w:rsidR="00C978F0" w:rsidRPr="00DA352E" w14:paraId="35B52E9C" w14:textId="77777777" w:rsidTr="0011715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AD703AF" w14:textId="77777777" w:rsidR="00C978F0" w:rsidRPr="00DA352E" w:rsidRDefault="00DA352E" w:rsidP="00273F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A18E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B79C1">
                  <w:t>TLV-</w:t>
                </w:r>
                <w:r w:rsidR="004A18E4" w:rsidRPr="004A18E4">
                  <w:t>TWA: 300 ppm (1,40</w:t>
                </w:r>
                <w:r w:rsidR="009B79C1">
                  <w:t>1</w:t>
                </w:r>
                <w:r w:rsidR="004A18E4" w:rsidRPr="004A18E4">
                  <w:t xml:space="preserve"> mg</w:t>
                </w:r>
                <w:r w:rsidR="004A18E4">
                  <w:t>/m</w:t>
                </w:r>
                <w:r w:rsidR="004A18E4" w:rsidRPr="00E974F3">
                  <w:rPr>
                    <w:vertAlign w:val="superscript"/>
                  </w:rPr>
                  <w:t>3</w:t>
                </w:r>
                <w:r w:rsidR="004A18E4">
                  <w:t>)</w:t>
                </w:r>
              </w:sdtContent>
            </w:sdt>
          </w:p>
        </w:tc>
      </w:tr>
      <w:tr w:rsidR="00C978F0" w:rsidRPr="00DA352E" w14:paraId="305CC027" w14:textId="77777777" w:rsidTr="00117152">
        <w:trPr>
          <w:gridAfter w:val="1"/>
          <w:wAfter w:w="8" w:type="pct"/>
        </w:trPr>
        <w:tc>
          <w:tcPr>
            <w:tcW w:w="4992" w:type="pct"/>
          </w:tcPr>
          <w:p w14:paraId="6C8ED71D" w14:textId="77777777" w:rsidR="00DE1E93" w:rsidRDefault="00B339B2" w:rsidP="00BF65A6">
            <w:pPr>
              <w:pStyle w:val="Tabletextprimarysource"/>
            </w:pPr>
            <w:r>
              <w:t>TLV-TWA recommended for all octane isomers and intended to protect for irritation of mucous membranes and narcosis at higher concentrations. Peak exposures</w:t>
            </w:r>
            <w:r w:rsidR="000D7C73">
              <w:t xml:space="preserve"> near the TLV-TWA</w:t>
            </w:r>
            <w:r>
              <w:t xml:space="preserve"> should be </w:t>
            </w:r>
            <w:r w:rsidR="000D7C73">
              <w:t>controlled</w:t>
            </w:r>
            <w:r>
              <w:t xml:space="preserve"> to 10% LEL of 1,000 ppm due to high flammability.</w:t>
            </w:r>
            <w:r w:rsidR="00DE1E93">
              <w:t xml:space="preserve"> </w:t>
            </w:r>
          </w:p>
          <w:p w14:paraId="02C9EEF1" w14:textId="2673282D" w:rsidR="00C978F0" w:rsidRDefault="00DE1E93" w:rsidP="00BF65A6">
            <w:pPr>
              <w:pStyle w:val="Tabletextprimarysource"/>
            </w:pPr>
            <w:r>
              <w:t xml:space="preserve">TLV-STEL </w:t>
            </w:r>
            <w:r w:rsidR="003133FB">
              <w:t xml:space="preserve">of 375 ppm </w:t>
            </w:r>
            <w:r>
              <w:t>withdrawn in 1999.</w:t>
            </w:r>
          </w:p>
          <w:p w14:paraId="17E045FB" w14:textId="77777777" w:rsidR="00B339B2" w:rsidRDefault="00B339B2" w:rsidP="00BF65A6">
            <w:pPr>
              <w:pStyle w:val="Tabletextprimarysource"/>
            </w:pPr>
            <w:r>
              <w:t>Summary of data:</w:t>
            </w:r>
          </w:p>
          <w:p w14:paraId="11E96B08" w14:textId="0FC2D5FF" w:rsidR="007C6B27" w:rsidRPr="007C6B27" w:rsidRDefault="000D7C73" w:rsidP="00BF65A6">
            <w:pPr>
              <w:pStyle w:val="Tabletextprimarysource"/>
            </w:pPr>
            <w:r>
              <w:t>In the absence of robust toxicological data, m</w:t>
            </w:r>
            <w:r w:rsidR="007C6B27">
              <w:t>edian respiratory depression (RD</w:t>
            </w:r>
            <w:r w:rsidR="007C6B27">
              <w:rPr>
                <w:vertAlign w:val="subscript"/>
              </w:rPr>
              <w:t>50</w:t>
            </w:r>
            <w:r w:rsidR="007C6B27">
              <w:t xml:space="preserve">) used as line of evidence to derive TLV-TWA from established ratio of 0.03 </w:t>
            </w:r>
            <w:r w:rsidR="007C6B27">
              <w:rPr>
                <w:rFonts w:cs="Arial"/>
              </w:rPr>
              <w:t>×</w:t>
            </w:r>
            <w:r w:rsidR="007C6B27">
              <w:t xml:space="preserve"> </w:t>
            </w:r>
            <w:r w:rsidR="00B278B9">
              <w:t>RD</w:t>
            </w:r>
            <w:r w:rsidR="00B278B9">
              <w:rPr>
                <w:vertAlign w:val="subscript"/>
              </w:rPr>
              <w:t>50</w:t>
            </w:r>
            <w:r w:rsidR="007C6B27">
              <w:t xml:space="preserve"> </w:t>
            </w:r>
            <w:r w:rsidR="007C6B27">
              <w:rPr>
                <w:rFonts w:cs="Arial"/>
              </w:rPr>
              <w:t>≈</w:t>
            </w:r>
            <w:r w:rsidR="00B278B9">
              <w:t>TLV</w:t>
            </w:r>
            <w:r w:rsidR="007C6B27">
              <w:t xml:space="preserve"> </w:t>
            </w:r>
            <w:r w:rsidR="007C6B27">
              <w:rPr>
                <w:rFonts w:cs="Arial"/>
              </w:rPr>
              <w:t>≈</w:t>
            </w:r>
            <w:r w:rsidR="007C6B27">
              <w:t xml:space="preserve">540 ppm, which supports analogy to other alkanes. Neurotoxicity not expected at TLV-TWA due to low potential for formation of neurotoxic </w:t>
            </w:r>
            <w:r w:rsidR="00EC1FD3">
              <w:t xml:space="preserve">diketone </w:t>
            </w:r>
            <w:r w:rsidR="007C6B27">
              <w:t>metabolites</w:t>
            </w:r>
            <w:r>
              <w:t>.</w:t>
            </w:r>
          </w:p>
          <w:p w14:paraId="42BBC8E7" w14:textId="77777777" w:rsidR="00B339B2" w:rsidRDefault="00B339B2" w:rsidP="00BF65A6">
            <w:pPr>
              <w:pStyle w:val="Tabletextprimarysource"/>
            </w:pPr>
            <w:r>
              <w:t>Human data:</w:t>
            </w:r>
          </w:p>
          <w:p w14:paraId="39172C32" w14:textId="46D41459" w:rsidR="00B339B2" w:rsidRDefault="007C6B27" w:rsidP="00BF65A6">
            <w:pPr>
              <w:pStyle w:val="Tabletextprimarysource"/>
              <w:numPr>
                <w:ilvl w:val="0"/>
                <w:numId w:val="2"/>
              </w:numPr>
            </w:pPr>
            <w:r>
              <w:t>Narcotic at 8,000–10,000 ppm; fatal at 13,500 ppm (no further details provided)</w:t>
            </w:r>
            <w:r w:rsidR="00B80386">
              <w:t>:</w:t>
            </w:r>
          </w:p>
          <w:p w14:paraId="490751AE" w14:textId="259F5733" w:rsidR="007C6B27" w:rsidRDefault="007C6B27" w:rsidP="0022090B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data suggest octane is as potent or twice as potent as heptane</w:t>
            </w:r>
          </w:p>
          <w:p w14:paraId="38D5600C" w14:textId="77777777" w:rsidR="00B339B2" w:rsidRDefault="00B339B2" w:rsidP="00BF65A6">
            <w:pPr>
              <w:pStyle w:val="Tabletextprimarysource"/>
            </w:pPr>
            <w:r>
              <w:t>Animal data:</w:t>
            </w:r>
          </w:p>
          <w:p w14:paraId="6CD26C0C" w14:textId="5A219E42" w:rsidR="00B339B2" w:rsidRDefault="00B339B2" w:rsidP="00BF65A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Sensitivity of mucous membrane irritation and narcosis endpoints </w:t>
            </w:r>
            <w:r w:rsidR="007C15E3">
              <w:t xml:space="preserve">increases </w:t>
            </w:r>
            <w:r>
              <w:t>with molecular weight</w:t>
            </w:r>
            <w:r w:rsidR="0059348C">
              <w:t xml:space="preserve"> (species and experimental details not specified)</w:t>
            </w:r>
          </w:p>
          <w:p w14:paraId="5F87F155" w14:textId="38B0383D" w:rsidR="00B339B2" w:rsidRDefault="00B339B2" w:rsidP="00BF65A6">
            <w:pPr>
              <w:pStyle w:val="Tabletextprimarysource"/>
              <w:numPr>
                <w:ilvl w:val="0"/>
                <w:numId w:val="2"/>
              </w:numPr>
            </w:pPr>
            <w:r>
              <w:t>Narcosis at 6,660–13,700 ppm (mice, 30–90 min)</w:t>
            </w:r>
            <w:r w:rsidR="00B80386">
              <w:t>:</w:t>
            </w:r>
          </w:p>
          <w:p w14:paraId="7D423626" w14:textId="2E4420AC" w:rsidR="00B339B2" w:rsidRDefault="007C6B27" w:rsidP="0022090B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r</w:t>
            </w:r>
            <w:r w:rsidR="00B339B2">
              <w:t>espiratory arrest occurred at 16,000 ppm in 1/4 mice (&lt;5 min) or at 32,000 ppm in 4/4</w:t>
            </w:r>
            <w:r w:rsidR="00B80386">
              <w:t> </w:t>
            </w:r>
            <w:r w:rsidR="00B339B2">
              <w:t>mice (&lt;3 min)</w:t>
            </w:r>
          </w:p>
          <w:p w14:paraId="70243BB3" w14:textId="16BCB94B" w:rsidR="000A3D86" w:rsidRDefault="007C6B27" w:rsidP="00BF65A6">
            <w:pPr>
              <w:pStyle w:val="Tabletextprimarysource"/>
              <w:numPr>
                <w:ilvl w:val="0"/>
                <w:numId w:val="2"/>
              </w:numPr>
            </w:pPr>
            <w:r>
              <w:t>RD</w:t>
            </w:r>
            <w:r>
              <w:rPr>
                <w:vertAlign w:val="subscript"/>
              </w:rPr>
              <w:t>50</w:t>
            </w:r>
            <w:r w:rsidR="000A3D86">
              <w:t>: 18,150 ppm (mice, duration not specified)</w:t>
            </w:r>
            <w:r w:rsidR="00E22444">
              <w:t>; extrapolated from experimental data, highest tested dose of 11,700 ppm had no effect (as cited in DFG, 2014)</w:t>
            </w:r>
            <w:r w:rsidR="00BF65A6">
              <w:t>.</w:t>
            </w:r>
          </w:p>
          <w:p w14:paraId="611D3B39" w14:textId="77777777" w:rsidR="00B80386" w:rsidRDefault="00B80386" w:rsidP="0022090B">
            <w:pPr>
              <w:pStyle w:val="Tabletextprimarysource"/>
            </w:pPr>
          </w:p>
          <w:p w14:paraId="6A5692A4" w14:textId="16204DB4" w:rsidR="00B339B2" w:rsidRDefault="00B339B2" w:rsidP="00BF65A6">
            <w:pPr>
              <w:pStyle w:val="Tabletextprimarysource"/>
            </w:pPr>
            <w:r>
              <w:t>Insufficient data to recommend a TLV-STEL and notations for carcinogenicity, skin absorption and sensitisation.</w:t>
            </w:r>
          </w:p>
          <w:p w14:paraId="39133172" w14:textId="4A2AE316" w:rsidR="00B80386" w:rsidRPr="00DA352E" w:rsidRDefault="00B80386" w:rsidP="00BF65A6">
            <w:pPr>
              <w:pStyle w:val="Tabletextprimarysource"/>
            </w:pPr>
          </w:p>
        </w:tc>
      </w:tr>
      <w:tr w:rsidR="00C978F0" w:rsidRPr="00DA352E" w14:paraId="1C22FB7E" w14:textId="77777777" w:rsidTr="0011715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144548F" w14:textId="10B6EC65" w:rsidR="00C978F0" w:rsidRDefault="00DA352E" w:rsidP="00B85BB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  <w:ind w:left="2852" w:hanging="2852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41828">
                  <w:t>1961</w:t>
                </w:r>
              </w:sdtContent>
            </w:sdt>
            <w:r w:rsidR="00BF65A6">
              <w:t xml:space="preserve"> </w:t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56DEC">
                  <w:t xml:space="preserve">Octane isomers except </w:t>
                </w:r>
                <w:proofErr w:type="spellStart"/>
                <w:r w:rsidR="00156DEC">
                  <w:t>trimethylpentanes</w:t>
                </w:r>
                <w:proofErr w:type="spellEnd"/>
                <w:r w:rsidR="00273F67">
                  <w:t xml:space="preserve"> </w:t>
                </w:r>
                <w:r w:rsidR="00156DEC">
                  <w:t xml:space="preserve"> </w:t>
                </w:r>
                <w:r w:rsidR="00E974F3">
                  <w:t>MAK: 500 ppm (</w:t>
                </w:r>
                <w:r w:rsidR="00156DEC">
                  <w:t>2,370</w:t>
                </w:r>
                <w:r w:rsidR="00E974F3">
                  <w:t xml:space="preserve"> mg/m</w:t>
                </w:r>
                <w:r w:rsidR="00E974F3" w:rsidRPr="00E974F3">
                  <w:rPr>
                    <w:vertAlign w:val="superscript"/>
                  </w:rPr>
                  <w:t>3</w:t>
                </w:r>
                <w:r w:rsidR="00E974F3">
                  <w:t>)</w:t>
                </w:r>
              </w:sdtContent>
            </w:sdt>
          </w:p>
          <w:p w14:paraId="656CDB39" w14:textId="399CB6F5" w:rsidR="00156DEC" w:rsidRPr="00DA352E" w:rsidRDefault="00BF65A6" w:rsidP="00B85BB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  <w:ind w:left="2852" w:hanging="2852"/>
            </w:pPr>
            <w:r>
              <w:t xml:space="preserve"> </w:t>
            </w:r>
            <w:sdt>
              <w:sdtPr>
                <w:id w:val="1673985526"/>
                <w:placeholder>
                  <w:docPart w:val="49566B8F2F4140CE87FBD418C13A9802"/>
                </w:placeholder>
                <w:text/>
              </w:sdtPr>
              <w:sdtEndPr/>
              <w:sdtContent>
                <w:r w:rsidR="00273F67">
                  <w:t xml:space="preserve">                        </w:t>
                </w:r>
                <w:r>
                  <w:t>2016</w:t>
                </w:r>
              </w:sdtContent>
            </w:sdt>
            <w:r>
              <w:t xml:space="preserve"> </w:t>
            </w:r>
            <w:sdt>
              <w:sdtPr>
                <w:alias w:val="DFG WES equivalent"/>
                <w:tag w:val="DFG WES equivalent"/>
                <w:id w:val="1494683874"/>
                <w:placeholder>
                  <w:docPart w:val="C038C34F5D934C9A84FA4DB59A5443DA"/>
                </w:placeholder>
              </w:sdtPr>
              <w:sdtEndPr/>
              <w:sdtContent>
                <w:proofErr w:type="spellStart"/>
                <w:r w:rsidR="00156DEC">
                  <w:t>Trimethylpentanes</w:t>
                </w:r>
                <w:proofErr w:type="spellEnd"/>
                <w:r w:rsidR="00156DEC">
                  <w:t xml:space="preserve"> </w:t>
                </w:r>
                <w:r w:rsidR="00273F67">
                  <w:t xml:space="preserve"> </w:t>
                </w:r>
                <w:r w:rsidR="00156DEC">
                  <w:t>MAK: 100 ppm (470 mg/m</w:t>
                </w:r>
                <w:r w:rsidR="00156DEC" w:rsidRPr="00E974F3">
                  <w:rPr>
                    <w:vertAlign w:val="superscript"/>
                  </w:rPr>
                  <w:t>3</w:t>
                </w:r>
                <w:r w:rsidR="00156DEC">
                  <w:t>)</w:t>
                </w:r>
              </w:sdtContent>
            </w:sdt>
          </w:p>
        </w:tc>
      </w:tr>
      <w:tr w:rsidR="00C978F0" w:rsidRPr="00DA352E" w14:paraId="184D6615" w14:textId="77777777" w:rsidTr="00117152">
        <w:trPr>
          <w:gridAfter w:val="1"/>
          <w:wAfter w:w="8" w:type="pct"/>
        </w:trPr>
        <w:tc>
          <w:tcPr>
            <w:tcW w:w="0" w:type="pct"/>
          </w:tcPr>
          <w:p w14:paraId="0516C5D4" w14:textId="77777777" w:rsidR="002C41AA" w:rsidRDefault="002C41AA" w:rsidP="00BF65A6">
            <w:pPr>
              <w:pStyle w:val="Tabletextprimarysource"/>
            </w:pPr>
            <w:r>
              <w:t>Summary of additional data:</w:t>
            </w:r>
          </w:p>
          <w:p w14:paraId="55AFFA34" w14:textId="3A96B6AF" w:rsidR="003476AC" w:rsidRDefault="00897C8E" w:rsidP="00BF65A6">
            <w:pPr>
              <w:pStyle w:val="Tabletextprimarysource"/>
            </w:pPr>
            <w:r>
              <w:t>Critical effects are mucous membrane irritation and</w:t>
            </w:r>
            <w:r w:rsidR="0072014B">
              <w:t xml:space="preserve"> CNS</w:t>
            </w:r>
            <w:r w:rsidR="00AE0B61">
              <w:t xml:space="preserve"> </w:t>
            </w:r>
            <w:r>
              <w:t>depression. In</w:t>
            </w:r>
            <w:r w:rsidR="00E3036F">
              <w:t xml:space="preserve"> the</w:t>
            </w:r>
            <w:r>
              <w:t xml:space="preserve"> absence of robust repeat exposure data, MAK evaluated</w:t>
            </w:r>
            <w:r w:rsidR="00B278B9">
              <w:t xml:space="preserve"> for all octane isomers except </w:t>
            </w:r>
            <w:proofErr w:type="spellStart"/>
            <w:r w:rsidR="00B278B9">
              <w:t>trimethylpentane</w:t>
            </w:r>
            <w:proofErr w:type="spellEnd"/>
            <w:r w:rsidR="00C6686E">
              <w:t xml:space="preserve"> (isooctane)</w:t>
            </w:r>
            <w:r>
              <w:t xml:space="preserve"> </w:t>
            </w:r>
            <w:r w:rsidR="00BC5B0A">
              <w:t>and based on acute octane exposure data and</w:t>
            </w:r>
            <w:r>
              <w:t xml:space="preserve"> analogy to </w:t>
            </w:r>
            <w:r w:rsidRPr="00897C8E">
              <w:rPr>
                <w:i/>
              </w:rPr>
              <w:t>n</w:t>
            </w:r>
            <w:r>
              <w:t xml:space="preserve">-heptane and </w:t>
            </w:r>
            <w:r w:rsidRPr="00897C8E">
              <w:rPr>
                <w:i/>
              </w:rPr>
              <w:t>n</w:t>
            </w:r>
            <w:r w:rsidR="00B278B9">
              <w:t>-</w:t>
            </w:r>
            <w:proofErr w:type="spellStart"/>
            <w:r w:rsidR="00B278B9">
              <w:t>nonane</w:t>
            </w:r>
            <w:proofErr w:type="spellEnd"/>
            <w:r w:rsidR="00B278B9">
              <w:t>.</w:t>
            </w:r>
            <w:r w:rsidR="00B979F2">
              <w:t xml:space="preserve"> </w:t>
            </w:r>
            <w:r w:rsidR="0059632A">
              <w:t xml:space="preserve">Irritant </w:t>
            </w:r>
            <w:r w:rsidR="00B71CAB">
              <w:t xml:space="preserve">effects </w:t>
            </w:r>
            <w:r w:rsidR="003476AC">
              <w:t xml:space="preserve">are </w:t>
            </w:r>
            <w:r w:rsidR="00B71CAB">
              <w:t xml:space="preserve">produced at </w:t>
            </w:r>
            <w:r w:rsidR="005A0F5D">
              <w:t xml:space="preserve">2,000 ppm of </w:t>
            </w:r>
            <w:r w:rsidR="005A0F5D" w:rsidRPr="005A0F5D">
              <w:rPr>
                <w:i/>
              </w:rPr>
              <w:t>n</w:t>
            </w:r>
            <w:r w:rsidR="00B71CAB">
              <w:t>-octane</w:t>
            </w:r>
            <w:r w:rsidR="005A0F5D">
              <w:t xml:space="preserve"> </w:t>
            </w:r>
            <w:r w:rsidR="00B71CAB">
              <w:t>in acutely exposed rats</w:t>
            </w:r>
            <w:r w:rsidR="003476AC">
              <w:t xml:space="preserve"> and a </w:t>
            </w:r>
            <w:r w:rsidR="00B979F2">
              <w:t xml:space="preserve">NOEC of </w:t>
            </w:r>
            <w:r w:rsidR="005A0F5D">
              <w:t xml:space="preserve">590 ppm of </w:t>
            </w:r>
            <w:r w:rsidR="005A0F5D">
              <w:rPr>
                <w:i/>
              </w:rPr>
              <w:t>n</w:t>
            </w:r>
            <w:r w:rsidR="005A0F5D">
              <w:t xml:space="preserve">-heptane for signs of </w:t>
            </w:r>
            <w:r w:rsidR="00AE0B61">
              <w:t xml:space="preserve">CNS depression </w:t>
            </w:r>
            <w:r w:rsidR="005A0F5D">
              <w:t xml:space="preserve">with </w:t>
            </w:r>
            <w:r w:rsidR="00AE0B61">
              <w:t xml:space="preserve">a </w:t>
            </w:r>
            <w:r w:rsidR="005A0F5D">
              <w:t>corresponding LOEC of 1,600 ppm</w:t>
            </w:r>
            <w:r w:rsidR="003476AC">
              <w:t xml:space="preserve"> is reported</w:t>
            </w:r>
            <w:r w:rsidR="005A0F5D">
              <w:t xml:space="preserve"> in </w:t>
            </w:r>
            <w:r w:rsidR="003476AC">
              <w:t xml:space="preserve">a </w:t>
            </w:r>
            <w:r w:rsidR="005A0F5D">
              <w:t>sub</w:t>
            </w:r>
            <w:r w:rsidR="00851B81">
              <w:t>-</w:t>
            </w:r>
            <w:r w:rsidR="005A0F5D">
              <w:t>chronic inhalation study</w:t>
            </w:r>
            <w:r w:rsidR="0059632A">
              <w:t xml:space="preserve"> in rats</w:t>
            </w:r>
            <w:r w:rsidR="003476AC">
              <w:t>.</w:t>
            </w:r>
          </w:p>
          <w:p w14:paraId="5B1E92D4" w14:textId="067D23AF" w:rsidR="00C6469E" w:rsidRDefault="003476AC" w:rsidP="00BF65A6">
            <w:pPr>
              <w:pStyle w:val="Tabletextprimarysource"/>
            </w:pPr>
            <w:proofErr w:type="spellStart"/>
            <w:r>
              <w:t>Trimethylpentane</w:t>
            </w:r>
            <w:proofErr w:type="spellEnd"/>
            <w:r w:rsidR="00B71CAB">
              <w:t xml:space="preserve"> evaluated separately </w:t>
            </w:r>
            <w:r w:rsidR="00C6469E">
              <w:t>due to</w:t>
            </w:r>
            <w:r w:rsidR="00025D9C">
              <w:t xml:space="preserve"> species and sex-specific nephrotoxicity</w:t>
            </w:r>
            <w:r w:rsidR="00103325">
              <w:t xml:space="preserve"> and</w:t>
            </w:r>
            <w:r w:rsidR="00C6469E">
              <w:t xml:space="preserve"> his</w:t>
            </w:r>
            <w:r w:rsidR="00103325">
              <w:t>torical carcinogenicity notation</w:t>
            </w:r>
            <w:r>
              <w:t xml:space="preserve">. </w:t>
            </w:r>
            <w:proofErr w:type="spellStart"/>
            <w:r w:rsidR="00C6469E">
              <w:t>Trimethylpentane</w:t>
            </w:r>
            <w:proofErr w:type="spellEnd"/>
            <w:r w:rsidR="00C6469E">
              <w:t xml:space="preserve"> MAK derived</w:t>
            </w:r>
            <w:r>
              <w:t xml:space="preserve"> from NOAEC of 500 ppm in </w:t>
            </w:r>
            <w:r w:rsidR="0059632A">
              <w:t xml:space="preserve">rat </w:t>
            </w:r>
            <w:r>
              <w:t>acute exposure study and extrapolated to an 8</w:t>
            </w:r>
            <w:r w:rsidR="0059632A">
              <w:t>-</w:t>
            </w:r>
            <w:r>
              <w:t xml:space="preserve">h shift assuming a half-life of 1 h </w:t>
            </w:r>
            <w:r w:rsidR="00C53772">
              <w:t>calculated from PBPK modelling. No reliable sub</w:t>
            </w:r>
            <w:r w:rsidR="00851B81">
              <w:t>-</w:t>
            </w:r>
            <w:r w:rsidR="00C53772">
              <w:t xml:space="preserve">chronic exposure data </w:t>
            </w:r>
            <w:r w:rsidR="00500EB2">
              <w:t>available</w:t>
            </w:r>
            <w:r w:rsidR="00C53772">
              <w:t>.</w:t>
            </w:r>
          </w:p>
          <w:p w14:paraId="2411F1B3" w14:textId="77777777" w:rsidR="00B71CAB" w:rsidRDefault="00B71CAB" w:rsidP="00273F67">
            <w:pPr>
              <w:pStyle w:val="Tabletextprimarysource"/>
              <w:keepNext/>
            </w:pPr>
            <w:r>
              <w:lastRenderedPageBreak/>
              <w:t>Human data:</w:t>
            </w:r>
          </w:p>
          <w:p w14:paraId="5F72214A" w14:textId="77777777" w:rsidR="00B71CAB" w:rsidRDefault="00EC1FD3" w:rsidP="00273F67">
            <w:pPr>
              <w:pStyle w:val="Tabletextprimarysource"/>
              <w:keepNext/>
              <w:numPr>
                <w:ilvl w:val="0"/>
                <w:numId w:val="2"/>
              </w:numPr>
            </w:pPr>
            <w:r>
              <w:t xml:space="preserve">20% pulmonary retention expected based on values for </w:t>
            </w:r>
            <w:r>
              <w:rPr>
                <w:i/>
              </w:rPr>
              <w:t>n</w:t>
            </w:r>
            <w:r>
              <w:rPr>
                <w:i/>
              </w:rPr>
              <w:softHyphen/>
            </w:r>
            <w:r>
              <w:t xml:space="preserve">-hexane and </w:t>
            </w:r>
            <w:r>
              <w:rPr>
                <w:i/>
              </w:rPr>
              <w:t>n</w:t>
            </w:r>
            <w:r>
              <w:t>-heptane</w:t>
            </w:r>
          </w:p>
          <w:p w14:paraId="3873F5BD" w14:textId="77777777" w:rsidR="00EC1FD3" w:rsidRDefault="00AE0B61" w:rsidP="00273F67">
            <w:pPr>
              <w:pStyle w:val="Tabletextprimarysource"/>
              <w:keepNext/>
              <w:numPr>
                <w:ilvl w:val="0"/>
                <w:numId w:val="2"/>
              </w:numPr>
            </w:pPr>
            <w:r>
              <w:t>Inhalation cause</w:t>
            </w:r>
            <w:r w:rsidR="003476AC">
              <w:t>d</w:t>
            </w:r>
            <w:r>
              <w:t xml:space="preserve"> respiratory tract irritation, respiratory depression, pulmonary oedema, and excitation of the CNS (no further details provided)</w:t>
            </w:r>
          </w:p>
          <w:p w14:paraId="50D10A6E" w14:textId="015C7F24" w:rsidR="00CB67E5" w:rsidRDefault="00CB67E5" w:rsidP="00273F67">
            <w:pPr>
              <w:pStyle w:val="Tabletextprimarysource"/>
              <w:keepNext/>
              <w:numPr>
                <w:ilvl w:val="0"/>
                <w:numId w:val="2"/>
              </w:numPr>
            </w:pPr>
            <w:r>
              <w:t xml:space="preserve">Peripheral neuropathy associated with </w:t>
            </w:r>
            <w:r>
              <w:rPr>
                <w:i/>
              </w:rPr>
              <w:t>n</w:t>
            </w:r>
            <w:r>
              <w:t xml:space="preserve">-hexane exposure not observed for </w:t>
            </w:r>
            <w:r w:rsidRPr="00CB67E5">
              <w:rPr>
                <w:i/>
              </w:rPr>
              <w:t>n</w:t>
            </w:r>
            <w:r>
              <w:t>-</w:t>
            </w:r>
            <w:r w:rsidRPr="00CB67E5">
              <w:t>octane</w:t>
            </w:r>
            <w:r w:rsidR="00BF65A6">
              <w:t>.</w:t>
            </w:r>
          </w:p>
          <w:p w14:paraId="7E89EDE8" w14:textId="77777777" w:rsidR="00C6686E" w:rsidRDefault="00C6686E" w:rsidP="00BF65A6">
            <w:pPr>
              <w:pStyle w:val="Tabletextprimarysource"/>
            </w:pPr>
            <w:r>
              <w:t>Animal data:</w:t>
            </w:r>
          </w:p>
          <w:p w14:paraId="0C78D638" w14:textId="77777777" w:rsidR="003476AC" w:rsidRDefault="003476AC">
            <w:pPr>
              <w:pStyle w:val="Tabletextprimarysource"/>
            </w:pPr>
            <w:proofErr w:type="spellStart"/>
            <w:r w:rsidRPr="003476AC">
              <w:rPr>
                <w:i/>
              </w:rPr>
              <w:t>Trimethylpentane</w:t>
            </w:r>
            <w:proofErr w:type="spellEnd"/>
          </w:p>
          <w:p w14:paraId="12BEDC6B" w14:textId="77777777" w:rsidR="00156DEC" w:rsidRDefault="00156DEC">
            <w:pPr>
              <w:pStyle w:val="Tabletextprimarysource"/>
              <w:numPr>
                <w:ilvl w:val="0"/>
                <w:numId w:val="2"/>
              </w:numPr>
            </w:pPr>
            <w:r>
              <w:t>RD</w:t>
            </w:r>
            <w:r>
              <w:rPr>
                <w:vertAlign w:val="subscript"/>
              </w:rPr>
              <w:t>50</w:t>
            </w:r>
            <w:r>
              <w:t xml:space="preserve"> for </w:t>
            </w:r>
            <w:proofErr w:type="spellStart"/>
            <w:r>
              <w:t>trimethylpentane</w:t>
            </w:r>
            <w:proofErr w:type="spellEnd"/>
            <w:r>
              <w:t xml:space="preserve"> &gt;1,000 ppm (mice, 30 min)</w:t>
            </w:r>
          </w:p>
          <w:p w14:paraId="3F1A9F95" w14:textId="54862B98" w:rsidR="003476AC" w:rsidRDefault="003476AC">
            <w:pPr>
              <w:pStyle w:val="Tabletextprimarysource"/>
              <w:numPr>
                <w:ilvl w:val="0"/>
                <w:numId w:val="2"/>
              </w:numPr>
            </w:pPr>
            <w:r>
              <w:t>NOAEC</w:t>
            </w:r>
            <w:r w:rsidR="00C53772">
              <w:t xml:space="preserve"> for </w:t>
            </w:r>
            <w:r w:rsidR="00BC5B0A">
              <w:t>slight</w:t>
            </w:r>
            <w:r w:rsidR="00C53772">
              <w:t xml:space="preserve"> neurotoxicity</w:t>
            </w:r>
            <w:r>
              <w:t xml:space="preserve">: 500 ppm of </w:t>
            </w:r>
            <w:proofErr w:type="spellStart"/>
            <w:r>
              <w:t>trimethylpentane</w:t>
            </w:r>
            <w:proofErr w:type="spellEnd"/>
            <w:r>
              <w:t xml:space="preserve"> reported in acute inhalation study (rats, 60 min)</w:t>
            </w:r>
            <w:r w:rsidR="00E22444">
              <w:t>; LOAEC: 1,000 ppm</w:t>
            </w:r>
            <w:r w:rsidR="00BF65A6">
              <w:t>.</w:t>
            </w:r>
          </w:p>
          <w:p w14:paraId="7B68DF22" w14:textId="77777777" w:rsidR="003476AC" w:rsidRPr="003476AC" w:rsidRDefault="003476AC">
            <w:pPr>
              <w:pStyle w:val="Tabletextprimarysource"/>
              <w:rPr>
                <w:i/>
              </w:rPr>
            </w:pPr>
            <w:r w:rsidRPr="003476AC">
              <w:rPr>
                <w:i/>
              </w:rPr>
              <w:t xml:space="preserve">Octane isomers except </w:t>
            </w:r>
            <w:proofErr w:type="spellStart"/>
            <w:r w:rsidRPr="003476AC">
              <w:rPr>
                <w:i/>
              </w:rPr>
              <w:t>trimethylpentane</w:t>
            </w:r>
            <w:proofErr w:type="spellEnd"/>
          </w:p>
          <w:p w14:paraId="01450A8D" w14:textId="3DF2D0A9" w:rsidR="003476AC" w:rsidRDefault="003476AC">
            <w:pPr>
              <w:pStyle w:val="Tabletextprimarysource"/>
              <w:numPr>
                <w:ilvl w:val="0"/>
                <w:numId w:val="2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24,895 ppm (rats, 4 h)</w:t>
            </w:r>
          </w:p>
          <w:p w14:paraId="273BC8ED" w14:textId="1BB64129" w:rsidR="00D2322A" w:rsidRDefault="00D2322A">
            <w:pPr>
              <w:pStyle w:val="Tabletextprimarysource"/>
              <w:numPr>
                <w:ilvl w:val="0"/>
                <w:numId w:val="2"/>
              </w:numPr>
            </w:pPr>
            <w:r>
              <w:t>RD</w:t>
            </w:r>
            <w:r>
              <w:rPr>
                <w:vertAlign w:val="subscript"/>
              </w:rPr>
              <w:t>50</w:t>
            </w:r>
            <w:r>
              <w:t>: 18,200 ppm (mice,</w:t>
            </w:r>
            <w:r w:rsidR="0072014B">
              <w:t xml:space="preserve"> </w:t>
            </w:r>
            <w:r>
              <w:t>10 min</w:t>
            </w:r>
            <w:r w:rsidR="0072014B">
              <w:t>, calculated</w:t>
            </w:r>
            <w:r>
              <w:t>); RD</w:t>
            </w:r>
            <w:r>
              <w:rPr>
                <w:vertAlign w:val="subscript"/>
              </w:rPr>
              <w:t>50</w:t>
            </w:r>
            <w:r w:rsidR="00FF720A">
              <w:t xml:space="preserve"> for</w:t>
            </w:r>
            <w:r>
              <w:t xml:space="preserve"> </w:t>
            </w:r>
            <w:r>
              <w:rPr>
                <w:i/>
              </w:rPr>
              <w:t>n</w:t>
            </w:r>
            <w:r>
              <w:t>-heptane: 15,600 ppm (10 min), 17,400 ppm (30 min)</w:t>
            </w:r>
          </w:p>
          <w:p w14:paraId="39EE8901" w14:textId="678F26CE" w:rsidR="00DE1E93" w:rsidRDefault="00DE1E93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Dermal penetration </w:t>
            </w:r>
            <w:r>
              <w:rPr>
                <w:i/>
              </w:rPr>
              <w:t>in vitro</w:t>
            </w:r>
            <w:r>
              <w:t xml:space="preserve"> (rat skin): 0.56 ng/cm</w:t>
            </w:r>
            <w:r>
              <w:rPr>
                <w:vertAlign w:val="superscript"/>
              </w:rPr>
              <w:t>2</w:t>
            </w:r>
            <w:r>
              <w:t>/h</w:t>
            </w:r>
          </w:p>
          <w:p w14:paraId="50B2659D" w14:textId="77777777" w:rsidR="00C6686E" w:rsidRDefault="00C6686E">
            <w:pPr>
              <w:pStyle w:val="Tabletextprimarysource"/>
              <w:numPr>
                <w:ilvl w:val="0"/>
                <w:numId w:val="2"/>
              </w:numPr>
            </w:pPr>
            <w:r>
              <w:t>Inhaled doses distributed in body; accumulation in adipose tissue</w:t>
            </w:r>
          </w:p>
          <w:p w14:paraId="66F1202F" w14:textId="77777777" w:rsidR="003476AC" w:rsidRDefault="00C6686E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Nephropathy from oral doses of various octane isomers except </w:t>
            </w:r>
            <w:r w:rsidRPr="00C6686E">
              <w:rPr>
                <w:i/>
              </w:rPr>
              <w:t>n</w:t>
            </w:r>
            <w:r>
              <w:t xml:space="preserve">-octane </w:t>
            </w:r>
            <w:r w:rsidRPr="00C6686E">
              <w:t>in</w:t>
            </w:r>
            <w:r>
              <w:t xml:space="preserve"> rats </w:t>
            </w:r>
          </w:p>
          <w:p w14:paraId="4B6CA2CF" w14:textId="77777777" w:rsidR="00E3036F" w:rsidRDefault="00E3036F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Slight to moderate kidney damage </w:t>
            </w:r>
            <w:r w:rsidR="0098561A">
              <w:t xml:space="preserve">with isomeric mixture </w:t>
            </w:r>
            <w:r>
              <w:t xml:space="preserve">at 800 mg/kg </w:t>
            </w:r>
            <w:r w:rsidR="0098561A">
              <w:t xml:space="preserve">compared to controls </w:t>
            </w:r>
            <w:r>
              <w:t xml:space="preserve">in repeat </w:t>
            </w:r>
            <w:r w:rsidR="0098561A">
              <w:t>gavage</w:t>
            </w:r>
            <w:r>
              <w:t xml:space="preserve"> dose study (rats, </w:t>
            </w:r>
            <w:r w:rsidR="0081718F">
              <w:t>14 d)</w:t>
            </w:r>
          </w:p>
          <w:p w14:paraId="487EB4FA" w14:textId="725D8884" w:rsidR="00C6469E" w:rsidRDefault="00C53772" w:rsidP="00BF65A6">
            <w:pPr>
              <w:pStyle w:val="Tabletextprimarysource"/>
              <w:numPr>
                <w:ilvl w:val="0"/>
                <w:numId w:val="2"/>
              </w:numPr>
            </w:pPr>
            <w:r>
              <w:t>OECD-compliant s</w:t>
            </w:r>
            <w:r w:rsidR="00C6469E">
              <w:t>ub</w:t>
            </w:r>
            <w:r w:rsidR="00500EB2">
              <w:t>-</w:t>
            </w:r>
            <w:r w:rsidR="00C6469E">
              <w:t xml:space="preserve">chronic inhalation study reported NOAEC at highest tested dose of 1,600 ppm </w:t>
            </w:r>
            <w:r w:rsidR="003476AC">
              <w:t>of</w:t>
            </w:r>
            <w:r w:rsidR="00C6469E">
              <w:t xml:space="preserve"> </w:t>
            </w:r>
            <w:r w:rsidR="00C6469E" w:rsidRPr="00C6469E">
              <w:rPr>
                <w:i/>
              </w:rPr>
              <w:t>n</w:t>
            </w:r>
            <w:r w:rsidR="00C6469E">
              <w:t xml:space="preserve">-octane (rats, </w:t>
            </w:r>
            <w:r>
              <w:t xml:space="preserve">13 </w:t>
            </w:r>
            <w:proofErr w:type="spellStart"/>
            <w:r>
              <w:t>wk</w:t>
            </w:r>
            <w:proofErr w:type="spellEnd"/>
            <w:r>
              <w:t>, exposure frequency not specified in document</w:t>
            </w:r>
            <w:r w:rsidR="00C6469E">
              <w:t>)</w:t>
            </w:r>
          </w:p>
          <w:p w14:paraId="3FF1A513" w14:textId="399301F0" w:rsidR="00E3036F" w:rsidRDefault="0098561A" w:rsidP="00BF65A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 kidney damage with </w:t>
            </w:r>
            <w:r w:rsidR="00500EB2">
              <w:t xml:space="preserve">pure </w:t>
            </w:r>
            <w:r w:rsidRPr="0098561A">
              <w:rPr>
                <w:i/>
              </w:rPr>
              <w:t>n</w:t>
            </w:r>
            <w:r>
              <w:t>-octane at 1,400 mg/kg every 2 d as oral dose (rats, 14 d)</w:t>
            </w:r>
          </w:p>
          <w:p w14:paraId="3456A3F8" w14:textId="77777777" w:rsidR="002C41AA" w:rsidRDefault="002C41AA" w:rsidP="00BF65A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Measures of cell proliferation not changed by incubation of Syrian hamster embryo cells with </w:t>
            </w:r>
            <w:r>
              <w:rPr>
                <w:i/>
              </w:rPr>
              <w:t>n</w:t>
            </w:r>
            <w:r>
              <w:t>-octane or 2-methylheptane</w:t>
            </w:r>
          </w:p>
          <w:p w14:paraId="7ADD214E" w14:textId="2782BA68" w:rsidR="002C41AA" w:rsidRDefault="002C41AA" w:rsidP="00BF65A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Chronic inhalation study using unleaded petrol that contained octane isomer mixtures at </w:t>
            </w:r>
            <w:r>
              <w:rPr>
                <w:rFonts w:cs="Arial"/>
              </w:rPr>
              <w:t>≈</w:t>
            </w:r>
            <w:r>
              <w:t xml:space="preserve">17% caused sex and </w:t>
            </w:r>
            <w:r w:rsidR="00500EB2">
              <w:t>species-specific</w:t>
            </w:r>
            <w:r>
              <w:t xml:space="preserve"> liver and kidney tumours; exposure groups 0, 67, 292, and 2,056 ppm (rats, mice, 2 </w:t>
            </w:r>
            <w:proofErr w:type="spellStart"/>
            <w:r>
              <w:t>yr</w:t>
            </w:r>
            <w:proofErr w:type="spellEnd"/>
            <w:r>
              <w:t>)</w:t>
            </w:r>
            <w:r w:rsidR="00B80386">
              <w:t>:</w:t>
            </w:r>
          </w:p>
          <w:p w14:paraId="1053A0BB" w14:textId="77777777" w:rsidR="002C41AA" w:rsidRDefault="002C41AA" w:rsidP="0022090B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kidney tumours observed in male rats at 67 ppm (none in controls)</w:t>
            </w:r>
          </w:p>
          <w:p w14:paraId="7349CEEB" w14:textId="3CD7EC0C" w:rsidR="002C41AA" w:rsidRDefault="002C41AA" w:rsidP="0022090B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liver tumours observed in female mice in all exposure groups, slightly higher than controls at 67 ppm</w:t>
            </w:r>
          </w:p>
          <w:p w14:paraId="7193F4EB" w14:textId="437DE175" w:rsidR="00E51D8E" w:rsidRDefault="0081718F" w:rsidP="00BF65A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 </w:t>
            </w:r>
            <w:proofErr w:type="spellStart"/>
            <w:r>
              <w:t>genotoxicity</w:t>
            </w:r>
            <w:proofErr w:type="spellEnd"/>
            <w:r>
              <w:t xml:space="preserve"> data </w:t>
            </w:r>
            <w:r w:rsidR="00F94D52">
              <w:t>provided</w:t>
            </w:r>
            <w:r w:rsidR="00BF65A6">
              <w:t>.</w:t>
            </w:r>
          </w:p>
          <w:p w14:paraId="0BC76A66" w14:textId="77777777" w:rsidR="00B80386" w:rsidRDefault="00B80386" w:rsidP="00BF65A6">
            <w:pPr>
              <w:pStyle w:val="Tabletextprimarysource"/>
            </w:pPr>
          </w:p>
          <w:p w14:paraId="79E2BC06" w14:textId="4628CD20" w:rsidR="00DC575F" w:rsidRDefault="002C41AA" w:rsidP="00BF65A6">
            <w:pPr>
              <w:pStyle w:val="Tabletextprimarysource"/>
            </w:pPr>
            <w:r>
              <w:t>Carcinogenicity n</w:t>
            </w:r>
            <w:r w:rsidR="00103325">
              <w:t>otation not recommended due to insufficient data.</w:t>
            </w:r>
            <w:r w:rsidR="00716C05">
              <w:t xml:space="preserve"> Skin notation not warranted based on low dermal penetration rate </w:t>
            </w:r>
            <w:r w:rsidR="00716C05">
              <w:rPr>
                <w:i/>
              </w:rPr>
              <w:t>in vitro</w:t>
            </w:r>
            <w:r w:rsidR="00716C05">
              <w:t>. Sensitiser notation not warranted based on lack of evidence in cases of human exposure.</w:t>
            </w:r>
          </w:p>
          <w:p w14:paraId="5427DCC5" w14:textId="1D44F7CA" w:rsidR="00B80386" w:rsidRPr="005A0F5D" w:rsidRDefault="00B80386" w:rsidP="00BF65A6">
            <w:pPr>
              <w:pStyle w:val="Tabletextprimarysource"/>
            </w:pPr>
          </w:p>
        </w:tc>
      </w:tr>
      <w:tr w:rsidR="00C978F0" w:rsidRPr="00DA352E" w14:paraId="1FB3CA9C" w14:textId="77777777" w:rsidTr="0011715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C51F869" w14:textId="77777777" w:rsidR="00C978F0" w:rsidRPr="00DA352E" w:rsidRDefault="00DA352E" w:rsidP="00273F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5714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75714F">
                  <w:t>NA</w:t>
                </w:r>
                <w:proofErr w:type="spellEnd"/>
              </w:sdtContent>
            </w:sdt>
          </w:p>
        </w:tc>
      </w:tr>
      <w:tr w:rsidR="00C978F0" w:rsidRPr="00DA352E" w14:paraId="297415D7" w14:textId="77777777" w:rsidTr="00117152">
        <w:trPr>
          <w:gridAfter w:val="1"/>
          <w:wAfter w:w="8" w:type="pct"/>
        </w:trPr>
        <w:tc>
          <w:tcPr>
            <w:tcW w:w="4992" w:type="pct"/>
          </w:tcPr>
          <w:p w14:paraId="4F707CE4" w14:textId="10E3274E" w:rsidR="00C978F0" w:rsidRPr="00DA352E" w:rsidRDefault="0075714F" w:rsidP="00BF65A6">
            <w:pPr>
              <w:pStyle w:val="Tabletextprimarysource"/>
            </w:pPr>
            <w:r>
              <w:t>No report</w:t>
            </w:r>
            <w:r w:rsidR="00BF65A6">
              <w:t>.</w:t>
            </w:r>
          </w:p>
        </w:tc>
      </w:tr>
      <w:tr w:rsidR="00DA352E" w:rsidRPr="00DA352E" w14:paraId="11D36C98" w14:textId="77777777" w:rsidTr="0011715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7698DE" w14:textId="77777777" w:rsidR="00DA352E" w:rsidRPr="00DA352E" w:rsidRDefault="00DA352E" w:rsidP="00273F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5714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5714F">
                  <w:t>NA</w:t>
                </w:r>
                <w:proofErr w:type="spellEnd"/>
              </w:sdtContent>
            </w:sdt>
          </w:p>
        </w:tc>
      </w:tr>
      <w:tr w:rsidR="00DA352E" w:rsidRPr="00DA352E" w14:paraId="6704C3C3" w14:textId="77777777" w:rsidTr="00117152">
        <w:trPr>
          <w:gridAfter w:val="1"/>
          <w:wAfter w:w="8" w:type="pct"/>
        </w:trPr>
        <w:tc>
          <w:tcPr>
            <w:tcW w:w="4992" w:type="pct"/>
          </w:tcPr>
          <w:p w14:paraId="76F9C4EE" w14:textId="7567A36A" w:rsidR="00DA352E" w:rsidRPr="00DA352E" w:rsidRDefault="0075714F" w:rsidP="00BF65A6">
            <w:pPr>
              <w:pStyle w:val="Tabletextprimarysource"/>
            </w:pPr>
            <w:r>
              <w:t>No report</w:t>
            </w:r>
            <w:r w:rsidR="00BF65A6">
              <w:t>.</w:t>
            </w:r>
          </w:p>
        </w:tc>
      </w:tr>
      <w:tr w:rsidR="00DA352E" w:rsidRPr="00DA352E" w14:paraId="1F22639B" w14:textId="77777777" w:rsidTr="0011715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CD6FFDC" w14:textId="448F1787" w:rsidR="00DA352E" w:rsidRPr="00DA352E" w:rsidRDefault="00DA352E" w:rsidP="00273F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5714F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117152">
                  <w:t>TWA</w:t>
                </w:r>
                <w:r w:rsidR="0075714F">
                  <w:t>: 300 ppm (1,450 mg/m</w:t>
                </w:r>
                <w:r w:rsidR="0075714F" w:rsidRPr="0075714F">
                  <w:rPr>
                    <w:vertAlign w:val="superscript"/>
                  </w:rPr>
                  <w:t>3</w:t>
                </w:r>
                <w:r w:rsidR="0075714F">
                  <w:t>)</w:t>
                </w:r>
              </w:sdtContent>
            </w:sdt>
          </w:p>
        </w:tc>
      </w:tr>
      <w:tr w:rsidR="00DA352E" w:rsidRPr="00DA352E" w14:paraId="058D02BB" w14:textId="77777777" w:rsidTr="00117152">
        <w:trPr>
          <w:gridAfter w:val="1"/>
          <w:wAfter w:w="8" w:type="pct"/>
        </w:trPr>
        <w:tc>
          <w:tcPr>
            <w:tcW w:w="4992" w:type="pct"/>
          </w:tcPr>
          <w:p w14:paraId="0553EC22" w14:textId="77777777" w:rsidR="00DA352E" w:rsidRDefault="00252701" w:rsidP="00BF65A6">
            <w:pPr>
              <w:pStyle w:val="Tabletextprimarysource"/>
            </w:pPr>
            <w:r>
              <w:t>Summary of additional data:</w:t>
            </w:r>
          </w:p>
          <w:p w14:paraId="7F967804" w14:textId="77777777" w:rsidR="00252701" w:rsidRDefault="00252701" w:rsidP="00BF65A6">
            <w:pPr>
              <w:pStyle w:val="Tabletextprimarysource"/>
            </w:pPr>
            <w:r>
              <w:t>Insufficient data to comment on the suitability of the current administrative OEL.</w:t>
            </w:r>
          </w:p>
          <w:p w14:paraId="4A871CFA" w14:textId="77777777" w:rsidR="00877C14" w:rsidRDefault="00877C14" w:rsidP="00BF65A6">
            <w:pPr>
              <w:pStyle w:val="Tabletextprimarysource"/>
            </w:pPr>
            <w:r>
              <w:t>Human data:</w:t>
            </w:r>
          </w:p>
          <w:p w14:paraId="3C6F6F79" w14:textId="57AB3649" w:rsidR="00877C14" w:rsidRDefault="00877C14" w:rsidP="00BF65A6">
            <w:pPr>
              <w:pStyle w:val="Tabletextprimarysource"/>
              <w:numPr>
                <w:ilvl w:val="0"/>
                <w:numId w:val="2"/>
              </w:numPr>
            </w:pPr>
            <w:r>
              <w:t>Erythema, hyperaemia, itching sensation, and inflammation when applied to forearm (1 h) or thigh (5 h) in volunteer dermal application study</w:t>
            </w:r>
            <w:r w:rsidR="002F58C5">
              <w:t>.</w:t>
            </w:r>
          </w:p>
          <w:p w14:paraId="1A1447D5" w14:textId="77777777" w:rsidR="00877C14" w:rsidRDefault="00877C14" w:rsidP="00BF65A6">
            <w:pPr>
              <w:pStyle w:val="Tabletextprimarysource"/>
            </w:pPr>
            <w:r>
              <w:t>Animal data:</w:t>
            </w:r>
          </w:p>
          <w:p w14:paraId="171465D0" w14:textId="77777777" w:rsidR="00877C14" w:rsidRDefault="00877C14" w:rsidP="00BF65A6">
            <w:pPr>
              <w:pStyle w:val="Tabletextprimarysource"/>
              <w:numPr>
                <w:ilvl w:val="0"/>
                <w:numId w:val="2"/>
              </w:numPr>
            </w:pPr>
            <w:r>
              <w:lastRenderedPageBreak/>
              <w:t>No significant changes in motor activity and behaviour at 2,940 ppm (rats, 8 h/d, 3 d)</w:t>
            </w:r>
          </w:p>
          <w:p w14:paraId="2A68C205" w14:textId="2401B856" w:rsidR="00877C14" w:rsidRDefault="00877C14" w:rsidP="00BF65A6">
            <w:pPr>
              <w:pStyle w:val="Tabletextprimarysource"/>
              <w:numPr>
                <w:ilvl w:val="0"/>
                <w:numId w:val="2"/>
              </w:numPr>
            </w:pPr>
            <w:r>
              <w:t>Cumulative inhalational exposure at 3,000, 5,600 and 7,000 ppm caused delayed behavioural responses in rats exposed at 40 min intervals over 4 h; NOAEC: 1,000 ppm</w:t>
            </w:r>
            <w:r w:rsidR="002F58C5">
              <w:t>.</w:t>
            </w:r>
          </w:p>
          <w:p w14:paraId="04928F38" w14:textId="60369E6E" w:rsidR="00E4446A" w:rsidRPr="00DA352E" w:rsidRDefault="00E4446A" w:rsidP="00E4446A">
            <w:pPr>
              <w:pStyle w:val="Tabletextprimarysource"/>
              <w:ind w:left="720"/>
            </w:pPr>
          </w:p>
        </w:tc>
      </w:tr>
    </w:tbl>
    <w:p w14:paraId="0DAE79EE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59BCB192" w14:textId="77777777" w:rsidTr="00D06722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7988699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146ABCF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F39C64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3678F78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D06722" w:rsidRPr="004C23F4" w14:paraId="725AF6CB" w14:textId="77777777" w:rsidTr="00D06722">
        <w:trPr>
          <w:cantSplit/>
        </w:trPr>
        <w:tc>
          <w:tcPr>
            <w:tcW w:w="1498" w:type="dxa"/>
          </w:tcPr>
          <w:p w14:paraId="25F7C8EA" w14:textId="77777777" w:rsidR="00D06722" w:rsidRPr="004C23F4" w:rsidRDefault="00D06722" w:rsidP="00D0672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2DE37135" w14:textId="4B7375AC" w:rsidR="00D06722" w:rsidRPr="00CE617F" w:rsidRDefault="008B3B1E" w:rsidP="00D06722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F14DEAA53C2D4B01BB9788EB043D5F8B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1715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97ABA93" w14:textId="77777777" w:rsidR="00D06722" w:rsidRPr="004C23F4" w:rsidRDefault="00D06722" w:rsidP="00D06722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4" w:type="dxa"/>
          </w:tcPr>
          <w:p w14:paraId="44545558" w14:textId="3E2C59A0" w:rsidR="00D06722" w:rsidRPr="004C23F4" w:rsidRDefault="00D06722" w:rsidP="0022090B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Long-term inhalational DNEL: 430 ppm based on repeat dose systemic NOAEC in animals; neither study presented this NOAEC nor </w:t>
            </w:r>
            <w:r w:rsidR="00117152">
              <w:rPr>
                <w:rStyle w:val="checkbox"/>
                <w:rFonts w:ascii="Arial" w:hAnsi="Arial" w:cs="Arial"/>
              </w:rPr>
              <w:t xml:space="preserve">is </w:t>
            </w:r>
            <w:r>
              <w:rPr>
                <w:rStyle w:val="checkbox"/>
                <w:rFonts w:ascii="Arial" w:hAnsi="Arial" w:cs="Arial"/>
              </w:rPr>
              <w:t xml:space="preserve">the derivation of the DNEL </w:t>
            </w:r>
            <w:r w:rsidR="00117152">
              <w:rPr>
                <w:rStyle w:val="checkbox"/>
                <w:rFonts w:ascii="Arial" w:hAnsi="Arial" w:cs="Arial"/>
              </w:rPr>
              <w:t>discussed.</w:t>
            </w:r>
          </w:p>
        </w:tc>
      </w:tr>
      <w:tr w:rsidR="00D06722" w:rsidRPr="004C23F4" w14:paraId="6E2BCC13" w14:textId="77777777" w:rsidTr="00D06722">
        <w:trPr>
          <w:cantSplit/>
        </w:trPr>
        <w:tc>
          <w:tcPr>
            <w:tcW w:w="1498" w:type="dxa"/>
          </w:tcPr>
          <w:p w14:paraId="26BAC42E" w14:textId="77777777" w:rsidR="00D06722" w:rsidRPr="004C23F4" w:rsidRDefault="00D06722" w:rsidP="00D06722">
            <w:pPr>
              <w:pStyle w:val="Tablefont"/>
            </w:pPr>
            <w:r>
              <w:t>OECD</w:t>
            </w:r>
          </w:p>
        </w:tc>
        <w:tc>
          <w:tcPr>
            <w:tcW w:w="423" w:type="dxa"/>
          </w:tcPr>
          <w:p w14:paraId="6604EB0E" w14:textId="77777777" w:rsidR="00D06722" w:rsidRPr="00CE617F" w:rsidRDefault="008B3B1E" w:rsidP="00D06722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8045826EC5C7495C972EA96510DEF37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06722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65BA69D3" w14:textId="77777777" w:rsidR="00D06722" w:rsidRPr="004C23F4" w:rsidRDefault="00D06722" w:rsidP="00D06722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2010</w:t>
            </w:r>
          </w:p>
        </w:tc>
        <w:tc>
          <w:tcPr>
            <w:tcW w:w="6444" w:type="dxa"/>
          </w:tcPr>
          <w:p w14:paraId="3B7AB984" w14:textId="5C7BAC33" w:rsidR="00D06722" w:rsidRPr="004C23F4" w:rsidRDefault="00117152" w:rsidP="0022090B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suitable. G</w:t>
            </w:r>
            <w:r w:rsidR="00D06722">
              <w:rPr>
                <w:rStyle w:val="checkbox"/>
                <w:rFonts w:ascii="Arial" w:hAnsi="Arial" w:cs="Arial"/>
              </w:rPr>
              <w:t>rouped with C7-C9 hydrocarbons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D06722" w:rsidRPr="004C23F4" w14:paraId="28D5D399" w14:textId="77777777" w:rsidTr="00D06722">
        <w:trPr>
          <w:cantSplit/>
        </w:trPr>
        <w:tc>
          <w:tcPr>
            <w:tcW w:w="1498" w:type="dxa"/>
          </w:tcPr>
          <w:p w14:paraId="2140EDEA" w14:textId="77777777" w:rsidR="00D06722" w:rsidRDefault="00D06722" w:rsidP="00D06722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52F3EAF8" w14:textId="77777777" w:rsidR="00D06722" w:rsidRDefault="008B3B1E" w:rsidP="00D06722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D3740EA7711B4BAEA498F40A90C1CCAE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0672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28A1870" w14:textId="77777777" w:rsidR="00D06722" w:rsidRPr="004C23F4" w:rsidRDefault="00D06722" w:rsidP="00D06722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4" w:type="dxa"/>
          </w:tcPr>
          <w:p w14:paraId="36D8738E" w14:textId="08DEBC2F" w:rsidR="00D06722" w:rsidRPr="004C23F4" w:rsidRDefault="00D06722" w:rsidP="00B85BB7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620310">
              <w:rPr>
                <w:rStyle w:val="checkbox"/>
                <w:rFonts w:ascii="Arial" w:hAnsi="Arial" w:cs="Arial"/>
              </w:rPr>
              <w:t xml:space="preserve">IDLH </w:t>
            </w:r>
            <w:r w:rsidR="00E4446A">
              <w:rPr>
                <w:rStyle w:val="checkbox"/>
                <w:rFonts w:ascii="Arial" w:hAnsi="Arial" w:cs="Arial"/>
              </w:rPr>
              <w:t xml:space="preserve">of 1,000 ppm </w:t>
            </w:r>
            <w:r w:rsidRPr="00620310">
              <w:rPr>
                <w:rStyle w:val="checkbox"/>
                <w:rFonts w:ascii="Arial" w:hAnsi="Arial" w:cs="Arial"/>
              </w:rPr>
              <w:t xml:space="preserve">based strictly on </w:t>
            </w:r>
            <w:r>
              <w:rPr>
                <w:rStyle w:val="checkbox"/>
                <w:rFonts w:ascii="Arial" w:hAnsi="Arial" w:cs="Arial"/>
              </w:rPr>
              <w:t>10</w:t>
            </w:r>
            <w:r w:rsidRPr="00620310">
              <w:rPr>
                <w:rStyle w:val="checkbox"/>
                <w:rFonts w:ascii="Arial" w:hAnsi="Arial" w:cs="Arial"/>
              </w:rPr>
              <w:t xml:space="preserve">% </w:t>
            </w:r>
            <w:r>
              <w:rPr>
                <w:rStyle w:val="checkbox"/>
                <w:rFonts w:ascii="Arial" w:hAnsi="Arial" w:cs="Arial"/>
              </w:rPr>
              <w:t>of LEL.</w:t>
            </w:r>
          </w:p>
        </w:tc>
      </w:tr>
    </w:tbl>
    <w:bookmarkEnd w:id="1"/>
    <w:p w14:paraId="1C3C85DB" w14:textId="77777777" w:rsidR="007E2A4B" w:rsidRDefault="007E2A4B" w:rsidP="00273F67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4A1D85ED" w14:textId="77777777" w:rsidTr="00D06722">
        <w:trPr>
          <w:trHeight w:val="454"/>
          <w:tblHeader/>
        </w:trPr>
        <w:tc>
          <w:tcPr>
            <w:tcW w:w="6597" w:type="dxa"/>
            <w:vAlign w:val="center"/>
          </w:tcPr>
          <w:p w14:paraId="58E7D55C" w14:textId="77777777" w:rsidR="002E0D61" w:rsidRDefault="00B1422A" w:rsidP="00273F67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0F10A1B" w14:textId="77777777" w:rsidR="002E0D61" w:rsidRDefault="00D06722" w:rsidP="00273F67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4B15D2E" w14:textId="77777777" w:rsidTr="00D06722">
        <w:trPr>
          <w:trHeight w:val="454"/>
        </w:trPr>
        <w:tc>
          <w:tcPr>
            <w:tcW w:w="6597" w:type="dxa"/>
            <w:vAlign w:val="center"/>
          </w:tcPr>
          <w:p w14:paraId="69A79FF3" w14:textId="77777777" w:rsidR="008A36CF" w:rsidRDefault="008A36CF" w:rsidP="00273F67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EB018B9" w14:textId="77777777" w:rsidR="008A36CF" w:rsidRDefault="00D06722" w:rsidP="00273F67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194CE3E8" w14:textId="77777777" w:rsidTr="00D0672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43507DBC" w14:textId="77777777" w:rsidR="008A36CF" w:rsidRPr="006901A2" w:rsidRDefault="00D06722" w:rsidP="00273F67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01F46ED7" w14:textId="77777777" w:rsidR="008A36CF" w:rsidRDefault="008A36CF" w:rsidP="00273F67">
            <w:pPr>
              <w:pStyle w:val="Tablefont"/>
              <w:keepLines/>
              <w:spacing w:before="40" w:after="40"/>
            </w:pPr>
          </w:p>
        </w:tc>
      </w:tr>
    </w:tbl>
    <w:bookmarkEnd w:id="2"/>
    <w:p w14:paraId="35CFFECC" w14:textId="77777777" w:rsidR="00687890" w:rsidRPr="004C23F4" w:rsidRDefault="00B479A9" w:rsidP="002F58C5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7E67D37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76E957B" w14:textId="77777777" w:rsidR="00687890" w:rsidRPr="004C23F4" w:rsidRDefault="00687890" w:rsidP="00273F67">
            <w:pPr>
              <w:pStyle w:val="Tableheader"/>
              <w:keepNext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8693A18" w14:textId="77777777" w:rsidR="00687890" w:rsidRPr="004C23F4" w:rsidRDefault="00687890" w:rsidP="00273F67">
            <w:pPr>
              <w:pStyle w:val="Tableheader"/>
              <w:keepNext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7E3D686" w14:textId="77777777" w:rsidTr="00812887">
        <w:trPr>
          <w:cantSplit/>
        </w:trPr>
        <w:tc>
          <w:tcPr>
            <w:tcW w:w="3227" w:type="dxa"/>
          </w:tcPr>
          <w:p w14:paraId="205E804C" w14:textId="77777777" w:rsidR="004079B4" w:rsidRPr="004C23F4" w:rsidRDefault="00084513" w:rsidP="00273F67">
            <w:pPr>
              <w:pStyle w:val="Tablefont"/>
              <w:keepNext/>
            </w:pPr>
            <w:r w:rsidRPr="004C23F4">
              <w:t>SWA</w:t>
            </w:r>
          </w:p>
        </w:tc>
        <w:tc>
          <w:tcPr>
            <w:tcW w:w="6015" w:type="dxa"/>
          </w:tcPr>
          <w:p w14:paraId="646CAADD" w14:textId="77777777" w:rsidR="00687890" w:rsidRPr="00DD2F9B" w:rsidRDefault="00620310" w:rsidP="00273F67">
            <w:pPr>
              <w:pStyle w:val="Tablefont"/>
              <w:keepNext/>
            </w:pPr>
            <w:r>
              <w:t>—</w:t>
            </w:r>
          </w:p>
        </w:tc>
      </w:tr>
      <w:tr w:rsidR="007925F0" w:rsidRPr="004C23F4" w14:paraId="21639B13" w14:textId="77777777" w:rsidTr="00812887">
        <w:trPr>
          <w:cantSplit/>
        </w:trPr>
        <w:tc>
          <w:tcPr>
            <w:tcW w:w="3227" w:type="dxa"/>
          </w:tcPr>
          <w:p w14:paraId="3AA99E48" w14:textId="77777777" w:rsidR="004079B4" w:rsidRPr="004C23F4" w:rsidRDefault="007925F0" w:rsidP="00273F67">
            <w:pPr>
              <w:pStyle w:val="Tablefont"/>
              <w:keepNext/>
            </w:pPr>
            <w:r>
              <w:t>HCIS</w:t>
            </w:r>
          </w:p>
        </w:tc>
        <w:tc>
          <w:tcPr>
            <w:tcW w:w="6015" w:type="dxa"/>
          </w:tcPr>
          <w:p w14:paraId="182A1490" w14:textId="77777777" w:rsidR="007925F0" w:rsidRPr="00DD2F9B" w:rsidRDefault="00620310" w:rsidP="00273F67">
            <w:pPr>
              <w:pStyle w:val="Tablefont"/>
              <w:keepNext/>
            </w:pPr>
            <w:r>
              <w:t>—</w:t>
            </w:r>
          </w:p>
        </w:tc>
      </w:tr>
      <w:tr w:rsidR="00AF483F" w:rsidRPr="004C23F4" w14:paraId="12A2AFEA" w14:textId="77777777" w:rsidTr="00812887">
        <w:trPr>
          <w:cantSplit/>
        </w:trPr>
        <w:tc>
          <w:tcPr>
            <w:tcW w:w="3227" w:type="dxa"/>
          </w:tcPr>
          <w:p w14:paraId="0540FBAD" w14:textId="77777777" w:rsidR="00AF483F" w:rsidRPr="004C23F4" w:rsidRDefault="00AF483F" w:rsidP="00273F67">
            <w:pPr>
              <w:pStyle w:val="Tablefont"/>
              <w:keepNext/>
            </w:pPr>
            <w:r>
              <w:t>NICNAS</w:t>
            </w:r>
          </w:p>
        </w:tc>
        <w:tc>
          <w:tcPr>
            <w:tcW w:w="6015" w:type="dxa"/>
          </w:tcPr>
          <w:p w14:paraId="2903D22C" w14:textId="77777777" w:rsidR="00AF483F" w:rsidRPr="00DD2F9B" w:rsidRDefault="00620310" w:rsidP="00273F67">
            <w:pPr>
              <w:pStyle w:val="Tablefont"/>
              <w:keepNext/>
            </w:pPr>
            <w:r>
              <w:t>NA</w:t>
            </w:r>
          </w:p>
        </w:tc>
      </w:tr>
      <w:tr w:rsidR="00687890" w:rsidRPr="004C23F4" w14:paraId="7C9AEE7A" w14:textId="77777777" w:rsidTr="00812887">
        <w:trPr>
          <w:cantSplit/>
        </w:trPr>
        <w:tc>
          <w:tcPr>
            <w:tcW w:w="3227" w:type="dxa"/>
          </w:tcPr>
          <w:p w14:paraId="064353E4" w14:textId="77777777" w:rsidR="004079B4" w:rsidRPr="004C23F4" w:rsidRDefault="00687890" w:rsidP="00273F67">
            <w:pPr>
              <w:pStyle w:val="Tablefont"/>
              <w:keepNext/>
            </w:pPr>
            <w:r w:rsidRPr="004C23F4">
              <w:t>EU Annex</w:t>
            </w:r>
          </w:p>
        </w:tc>
        <w:tc>
          <w:tcPr>
            <w:tcW w:w="6015" w:type="dxa"/>
          </w:tcPr>
          <w:p w14:paraId="5FF607ED" w14:textId="77777777" w:rsidR="00687890" w:rsidRPr="00DD2F9B" w:rsidRDefault="00620310" w:rsidP="00273F67">
            <w:pPr>
              <w:pStyle w:val="Tablefont"/>
              <w:keepNext/>
            </w:pPr>
            <w:r>
              <w:t>—</w:t>
            </w:r>
          </w:p>
        </w:tc>
      </w:tr>
      <w:tr w:rsidR="00E41A26" w:rsidRPr="004C23F4" w14:paraId="7D0E774A" w14:textId="77777777" w:rsidTr="00812887">
        <w:trPr>
          <w:cantSplit/>
        </w:trPr>
        <w:tc>
          <w:tcPr>
            <w:tcW w:w="3227" w:type="dxa"/>
          </w:tcPr>
          <w:p w14:paraId="5EBBC74A" w14:textId="77777777" w:rsidR="00E41A26" w:rsidRDefault="00E41A26" w:rsidP="00273F67">
            <w:pPr>
              <w:pStyle w:val="Tablefont"/>
              <w:keepNext/>
            </w:pPr>
            <w:r>
              <w:t>ECHA</w:t>
            </w:r>
          </w:p>
        </w:tc>
        <w:tc>
          <w:tcPr>
            <w:tcW w:w="6015" w:type="dxa"/>
          </w:tcPr>
          <w:p w14:paraId="64D93D38" w14:textId="77777777" w:rsidR="00E41A26" w:rsidRPr="00DD2F9B" w:rsidRDefault="00E56484" w:rsidP="00273F67">
            <w:pPr>
              <w:pStyle w:val="Tablefont"/>
              <w:keepNext/>
            </w:pPr>
            <w:r>
              <w:t>NA</w:t>
            </w:r>
          </w:p>
        </w:tc>
      </w:tr>
      <w:tr w:rsidR="002E0D61" w:rsidRPr="004C23F4" w14:paraId="0CE932FD" w14:textId="77777777" w:rsidTr="00812887">
        <w:trPr>
          <w:cantSplit/>
        </w:trPr>
        <w:tc>
          <w:tcPr>
            <w:tcW w:w="3227" w:type="dxa"/>
          </w:tcPr>
          <w:p w14:paraId="2F034BF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C853258" w14:textId="77777777" w:rsidR="002E0D61" w:rsidRPr="00DD2F9B" w:rsidRDefault="00620310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A8A846B" w14:textId="77777777" w:rsidTr="00812887">
        <w:trPr>
          <w:cantSplit/>
        </w:trPr>
        <w:tc>
          <w:tcPr>
            <w:tcW w:w="3227" w:type="dxa"/>
          </w:tcPr>
          <w:p w14:paraId="6955BF4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998809B" w14:textId="77777777" w:rsidR="002E0D61" w:rsidRPr="00DD2F9B" w:rsidRDefault="00620310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D5805D5" w14:textId="77777777" w:rsidTr="00812887">
        <w:trPr>
          <w:cantSplit/>
        </w:trPr>
        <w:tc>
          <w:tcPr>
            <w:tcW w:w="3227" w:type="dxa"/>
          </w:tcPr>
          <w:p w14:paraId="7F06A2A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C9A0FAC" w14:textId="77777777" w:rsidR="002E0D61" w:rsidRPr="00DD2F9B" w:rsidRDefault="0075714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7C4CF78" w14:textId="77777777" w:rsidTr="00812887">
        <w:trPr>
          <w:cantSplit/>
        </w:trPr>
        <w:tc>
          <w:tcPr>
            <w:tcW w:w="3227" w:type="dxa"/>
          </w:tcPr>
          <w:p w14:paraId="34E4C01B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6AA8BDF" w14:textId="77777777" w:rsidR="002E0D61" w:rsidRPr="00DD2F9B" w:rsidRDefault="00620310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29E9EE4A" w14:textId="77777777" w:rsidTr="00812887">
        <w:trPr>
          <w:cantSplit/>
        </w:trPr>
        <w:tc>
          <w:tcPr>
            <w:tcW w:w="3227" w:type="dxa"/>
          </w:tcPr>
          <w:p w14:paraId="7457DFD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A326217" w14:textId="77777777" w:rsidR="00386093" w:rsidRPr="00DD2F9B" w:rsidRDefault="00E5648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AFDA079" w14:textId="77777777" w:rsidTr="00812887">
        <w:trPr>
          <w:cantSplit/>
        </w:trPr>
        <w:tc>
          <w:tcPr>
            <w:tcW w:w="3227" w:type="dxa"/>
          </w:tcPr>
          <w:p w14:paraId="0E674FD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C6FE053" w14:textId="77777777" w:rsidR="00386093" w:rsidRPr="00DD2F9B" w:rsidRDefault="00E5648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F02375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313033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DC6713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B6E33D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261AE6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0F1AC0A" w14:textId="4B19D1E5" w:rsidR="00932DCE" w:rsidRPr="004C23F4" w:rsidRDefault="00D06722" w:rsidP="00F9496B">
            <w:pPr>
              <w:pStyle w:val="Tablefont"/>
            </w:pPr>
            <w:r>
              <w:t xml:space="preserve">Insufficient data to assign a </w:t>
            </w:r>
            <w:r w:rsidR="00DE1E93">
              <w:t xml:space="preserve">skin </w:t>
            </w:r>
            <w:r>
              <w:t>notation</w:t>
            </w:r>
          </w:p>
        </w:tc>
      </w:tr>
    </w:tbl>
    <w:bookmarkEnd w:id="4"/>
    <w:p w14:paraId="086DB803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6D763F8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439084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B008189" w14:textId="77777777" w:rsidR="00EB3D1B" w:rsidRDefault="00E56484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6C6F36C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7EA7FC2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195D833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C93D6E5" w14:textId="77777777" w:rsidR="001B79E5" w:rsidRDefault="00E974F3" w:rsidP="001B79E5">
                <w:pPr>
                  <w:pStyle w:val="Tablefont"/>
                </w:pPr>
                <w:r>
                  <w:t>114.22</w:t>
                </w:r>
              </w:p>
            </w:tc>
          </w:sdtContent>
        </w:sdt>
      </w:tr>
      <w:tr w:rsidR="00A31D99" w:rsidRPr="004C23F4" w14:paraId="0E7D7F7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D80B42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1D8B926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56DEC">
                  <w:t>4.74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sdt>
                  <w:sdtPr>
                    <w:id w:val="513340143"/>
                    <w:placeholder>
                      <w:docPart w:val="09289B2564CD4C8AA64BD2C0EC2A9056"/>
                    </w:placeholder>
                  </w:sdtPr>
                  <w:sdtEndPr/>
                  <w:sdtContent>
                    <w:r w:rsidR="00156DEC">
                      <w:t>0.211</w:t>
                    </w:r>
                  </w:sdtContent>
                </w:sdt>
              </w:sdtContent>
            </w:sdt>
            <w:r>
              <w:t xml:space="preserve"> ppm</w:t>
            </w:r>
          </w:p>
        </w:tc>
      </w:tr>
      <w:tr w:rsidR="00687890" w:rsidRPr="004C23F4" w14:paraId="1687C86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F90F67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74B1594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2F8DEA4" w14:textId="77777777" w:rsidTr="00EA6243">
        <w:trPr>
          <w:cantSplit/>
        </w:trPr>
        <w:tc>
          <w:tcPr>
            <w:tcW w:w="4077" w:type="dxa"/>
            <w:vAlign w:val="center"/>
          </w:tcPr>
          <w:p w14:paraId="721EDD3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5199F1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DF4942F" w14:textId="77777777" w:rsidTr="00EA6243">
        <w:trPr>
          <w:cantSplit/>
        </w:trPr>
        <w:tc>
          <w:tcPr>
            <w:tcW w:w="4077" w:type="dxa"/>
            <w:vAlign w:val="center"/>
          </w:tcPr>
          <w:p w14:paraId="008216A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9AB5BF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22BAE32" w14:textId="77777777" w:rsidTr="00EA6243">
        <w:trPr>
          <w:cantSplit/>
        </w:trPr>
        <w:tc>
          <w:tcPr>
            <w:tcW w:w="4077" w:type="dxa"/>
            <w:vAlign w:val="center"/>
          </w:tcPr>
          <w:p w14:paraId="0AE5B8E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9F39F1C" w14:textId="77777777" w:rsidR="00E06F40" w:rsidRPr="00A006A0" w:rsidRDefault="008B3B1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0C6706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C8481D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7D3211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9AA7CD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EFA7F9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275523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9DF1A2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AFE8E2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29FC854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6D522C5" w14:textId="1D6FE5C1" w:rsidR="008E4F1F" w:rsidRDefault="008E4F1F" w:rsidP="00E56484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441828">
        <w:t>200</w:t>
      </w:r>
      <w:r w:rsidR="00E56484">
        <w:t>4</w:t>
      </w:r>
      <w:r>
        <w:t xml:space="preserve">) </w:t>
      </w:r>
      <w:r w:rsidR="00E56484">
        <w:t xml:space="preserve">Octane and its Isomers (except </w:t>
      </w:r>
      <w:proofErr w:type="spellStart"/>
      <w:r w:rsidR="00E56484">
        <w:t>trimethylpentane</w:t>
      </w:r>
      <w:proofErr w:type="spellEnd"/>
      <w:r w:rsidR="00E56484">
        <w:t xml:space="preserve"> isomers)</w:t>
      </w:r>
      <w:r>
        <w:t xml:space="preserve"> – MAK value documentation.</w:t>
      </w:r>
    </w:p>
    <w:p w14:paraId="49A3BAC1" w14:textId="389EFA03" w:rsidR="0059348C" w:rsidRDefault="0059348C" w:rsidP="00E56484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(2017) </w:t>
      </w:r>
      <w:proofErr w:type="spellStart"/>
      <w:r>
        <w:t>Trimethylpentane</w:t>
      </w:r>
      <w:proofErr w:type="spellEnd"/>
      <w:r>
        <w:t xml:space="preserve"> (all isomers) – MAK value documentation.</w:t>
      </w:r>
    </w:p>
    <w:p w14:paraId="45EA090D" w14:textId="2A779623" w:rsidR="00117152" w:rsidRPr="00117152" w:rsidRDefault="00117152" w:rsidP="00E56484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29405A20" w14:textId="4A35ECFE" w:rsidR="008E4F1F" w:rsidRDefault="008E4F1F" w:rsidP="008E4F1F">
      <w:r w:rsidRPr="002022B6">
        <w:t>Health Council of the Netherlands</w:t>
      </w:r>
      <w:r>
        <w:t xml:space="preserve"> (HCOTN) (</w:t>
      </w:r>
      <w:r w:rsidR="005C2B68">
        <w:t>2005</w:t>
      </w:r>
      <w:r>
        <w:t xml:space="preserve">) </w:t>
      </w:r>
      <w:r w:rsidR="005C2B68">
        <w:t>Octane</w:t>
      </w:r>
      <w:r w:rsidRPr="005F7416">
        <w:t xml:space="preserve">. </w:t>
      </w:r>
      <w:r w:rsidR="005C2B68" w:rsidRPr="005C2B68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D06722">
        <w:t>2000/15OSH/156</w:t>
      </w:r>
      <w:r>
        <w:t>.</w:t>
      </w:r>
    </w:p>
    <w:p w14:paraId="11D1B63A" w14:textId="3D78E176" w:rsidR="00193636" w:rsidRDefault="00193636" w:rsidP="008E4F1F">
      <w:pPr>
        <w:rPr>
          <w:b/>
        </w:rPr>
      </w:pPr>
      <w:r>
        <w:t>Organisation for Economic Cooperation and Development (OECD) (2010) SIDS initial assessment profile – Octane.</w:t>
      </w:r>
    </w:p>
    <w:p w14:paraId="24CE5990" w14:textId="77777777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A75ED3">
            <w:rPr>
              <w:color w:val="000000" w:themeColor="text1"/>
            </w:rPr>
            <w:t>1994</w:t>
          </w:r>
        </w:sdtContent>
      </w:sdt>
      <w:r>
        <w:t xml:space="preserve">) Immediately dangerous to life or health concentrations – </w:t>
      </w:r>
      <w:r w:rsidR="00A75ED3">
        <w:t>octane</w:t>
      </w:r>
      <w:r>
        <w:t>.</w:t>
      </w:r>
    </w:p>
    <w:p w14:paraId="1B4EBE49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A2DA3D" w16cid:durableId="21F28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76E78" w14:textId="77777777" w:rsidR="00B7392B" w:rsidRDefault="00B7392B" w:rsidP="00F43AD5">
      <w:pPr>
        <w:spacing w:after="0" w:line="240" w:lineRule="auto"/>
      </w:pPr>
      <w:r>
        <w:separator/>
      </w:r>
    </w:p>
  </w:endnote>
  <w:endnote w:type="continuationSeparator" w:id="0">
    <w:p w14:paraId="48FCAB71" w14:textId="77777777" w:rsidR="00B7392B" w:rsidRDefault="00B7392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6CFC" w14:textId="77777777" w:rsidR="008B3B1E" w:rsidRDefault="008B3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E5EAB11" w14:textId="54FB2927" w:rsidR="00E22444" w:rsidRDefault="00E22444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Octane (</w:t>
        </w:r>
        <w:r w:rsidRPr="004D305F">
          <w:rPr>
            <w:b/>
            <w:sz w:val="18"/>
            <w:szCs w:val="18"/>
          </w:rPr>
          <w:t>111-65-9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="00273F67">
          <w:rPr>
            <w:sz w:val="18"/>
            <w:szCs w:val="18"/>
          </w:rPr>
          <w:t xml:space="preserve"> 2020</w:t>
        </w:r>
      </w:p>
      <w:p w14:paraId="40D5A8D5" w14:textId="48EB8058" w:rsidR="00E22444" w:rsidRPr="00F43AD5" w:rsidRDefault="00E22444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B3B1E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7474" w14:textId="77777777" w:rsidR="008B3B1E" w:rsidRDefault="008B3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99B9" w14:textId="77777777" w:rsidR="00B7392B" w:rsidRDefault="00B7392B" w:rsidP="00F43AD5">
      <w:pPr>
        <w:spacing w:after="0" w:line="240" w:lineRule="auto"/>
      </w:pPr>
      <w:r>
        <w:separator/>
      </w:r>
    </w:p>
  </w:footnote>
  <w:footnote w:type="continuationSeparator" w:id="0">
    <w:p w14:paraId="42AE0C39" w14:textId="77777777" w:rsidR="00B7392B" w:rsidRDefault="00B7392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E299" w14:textId="77777777" w:rsidR="008B3B1E" w:rsidRDefault="008B3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BA8A9" w14:textId="3F18CBC6" w:rsidR="008B3B1E" w:rsidRDefault="008B3B1E" w:rsidP="008B3B1E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289352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6D5CFA4" wp14:editId="16D9DDA5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403A84" w14:textId="661AAE08" w:rsidR="00E22444" w:rsidRPr="008B3B1E" w:rsidRDefault="00E22444" w:rsidP="008B3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B8A5" w14:textId="77777777" w:rsidR="008B3B1E" w:rsidRDefault="008B3B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67D0" w14:textId="383A8515" w:rsidR="008B3B1E" w:rsidRDefault="008B3B1E" w:rsidP="008B3B1E">
    <w:pPr>
      <w:pStyle w:val="Header"/>
      <w:jc w:val="right"/>
    </w:pPr>
    <w:sdt>
      <w:sdtPr>
        <w:id w:val="162285636"/>
        <w:docPartObj>
          <w:docPartGallery w:val="Watermarks"/>
          <w:docPartUnique/>
        </w:docPartObj>
      </w:sdtPr>
      <w:sdtContent>
        <w:r>
          <w:pict w14:anchorId="68C00E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AFF700B" wp14:editId="2A73D18B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688A0" w14:textId="77777777" w:rsidR="00E22444" w:rsidRDefault="00E22444" w:rsidP="00F43AD5">
    <w:pPr>
      <w:pStyle w:val="Header"/>
      <w:jc w:val="right"/>
    </w:pPr>
    <w:bookmarkStart w:id="6" w:name="_GoBack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D51B7"/>
    <w:multiLevelType w:val="hybridMultilevel"/>
    <w:tmpl w:val="3F76E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3069A"/>
    <w:multiLevelType w:val="hybridMultilevel"/>
    <w:tmpl w:val="A0DA72A2"/>
    <w:lvl w:ilvl="0" w:tplc="79BEC9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5B5D"/>
    <w:multiLevelType w:val="hybridMultilevel"/>
    <w:tmpl w:val="1B92339C"/>
    <w:lvl w:ilvl="0" w:tplc="DD50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5D9C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3D86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7C73"/>
    <w:rsid w:val="000E5A54"/>
    <w:rsid w:val="000E63D3"/>
    <w:rsid w:val="000E67CF"/>
    <w:rsid w:val="000F0953"/>
    <w:rsid w:val="00103325"/>
    <w:rsid w:val="0010461E"/>
    <w:rsid w:val="00106FAA"/>
    <w:rsid w:val="00113443"/>
    <w:rsid w:val="00117152"/>
    <w:rsid w:val="001269A7"/>
    <w:rsid w:val="00131092"/>
    <w:rsid w:val="00140E6A"/>
    <w:rsid w:val="00146545"/>
    <w:rsid w:val="00146B75"/>
    <w:rsid w:val="0015266D"/>
    <w:rsid w:val="0015288A"/>
    <w:rsid w:val="00156DEC"/>
    <w:rsid w:val="00160F47"/>
    <w:rsid w:val="00177CA1"/>
    <w:rsid w:val="00183823"/>
    <w:rsid w:val="00183942"/>
    <w:rsid w:val="001915F6"/>
    <w:rsid w:val="00193636"/>
    <w:rsid w:val="001A009E"/>
    <w:rsid w:val="001A1287"/>
    <w:rsid w:val="001A3859"/>
    <w:rsid w:val="001A3C9D"/>
    <w:rsid w:val="001A43F8"/>
    <w:rsid w:val="001B79E5"/>
    <w:rsid w:val="001D56F0"/>
    <w:rsid w:val="001D663B"/>
    <w:rsid w:val="001D66A8"/>
    <w:rsid w:val="001D7B41"/>
    <w:rsid w:val="001E0C3A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035E"/>
    <w:rsid w:val="00213640"/>
    <w:rsid w:val="0022090B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2701"/>
    <w:rsid w:val="0025734A"/>
    <w:rsid w:val="00263255"/>
    <w:rsid w:val="00273F67"/>
    <w:rsid w:val="00276494"/>
    <w:rsid w:val="00277B0C"/>
    <w:rsid w:val="002B1A2C"/>
    <w:rsid w:val="002C196E"/>
    <w:rsid w:val="002C34F2"/>
    <w:rsid w:val="002C41AA"/>
    <w:rsid w:val="002C58FF"/>
    <w:rsid w:val="002C7AFE"/>
    <w:rsid w:val="002D05D2"/>
    <w:rsid w:val="002E0D61"/>
    <w:rsid w:val="002E469A"/>
    <w:rsid w:val="002E4C7B"/>
    <w:rsid w:val="002F58C5"/>
    <w:rsid w:val="0030740C"/>
    <w:rsid w:val="003133FB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476A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600C"/>
    <w:rsid w:val="004030BC"/>
    <w:rsid w:val="00403A7E"/>
    <w:rsid w:val="00403F7D"/>
    <w:rsid w:val="00406785"/>
    <w:rsid w:val="004079B4"/>
    <w:rsid w:val="00417A56"/>
    <w:rsid w:val="00420957"/>
    <w:rsid w:val="00422A10"/>
    <w:rsid w:val="00430179"/>
    <w:rsid w:val="004414B5"/>
    <w:rsid w:val="00441828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18E4"/>
    <w:rsid w:val="004A5088"/>
    <w:rsid w:val="004C1E3F"/>
    <w:rsid w:val="004C23F4"/>
    <w:rsid w:val="004C3475"/>
    <w:rsid w:val="004C58B6"/>
    <w:rsid w:val="004D16A3"/>
    <w:rsid w:val="004D305F"/>
    <w:rsid w:val="004D4AA1"/>
    <w:rsid w:val="004D6D68"/>
    <w:rsid w:val="004E5EDD"/>
    <w:rsid w:val="004F448A"/>
    <w:rsid w:val="004F493D"/>
    <w:rsid w:val="004F65E8"/>
    <w:rsid w:val="0050005E"/>
    <w:rsid w:val="00500EB2"/>
    <w:rsid w:val="00502B88"/>
    <w:rsid w:val="005142C4"/>
    <w:rsid w:val="0051509C"/>
    <w:rsid w:val="00520C93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348C"/>
    <w:rsid w:val="0059632A"/>
    <w:rsid w:val="005A0F5D"/>
    <w:rsid w:val="005A19C5"/>
    <w:rsid w:val="005A3034"/>
    <w:rsid w:val="005A462D"/>
    <w:rsid w:val="005B253B"/>
    <w:rsid w:val="005B771D"/>
    <w:rsid w:val="005C2B68"/>
    <w:rsid w:val="005C5D16"/>
    <w:rsid w:val="005D3193"/>
    <w:rsid w:val="005D37B5"/>
    <w:rsid w:val="005D4A6E"/>
    <w:rsid w:val="005E6979"/>
    <w:rsid w:val="005E75CB"/>
    <w:rsid w:val="006013C1"/>
    <w:rsid w:val="0060669E"/>
    <w:rsid w:val="00610F2E"/>
    <w:rsid w:val="00611399"/>
    <w:rsid w:val="006200A2"/>
    <w:rsid w:val="00620310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5B23"/>
    <w:rsid w:val="006B160A"/>
    <w:rsid w:val="006B4E6C"/>
    <w:rsid w:val="006B50B6"/>
    <w:rsid w:val="006D79EA"/>
    <w:rsid w:val="006E2421"/>
    <w:rsid w:val="006E5D05"/>
    <w:rsid w:val="00701053"/>
    <w:rsid w:val="00701507"/>
    <w:rsid w:val="00714021"/>
    <w:rsid w:val="00716A0F"/>
    <w:rsid w:val="00716C05"/>
    <w:rsid w:val="00717D45"/>
    <w:rsid w:val="0072014B"/>
    <w:rsid w:val="007208F7"/>
    <w:rsid w:val="007218AF"/>
    <w:rsid w:val="007365D1"/>
    <w:rsid w:val="00740E0E"/>
    <w:rsid w:val="00750212"/>
    <w:rsid w:val="00754779"/>
    <w:rsid w:val="0075714F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15E3"/>
    <w:rsid w:val="007C30EB"/>
    <w:rsid w:val="007C6B27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718F"/>
    <w:rsid w:val="00826F21"/>
    <w:rsid w:val="00834CC8"/>
    <w:rsid w:val="00835E00"/>
    <w:rsid w:val="00837113"/>
    <w:rsid w:val="008414E4"/>
    <w:rsid w:val="00843E21"/>
    <w:rsid w:val="0084508E"/>
    <w:rsid w:val="00851B81"/>
    <w:rsid w:val="00857A8A"/>
    <w:rsid w:val="008630EE"/>
    <w:rsid w:val="00864D13"/>
    <w:rsid w:val="00871CD5"/>
    <w:rsid w:val="008745A2"/>
    <w:rsid w:val="008768A8"/>
    <w:rsid w:val="00877C14"/>
    <w:rsid w:val="0088798F"/>
    <w:rsid w:val="00887E4B"/>
    <w:rsid w:val="008915C8"/>
    <w:rsid w:val="00897C8E"/>
    <w:rsid w:val="008A36CF"/>
    <w:rsid w:val="008A3BC4"/>
    <w:rsid w:val="008B3B1E"/>
    <w:rsid w:val="008B403C"/>
    <w:rsid w:val="008B62BA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B4C"/>
    <w:rsid w:val="00977E88"/>
    <w:rsid w:val="00984920"/>
    <w:rsid w:val="0098561A"/>
    <w:rsid w:val="0099303A"/>
    <w:rsid w:val="009971C2"/>
    <w:rsid w:val="009A1254"/>
    <w:rsid w:val="009B2FF2"/>
    <w:rsid w:val="009B380C"/>
    <w:rsid w:val="009B4843"/>
    <w:rsid w:val="009B6543"/>
    <w:rsid w:val="009B79C1"/>
    <w:rsid w:val="009C199D"/>
    <w:rsid w:val="009C278F"/>
    <w:rsid w:val="009C2B94"/>
    <w:rsid w:val="009C5874"/>
    <w:rsid w:val="009C7C15"/>
    <w:rsid w:val="009D3B5A"/>
    <w:rsid w:val="009D4DE6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B39"/>
    <w:rsid w:val="00A10FCE"/>
    <w:rsid w:val="00A16D91"/>
    <w:rsid w:val="00A174CC"/>
    <w:rsid w:val="00A2073D"/>
    <w:rsid w:val="00A20751"/>
    <w:rsid w:val="00A21817"/>
    <w:rsid w:val="00A27E2D"/>
    <w:rsid w:val="00A27F84"/>
    <w:rsid w:val="00A31D99"/>
    <w:rsid w:val="00A357BA"/>
    <w:rsid w:val="00A35ADC"/>
    <w:rsid w:val="00A402A3"/>
    <w:rsid w:val="00A40EE9"/>
    <w:rsid w:val="00A53681"/>
    <w:rsid w:val="00A633D4"/>
    <w:rsid w:val="00A6461A"/>
    <w:rsid w:val="00A70D45"/>
    <w:rsid w:val="00A75ED3"/>
    <w:rsid w:val="00A84504"/>
    <w:rsid w:val="00A8672F"/>
    <w:rsid w:val="00A93057"/>
    <w:rsid w:val="00A968B0"/>
    <w:rsid w:val="00AA3D02"/>
    <w:rsid w:val="00AB2672"/>
    <w:rsid w:val="00AB2817"/>
    <w:rsid w:val="00AB43C4"/>
    <w:rsid w:val="00AC32E7"/>
    <w:rsid w:val="00AC3A9F"/>
    <w:rsid w:val="00AC6D2F"/>
    <w:rsid w:val="00AE0B61"/>
    <w:rsid w:val="00AE2745"/>
    <w:rsid w:val="00AE2F64"/>
    <w:rsid w:val="00AF42CB"/>
    <w:rsid w:val="00AF483F"/>
    <w:rsid w:val="00AF5E07"/>
    <w:rsid w:val="00AF5F06"/>
    <w:rsid w:val="00B00A25"/>
    <w:rsid w:val="00B060FE"/>
    <w:rsid w:val="00B1422A"/>
    <w:rsid w:val="00B1765C"/>
    <w:rsid w:val="00B213C4"/>
    <w:rsid w:val="00B278B9"/>
    <w:rsid w:val="00B339B2"/>
    <w:rsid w:val="00B40C60"/>
    <w:rsid w:val="00B479A9"/>
    <w:rsid w:val="00B52EDF"/>
    <w:rsid w:val="00B71188"/>
    <w:rsid w:val="00B71CAB"/>
    <w:rsid w:val="00B7392B"/>
    <w:rsid w:val="00B76A41"/>
    <w:rsid w:val="00B80386"/>
    <w:rsid w:val="00B85BB7"/>
    <w:rsid w:val="00B87D4C"/>
    <w:rsid w:val="00B93646"/>
    <w:rsid w:val="00B979F2"/>
    <w:rsid w:val="00BA0B38"/>
    <w:rsid w:val="00BA1DBB"/>
    <w:rsid w:val="00BA4510"/>
    <w:rsid w:val="00BA529A"/>
    <w:rsid w:val="00BB612A"/>
    <w:rsid w:val="00BC5B0A"/>
    <w:rsid w:val="00BD499F"/>
    <w:rsid w:val="00BD56DE"/>
    <w:rsid w:val="00BE5954"/>
    <w:rsid w:val="00BF2406"/>
    <w:rsid w:val="00BF65A6"/>
    <w:rsid w:val="00C06E43"/>
    <w:rsid w:val="00C16315"/>
    <w:rsid w:val="00C3091E"/>
    <w:rsid w:val="00C40FF1"/>
    <w:rsid w:val="00C419E2"/>
    <w:rsid w:val="00C5020E"/>
    <w:rsid w:val="00C524B2"/>
    <w:rsid w:val="00C536D3"/>
    <w:rsid w:val="00C53772"/>
    <w:rsid w:val="00C563F1"/>
    <w:rsid w:val="00C57452"/>
    <w:rsid w:val="00C61EDF"/>
    <w:rsid w:val="00C6239D"/>
    <w:rsid w:val="00C6469E"/>
    <w:rsid w:val="00C6594B"/>
    <w:rsid w:val="00C6686E"/>
    <w:rsid w:val="00C67FFB"/>
    <w:rsid w:val="00C7155E"/>
    <w:rsid w:val="00C71D1E"/>
    <w:rsid w:val="00C71D7D"/>
    <w:rsid w:val="00C74833"/>
    <w:rsid w:val="00C82988"/>
    <w:rsid w:val="00C850A0"/>
    <w:rsid w:val="00C85A86"/>
    <w:rsid w:val="00C978F0"/>
    <w:rsid w:val="00CA58FE"/>
    <w:rsid w:val="00CB1CB1"/>
    <w:rsid w:val="00CB67E5"/>
    <w:rsid w:val="00CB6BC1"/>
    <w:rsid w:val="00CB6CB8"/>
    <w:rsid w:val="00CC1A68"/>
    <w:rsid w:val="00CC2123"/>
    <w:rsid w:val="00CD2BFD"/>
    <w:rsid w:val="00CE5AD6"/>
    <w:rsid w:val="00CE617F"/>
    <w:rsid w:val="00CE78EF"/>
    <w:rsid w:val="00D00980"/>
    <w:rsid w:val="00D048F7"/>
    <w:rsid w:val="00D0517E"/>
    <w:rsid w:val="00D06722"/>
    <w:rsid w:val="00D140FC"/>
    <w:rsid w:val="00D21563"/>
    <w:rsid w:val="00D21D8C"/>
    <w:rsid w:val="00D2322A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575F"/>
    <w:rsid w:val="00DC7694"/>
    <w:rsid w:val="00DD1BF6"/>
    <w:rsid w:val="00DD2F9B"/>
    <w:rsid w:val="00DE1E93"/>
    <w:rsid w:val="00DE2513"/>
    <w:rsid w:val="00DE26E8"/>
    <w:rsid w:val="00DF6F36"/>
    <w:rsid w:val="00E0084C"/>
    <w:rsid w:val="00E025AB"/>
    <w:rsid w:val="00E02B23"/>
    <w:rsid w:val="00E06F40"/>
    <w:rsid w:val="00E07CE8"/>
    <w:rsid w:val="00E22444"/>
    <w:rsid w:val="00E26A07"/>
    <w:rsid w:val="00E3036F"/>
    <w:rsid w:val="00E32595"/>
    <w:rsid w:val="00E37CFD"/>
    <w:rsid w:val="00E41A26"/>
    <w:rsid w:val="00E4446A"/>
    <w:rsid w:val="00E45B05"/>
    <w:rsid w:val="00E46BCB"/>
    <w:rsid w:val="00E51CAF"/>
    <w:rsid w:val="00E51D8E"/>
    <w:rsid w:val="00E56484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74F3"/>
    <w:rsid w:val="00EA0A06"/>
    <w:rsid w:val="00EA6243"/>
    <w:rsid w:val="00EA74AB"/>
    <w:rsid w:val="00EB3D1B"/>
    <w:rsid w:val="00EC1FD3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4D52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7598D26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6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DE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DE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DE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E51C10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C038C34F5D934C9A84FA4DB59A54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CAEA-5A16-475C-ABE4-D051D8C03345}"/>
      </w:docPartPr>
      <w:docPartBody>
        <w:p w:rsidR="00A045DE" w:rsidRDefault="00A045DE" w:rsidP="00A045DE">
          <w:pPr>
            <w:pStyle w:val="C038C34F5D934C9A84FA4DB59A5443D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9289B2564CD4C8AA64BD2C0EC2A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AA27-E3A4-43C1-8F11-74F2AEDE6BB4}"/>
      </w:docPartPr>
      <w:docPartBody>
        <w:p w:rsidR="00A045DE" w:rsidRDefault="00A045DE" w:rsidP="00A045DE">
          <w:pPr>
            <w:pStyle w:val="09289B2564CD4C8AA64BD2C0EC2A9056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F14DEAA53C2D4B01BB9788EB043D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DA56-68B7-41E2-8CA8-47408E013235}"/>
      </w:docPartPr>
      <w:docPartBody>
        <w:p w:rsidR="00A045DE" w:rsidRDefault="00A045DE" w:rsidP="00A045DE">
          <w:pPr>
            <w:pStyle w:val="F14DEAA53C2D4B01BB9788EB043D5F8B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8045826EC5C7495C972EA96510DE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11FF-CFB7-409B-8D18-9BD70591B4C3}"/>
      </w:docPartPr>
      <w:docPartBody>
        <w:p w:rsidR="00A045DE" w:rsidRDefault="00A045DE" w:rsidP="00A045DE">
          <w:pPr>
            <w:pStyle w:val="8045826EC5C7495C972EA96510DEF37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D3740EA7711B4BAEA498F40A90C1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BC94-5CEF-4087-AE5B-E292E4EA1DDE}"/>
      </w:docPartPr>
      <w:docPartBody>
        <w:p w:rsidR="00A045DE" w:rsidRDefault="00A045DE" w:rsidP="00A045DE">
          <w:pPr>
            <w:pStyle w:val="D3740EA7711B4BAEA498F40A90C1CCAE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49566B8F2F4140CE87FBD418C13A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A845D-F6B6-42BD-A6D9-22E8C8C841E6}"/>
      </w:docPartPr>
      <w:docPartBody>
        <w:p w:rsidR="00A045DE" w:rsidRDefault="00A045DE" w:rsidP="00A045DE">
          <w:pPr>
            <w:pStyle w:val="49566B8F2F4140CE87FBD418C13A980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20FE8133B9DB410088EE7C8DB078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688E-AB8B-4284-8B82-532BCD736054}"/>
      </w:docPartPr>
      <w:docPartBody>
        <w:p w:rsidR="005440FE" w:rsidRDefault="00A045DE" w:rsidP="00A045DE">
          <w:pPr>
            <w:pStyle w:val="20FE8133B9DB410088EE7C8DB0783EAE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7D16"/>
    <w:rsid w:val="003E0149"/>
    <w:rsid w:val="005440FE"/>
    <w:rsid w:val="00767DB2"/>
    <w:rsid w:val="00A045DE"/>
    <w:rsid w:val="00D21A9F"/>
    <w:rsid w:val="00E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5D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C038C34F5D934C9A84FA4DB59A5443DA">
    <w:name w:val="C038C34F5D934C9A84FA4DB59A5443DA"/>
    <w:rsid w:val="00A045DE"/>
  </w:style>
  <w:style w:type="paragraph" w:customStyle="1" w:styleId="09289B2564CD4C8AA64BD2C0EC2A9056">
    <w:name w:val="09289B2564CD4C8AA64BD2C0EC2A9056"/>
    <w:rsid w:val="00A045DE"/>
  </w:style>
  <w:style w:type="paragraph" w:customStyle="1" w:styleId="F14DEAA53C2D4B01BB9788EB043D5F8B">
    <w:name w:val="F14DEAA53C2D4B01BB9788EB043D5F8B"/>
    <w:rsid w:val="00A045DE"/>
  </w:style>
  <w:style w:type="paragraph" w:customStyle="1" w:styleId="8045826EC5C7495C972EA96510DEF375">
    <w:name w:val="8045826EC5C7495C972EA96510DEF375"/>
    <w:rsid w:val="00A045DE"/>
  </w:style>
  <w:style w:type="paragraph" w:customStyle="1" w:styleId="D3740EA7711B4BAEA498F40A90C1CCAE">
    <w:name w:val="D3740EA7711B4BAEA498F40A90C1CCAE"/>
    <w:rsid w:val="00A045DE"/>
  </w:style>
  <w:style w:type="paragraph" w:customStyle="1" w:styleId="49566B8F2F4140CE87FBD418C13A9802">
    <w:name w:val="49566B8F2F4140CE87FBD418C13A9802"/>
    <w:rsid w:val="00A045DE"/>
  </w:style>
  <w:style w:type="paragraph" w:customStyle="1" w:styleId="20FE8133B9DB410088EE7C8DB0783EAE">
    <w:name w:val="20FE8133B9DB410088EE7C8DB0783EAE"/>
    <w:rsid w:val="00A04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B3BD-C32C-4272-96DA-12DECBDE6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f54d604-3e62-4e70-ba33-9e9084b96a6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0FCF2D-46FB-4FE3-8EED-F77BC932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F0DE6A0D.dotm</Template>
  <TotalTime>287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14</cp:revision>
  <cp:lastPrinted>2018-10-22T22:41:00Z</cp:lastPrinted>
  <dcterms:created xsi:type="dcterms:W3CDTF">2019-12-10T20:24:00Z</dcterms:created>
  <dcterms:modified xsi:type="dcterms:W3CDTF">2020-02-27T21:12:00Z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