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E35CA6D" w14:textId="77777777" w:rsidR="00BD499F" w:rsidRPr="004C23F4" w:rsidRDefault="002200A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Oxalic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4296F617" w14:textId="77777777" w:rsidTr="00B76A41">
        <w:trPr>
          <w:cantSplit/>
          <w:tblHeader/>
        </w:trPr>
        <w:tc>
          <w:tcPr>
            <w:tcW w:w="4077" w:type="dxa"/>
          </w:tcPr>
          <w:p w14:paraId="10A3698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8132C4A" w14:textId="77777777" w:rsidR="00F43AD5" w:rsidRPr="00717D45" w:rsidRDefault="00FC128D" w:rsidP="00B76A41">
            <w:pPr>
              <w:pStyle w:val="Tablefont"/>
            </w:pPr>
            <w:r>
              <w:t>144-62-7</w:t>
            </w:r>
          </w:p>
        </w:tc>
      </w:tr>
      <w:tr w:rsidR="00F43AD5" w:rsidRPr="004C23F4" w14:paraId="70CE8C8E" w14:textId="77777777" w:rsidTr="00B76A41">
        <w:trPr>
          <w:cantSplit/>
        </w:trPr>
        <w:tc>
          <w:tcPr>
            <w:tcW w:w="4077" w:type="dxa"/>
          </w:tcPr>
          <w:p w14:paraId="346B96B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E81B377" w14:textId="77777777" w:rsidR="00F43AD5" w:rsidRPr="00717D45" w:rsidRDefault="00FC128D" w:rsidP="00B76A41">
            <w:pPr>
              <w:pStyle w:val="Tablefont"/>
            </w:pPr>
            <w:r>
              <w:t xml:space="preserve">Dicarboxylic acid, </w:t>
            </w:r>
            <w:proofErr w:type="spellStart"/>
            <w:r>
              <w:t>ethanedioic</w:t>
            </w:r>
            <w:proofErr w:type="spellEnd"/>
            <w:r>
              <w:t xml:space="preserve"> acid</w:t>
            </w:r>
          </w:p>
        </w:tc>
      </w:tr>
      <w:tr w:rsidR="00F43AD5" w:rsidRPr="004C23F4" w14:paraId="4E25499E" w14:textId="77777777" w:rsidTr="00B76A41">
        <w:trPr>
          <w:cantSplit/>
        </w:trPr>
        <w:tc>
          <w:tcPr>
            <w:tcW w:w="4077" w:type="dxa"/>
          </w:tcPr>
          <w:p w14:paraId="3EF329D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199A395" w14:textId="77777777" w:rsidR="00F43AD5" w:rsidRPr="00717D45" w:rsidRDefault="00FC128D" w:rsidP="00B76A41">
            <w:pPr>
              <w:pStyle w:val="Tablefont"/>
            </w:pPr>
            <w:r>
              <w:t>C</w:t>
            </w:r>
            <w:r w:rsidRPr="00FC128D">
              <w:rPr>
                <w:vertAlign w:val="subscript"/>
              </w:rPr>
              <w:t>2</w:t>
            </w:r>
            <w:r>
              <w:t>H</w:t>
            </w:r>
            <w:r w:rsidRPr="00FC128D">
              <w:rPr>
                <w:vertAlign w:val="subscript"/>
              </w:rPr>
              <w:t>2</w:t>
            </w:r>
            <w:r>
              <w:t>O</w:t>
            </w:r>
            <w:r w:rsidRPr="00FC128D">
              <w:rPr>
                <w:vertAlign w:val="subscript"/>
              </w:rPr>
              <w:t>4</w:t>
            </w:r>
          </w:p>
        </w:tc>
      </w:tr>
      <w:tr w:rsidR="00F43AD5" w:rsidRPr="004C23F4" w14:paraId="38639A6F" w14:textId="77777777" w:rsidTr="00B76A41">
        <w:trPr>
          <w:cantSplit/>
        </w:trPr>
        <w:tc>
          <w:tcPr>
            <w:tcW w:w="4077" w:type="dxa"/>
          </w:tcPr>
          <w:p w14:paraId="07861EF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F5EF180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6028737B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70147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7BD070D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0AE329C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7C56C16" w14:textId="77777777" w:rsidR="002C7AFE" w:rsidRPr="00770147" w:rsidRDefault="0077014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3FE0F50E" w14:textId="77777777" w:rsidTr="00037E52">
        <w:trPr>
          <w:cantSplit/>
        </w:trPr>
        <w:tc>
          <w:tcPr>
            <w:tcW w:w="4010" w:type="dxa"/>
            <w:vAlign w:val="center"/>
          </w:tcPr>
          <w:p w14:paraId="0684E030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2995865" w14:textId="77777777" w:rsidR="00037E52" w:rsidRPr="00770147" w:rsidRDefault="00770147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57CA73AD" w14:textId="77777777" w:rsidTr="00037E52">
        <w:trPr>
          <w:cantSplit/>
        </w:trPr>
        <w:tc>
          <w:tcPr>
            <w:tcW w:w="4010" w:type="dxa"/>
            <w:vAlign w:val="center"/>
          </w:tcPr>
          <w:p w14:paraId="3425F62D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2F61D8E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7B2AA9B" w14:textId="77777777" w:rsidTr="00037E52">
        <w:trPr>
          <w:cantSplit/>
        </w:trPr>
        <w:tc>
          <w:tcPr>
            <w:tcW w:w="4010" w:type="dxa"/>
          </w:tcPr>
          <w:p w14:paraId="0CC48D51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B6E0B41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B03F248" w14:textId="77777777" w:rsidTr="00037E52">
        <w:trPr>
          <w:cantSplit/>
        </w:trPr>
        <w:tc>
          <w:tcPr>
            <w:tcW w:w="4010" w:type="dxa"/>
            <w:vAlign w:val="center"/>
          </w:tcPr>
          <w:p w14:paraId="1C47EF07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0EA9969E" w14:textId="77777777" w:rsidR="00037E52" w:rsidRPr="00EB3D1B" w:rsidRDefault="00965CE0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500 mg/m</w:t>
            </w:r>
            <w:r w:rsidRPr="00965CE0">
              <w:rPr>
                <w:b/>
                <w:vertAlign w:val="superscript"/>
              </w:rPr>
              <w:t>3</w:t>
            </w:r>
          </w:p>
        </w:tc>
      </w:tr>
      <w:tr w:rsidR="00770147" w:rsidRPr="004C23F4" w14:paraId="21C70C6F" w14:textId="77777777" w:rsidTr="00860955">
        <w:trPr>
          <w:cantSplit/>
        </w:trPr>
        <w:tc>
          <w:tcPr>
            <w:tcW w:w="9026" w:type="dxa"/>
            <w:gridSpan w:val="2"/>
            <w:vAlign w:val="center"/>
          </w:tcPr>
          <w:p w14:paraId="0172878E" w14:textId="77777777" w:rsidR="00770147" w:rsidRDefault="00770147" w:rsidP="00770147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4EB4D9D2B1BF46DB9A4B9BE6BFF17B2F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C34BA7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DE353A5" w14:textId="7BE7A5A0" w:rsidR="00B305FB" w:rsidRPr="00B305FB" w:rsidRDefault="00B305FB" w:rsidP="00B305FB">
      <w:pPr>
        <w:rPr>
          <w:rFonts w:cs="Arial"/>
        </w:rPr>
      </w:pPr>
      <w:r w:rsidRPr="00B305FB">
        <w:rPr>
          <w:rFonts w:cs="Arial"/>
        </w:rPr>
        <w:t xml:space="preserve">A TWA of </w:t>
      </w:r>
      <w:r>
        <w:rPr>
          <w:rFonts w:cs="Arial"/>
        </w:rPr>
        <w:t>1</w:t>
      </w:r>
      <w:r w:rsidRPr="00B305FB">
        <w:rPr>
          <w:rFonts w:cs="Arial"/>
        </w:rPr>
        <w:t xml:space="preserve"> mg/m</w:t>
      </w:r>
      <w:r w:rsidRPr="00B305FB">
        <w:rPr>
          <w:rFonts w:cs="Arial"/>
          <w:vertAlign w:val="superscript"/>
        </w:rPr>
        <w:t>3</w:t>
      </w:r>
      <w:r w:rsidRPr="00B305FB">
        <w:rPr>
          <w:rFonts w:cs="Arial"/>
        </w:rPr>
        <w:t xml:space="preserve"> is recommended to protect for </w:t>
      </w:r>
      <w:r w:rsidR="007E6F7C">
        <w:rPr>
          <w:rFonts w:cs="Arial"/>
        </w:rPr>
        <w:t>irritation</w:t>
      </w:r>
      <w:r w:rsidRPr="00B305FB">
        <w:rPr>
          <w:rFonts w:cs="Arial"/>
        </w:rPr>
        <w:t xml:space="preserve"> and </w:t>
      </w:r>
      <w:r w:rsidR="00192D60">
        <w:rPr>
          <w:rFonts w:cs="Arial"/>
        </w:rPr>
        <w:t>hypocalcaemia</w:t>
      </w:r>
      <w:r w:rsidRPr="00B305FB">
        <w:rPr>
          <w:rFonts w:cs="Arial"/>
        </w:rPr>
        <w:t xml:space="preserve"> in exposed workers. </w:t>
      </w:r>
    </w:p>
    <w:p w14:paraId="550CB755" w14:textId="00C9D959" w:rsidR="00192D60" w:rsidRPr="004C23F4" w:rsidRDefault="00B305FB" w:rsidP="000C139A">
      <w:pPr>
        <w:rPr>
          <w:rFonts w:cs="Arial"/>
        </w:rPr>
      </w:pPr>
      <w:r w:rsidRPr="00B305FB">
        <w:rPr>
          <w:rFonts w:cs="Arial"/>
        </w:rPr>
        <w:t xml:space="preserve">A STEL of </w:t>
      </w:r>
      <w:r w:rsidR="00192D60">
        <w:rPr>
          <w:rFonts w:cs="Arial"/>
        </w:rPr>
        <w:t>2</w:t>
      </w:r>
      <w:r w:rsidRPr="00B305FB">
        <w:rPr>
          <w:rFonts w:cs="Arial"/>
        </w:rPr>
        <w:t xml:space="preserve"> mg/m</w:t>
      </w:r>
      <w:r w:rsidRPr="00B305FB">
        <w:rPr>
          <w:rFonts w:cs="Arial"/>
          <w:vertAlign w:val="superscript"/>
        </w:rPr>
        <w:t>3</w:t>
      </w:r>
      <w:r w:rsidRPr="00B305FB">
        <w:rPr>
          <w:rFonts w:cs="Arial"/>
        </w:rPr>
        <w:t xml:space="preserve"> is recommended to protect </w:t>
      </w:r>
      <w:r w:rsidR="00192D60" w:rsidRPr="00B305FB">
        <w:rPr>
          <w:rFonts w:cs="Arial"/>
        </w:rPr>
        <w:t xml:space="preserve">for </w:t>
      </w:r>
      <w:r w:rsidR="00192D60">
        <w:rPr>
          <w:rFonts w:cs="Arial"/>
        </w:rPr>
        <w:t xml:space="preserve">acute </w:t>
      </w:r>
      <w:r w:rsidR="007E6F7C">
        <w:rPr>
          <w:rFonts w:cs="Arial"/>
        </w:rPr>
        <w:t>irritation</w:t>
      </w:r>
      <w:r w:rsidR="00192D60" w:rsidRPr="00B305FB">
        <w:rPr>
          <w:rFonts w:cs="Arial"/>
        </w:rPr>
        <w:t xml:space="preserve"> and </w:t>
      </w:r>
      <w:r w:rsidR="00192D60">
        <w:rPr>
          <w:rFonts w:cs="Arial"/>
        </w:rPr>
        <w:t>hypocalcaemia</w:t>
      </w:r>
      <w:r w:rsidR="00CD2998">
        <w:rPr>
          <w:rFonts w:cs="Arial"/>
        </w:rPr>
        <w:t xml:space="preserve"> in exposed workers</w:t>
      </w:r>
      <w:r w:rsidR="00192D60">
        <w:rPr>
          <w:rFonts w:cs="Arial"/>
        </w:rPr>
        <w:t>.</w:t>
      </w:r>
    </w:p>
    <w:p w14:paraId="63E2224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549D4EF" w14:textId="5CC6EFF0" w:rsidR="006639B4" w:rsidRDefault="00DD4255" w:rsidP="006639B4">
      <w:pPr>
        <w:rPr>
          <w:rFonts w:cs="Arial"/>
        </w:rPr>
      </w:pPr>
      <w:r>
        <w:rPr>
          <w:rFonts w:cs="Arial"/>
        </w:rPr>
        <w:t xml:space="preserve">Oxalic acid is </w:t>
      </w:r>
      <w:r w:rsidR="007D2CE7">
        <w:rPr>
          <w:rFonts w:cs="Arial"/>
        </w:rPr>
        <w:t>used for disinfection</w:t>
      </w:r>
      <w:r w:rsidR="00CD2998">
        <w:rPr>
          <w:rFonts w:cs="Arial"/>
        </w:rPr>
        <w:t xml:space="preserve">, </w:t>
      </w:r>
      <w:r w:rsidR="007D2CE7">
        <w:rPr>
          <w:rFonts w:cs="Arial"/>
        </w:rPr>
        <w:t>rust removal and in dye and rubber manufacture.</w:t>
      </w:r>
    </w:p>
    <w:p w14:paraId="2C7AB82E" w14:textId="6AA2C15C" w:rsidR="007D2CE7" w:rsidRDefault="007D2CE7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CD2998">
        <w:rPr>
          <w:rFonts w:cs="Arial"/>
        </w:rPr>
        <w:t xml:space="preserve">of exposure </w:t>
      </w:r>
      <w:r>
        <w:rPr>
          <w:rFonts w:cs="Arial"/>
        </w:rPr>
        <w:t>are irritation of the eyes and upper respiratory tract</w:t>
      </w:r>
      <w:r w:rsidR="007E6F7C">
        <w:rPr>
          <w:rFonts w:cs="Arial"/>
        </w:rPr>
        <w:t>. P</w:t>
      </w:r>
      <w:r>
        <w:rPr>
          <w:rFonts w:cs="Arial"/>
        </w:rPr>
        <w:t>rolonged exposure may increase susceptibility to urinary stones. Acute exposure ha</w:t>
      </w:r>
      <w:r w:rsidR="007E6F7C">
        <w:rPr>
          <w:rFonts w:cs="Arial"/>
        </w:rPr>
        <w:t>s</w:t>
      </w:r>
      <w:r>
        <w:rPr>
          <w:rFonts w:cs="Arial"/>
        </w:rPr>
        <w:t xml:space="preserve"> caused hypocalcaemia and related heart and </w:t>
      </w:r>
      <w:r w:rsidR="00770147">
        <w:rPr>
          <w:rFonts w:cs="Arial"/>
        </w:rPr>
        <w:t>urinary</w:t>
      </w:r>
      <w:r>
        <w:rPr>
          <w:rFonts w:cs="Arial"/>
        </w:rPr>
        <w:t xml:space="preserve"> complications </w:t>
      </w:r>
      <w:r w:rsidR="008D69DD">
        <w:rPr>
          <w:rFonts w:cs="Arial"/>
        </w:rPr>
        <w:t xml:space="preserve">in humans </w:t>
      </w:r>
      <w:r>
        <w:rPr>
          <w:rFonts w:cs="Arial"/>
        </w:rPr>
        <w:t>(ACGIH, 2018).</w:t>
      </w:r>
    </w:p>
    <w:p w14:paraId="7AF89127" w14:textId="35A40991" w:rsidR="009E27B2" w:rsidRPr="008D69DD" w:rsidRDefault="007D2CE7" w:rsidP="006639B4">
      <w:pPr>
        <w:rPr>
          <w:rFonts w:cs="Arial"/>
        </w:rPr>
      </w:pPr>
      <w:r>
        <w:rPr>
          <w:rFonts w:cs="Arial"/>
        </w:rPr>
        <w:t>The toxicological database is limited</w:t>
      </w:r>
      <w:r w:rsidR="007E6F7C">
        <w:rPr>
          <w:rFonts w:cs="Arial"/>
        </w:rPr>
        <w:t xml:space="preserve"> and</w:t>
      </w:r>
      <w:r>
        <w:rPr>
          <w:rFonts w:cs="Arial"/>
        </w:rPr>
        <w:t xml:space="preserve"> there are no human or animal inhalational data available. Duration-dependent symptoms</w:t>
      </w:r>
      <w:r w:rsidR="009E27B2">
        <w:rPr>
          <w:rFonts w:cs="Arial"/>
        </w:rPr>
        <w:t>, but no exposure data,</w:t>
      </w:r>
      <w:r>
        <w:rPr>
          <w:rFonts w:cs="Arial"/>
        </w:rPr>
        <w:t xml:space="preserve"> relating to the critical effects </w:t>
      </w:r>
      <w:r w:rsidR="007E6F7C">
        <w:rPr>
          <w:rFonts w:cs="Arial"/>
        </w:rPr>
        <w:t xml:space="preserve">are </w:t>
      </w:r>
      <w:r w:rsidR="006A5346">
        <w:rPr>
          <w:rFonts w:cs="Arial"/>
        </w:rPr>
        <w:t xml:space="preserve">reported </w:t>
      </w:r>
      <w:r>
        <w:rPr>
          <w:rFonts w:cs="Arial"/>
        </w:rPr>
        <w:t>in a workplace study</w:t>
      </w:r>
      <w:r w:rsidR="009E27B2">
        <w:rPr>
          <w:rFonts w:cs="Arial"/>
        </w:rPr>
        <w:t xml:space="preserve"> of railway cleaners </w:t>
      </w:r>
      <w:r w:rsidR="008D69DD">
        <w:rPr>
          <w:rFonts w:cs="Arial"/>
        </w:rPr>
        <w:t>(ACGIH, 2018; HCOTN, 2004).</w:t>
      </w:r>
      <w:r w:rsidR="008404EC">
        <w:rPr>
          <w:rFonts w:cs="Arial"/>
        </w:rPr>
        <w:t xml:space="preserve"> A NOAEL of 162 mg/kg/day</w:t>
      </w:r>
      <w:r w:rsidR="00A351FF">
        <w:rPr>
          <w:rFonts w:cs="Arial"/>
        </w:rPr>
        <w:t xml:space="preserve"> in rats is reported from a sub-chronic reproductive feeding study (ACGIH, 2018). A</w:t>
      </w:r>
      <w:r w:rsidR="008D69DD">
        <w:rPr>
          <w:rFonts w:cs="Arial"/>
        </w:rPr>
        <w:t xml:space="preserve"> </w:t>
      </w:r>
      <w:r w:rsidR="009E27B2">
        <w:rPr>
          <w:rFonts w:cs="Arial"/>
        </w:rPr>
        <w:t>NOAEL of 63</w:t>
      </w:r>
      <w:r w:rsidR="00A351FF">
        <w:rPr>
          <w:rFonts w:cs="Arial"/>
        </w:rPr>
        <w:t> </w:t>
      </w:r>
      <w:r w:rsidR="009E27B2">
        <w:rPr>
          <w:rFonts w:cs="Arial"/>
        </w:rPr>
        <w:t>mg/kg</w:t>
      </w:r>
      <w:r w:rsidR="00DF74C3">
        <w:rPr>
          <w:rFonts w:cs="Arial"/>
        </w:rPr>
        <w:t>/day</w:t>
      </w:r>
      <w:r w:rsidR="009E27B2">
        <w:rPr>
          <w:rFonts w:cs="Arial"/>
        </w:rPr>
        <w:t xml:space="preserve"> for systemic </w:t>
      </w:r>
      <w:r w:rsidR="008D69DD">
        <w:rPr>
          <w:rFonts w:cs="Arial"/>
        </w:rPr>
        <w:t xml:space="preserve">effects of hypocalcaemia </w:t>
      </w:r>
      <w:r w:rsidR="00A351FF">
        <w:rPr>
          <w:rFonts w:cs="Arial"/>
        </w:rPr>
        <w:t xml:space="preserve">is </w:t>
      </w:r>
      <w:r w:rsidR="009E27B2">
        <w:rPr>
          <w:rFonts w:cs="Arial"/>
        </w:rPr>
        <w:t>reported</w:t>
      </w:r>
      <w:r w:rsidR="008D69DD">
        <w:rPr>
          <w:rFonts w:cs="Arial"/>
        </w:rPr>
        <w:t xml:space="preserve"> </w:t>
      </w:r>
      <w:r w:rsidR="00A351FF">
        <w:rPr>
          <w:rFonts w:cs="Arial"/>
        </w:rPr>
        <w:t>from a</w:t>
      </w:r>
      <w:r w:rsidR="009E27B2">
        <w:rPr>
          <w:rFonts w:cs="Arial"/>
        </w:rPr>
        <w:t xml:space="preserve"> separate sub</w:t>
      </w:r>
      <w:r w:rsidR="00DF74C3">
        <w:rPr>
          <w:rFonts w:cs="Arial"/>
        </w:rPr>
        <w:t>-</w:t>
      </w:r>
      <w:r w:rsidR="009E27B2">
        <w:rPr>
          <w:rFonts w:cs="Arial"/>
        </w:rPr>
        <w:t>chronic feeding stud</w:t>
      </w:r>
      <w:r w:rsidR="00A351FF">
        <w:rPr>
          <w:rFonts w:cs="Arial"/>
        </w:rPr>
        <w:t>y</w:t>
      </w:r>
      <w:r w:rsidR="009E27B2">
        <w:rPr>
          <w:rFonts w:cs="Arial"/>
        </w:rPr>
        <w:t xml:space="preserve"> </w:t>
      </w:r>
      <w:r w:rsidR="007E6F7C">
        <w:rPr>
          <w:rFonts w:cs="Arial"/>
        </w:rPr>
        <w:t xml:space="preserve">in </w:t>
      </w:r>
      <w:r w:rsidR="008D69DD">
        <w:rPr>
          <w:rFonts w:cs="Arial"/>
        </w:rPr>
        <w:t>rats (ECHA, 2019)</w:t>
      </w:r>
      <w:r w:rsidR="007E6F7C">
        <w:rPr>
          <w:rFonts w:cs="Arial"/>
        </w:rPr>
        <w:t>. A</w:t>
      </w:r>
      <w:r w:rsidR="008D69DD">
        <w:rPr>
          <w:rFonts w:cs="Arial"/>
        </w:rPr>
        <w:t xml:space="preserve">n equivalent air concentration of </w:t>
      </w:r>
      <w:r w:rsidR="00A351FF">
        <w:rPr>
          <w:rFonts w:cs="Arial"/>
        </w:rPr>
        <w:t>this</w:t>
      </w:r>
      <w:r w:rsidR="008D69DD">
        <w:rPr>
          <w:rFonts w:cs="Arial"/>
        </w:rPr>
        <w:t xml:space="preserve"> NOAEL is approximately 78 mg/m</w:t>
      </w:r>
      <w:r w:rsidR="008D69DD">
        <w:rPr>
          <w:rFonts w:cs="Arial"/>
          <w:vertAlign w:val="superscript"/>
        </w:rPr>
        <w:t>3</w:t>
      </w:r>
      <w:r w:rsidR="008D69DD">
        <w:rPr>
          <w:rFonts w:cs="Arial"/>
        </w:rPr>
        <w:t xml:space="preserve"> (ECHA, 2019).</w:t>
      </w:r>
    </w:p>
    <w:p w14:paraId="2CE57A35" w14:textId="12BC3826" w:rsidR="007D2CE7" w:rsidRPr="00B305FB" w:rsidRDefault="009E27B2" w:rsidP="006639B4">
      <w:pPr>
        <w:rPr>
          <w:rFonts w:cs="Arial"/>
        </w:rPr>
      </w:pPr>
      <w:r>
        <w:rPr>
          <w:rFonts w:cs="Arial"/>
        </w:rPr>
        <w:t>The acidity of the compound</w:t>
      </w:r>
      <w:r w:rsidR="00B305FB">
        <w:rPr>
          <w:rFonts w:cs="Arial"/>
        </w:rPr>
        <w:t>, measured by its dissociation constant (</w:t>
      </w:r>
      <w:proofErr w:type="spellStart"/>
      <w:r w:rsidR="00B305FB">
        <w:rPr>
          <w:rFonts w:cs="Arial"/>
        </w:rPr>
        <w:t>pK</w:t>
      </w:r>
      <w:r w:rsidR="00B305FB">
        <w:rPr>
          <w:rFonts w:cs="Arial"/>
          <w:vertAlign w:val="subscript"/>
        </w:rPr>
        <w:t>a</w:t>
      </w:r>
      <w:proofErr w:type="spellEnd"/>
      <w:r w:rsidR="00B305FB">
        <w:rPr>
          <w:rFonts w:cs="Arial"/>
        </w:rPr>
        <w:t>),</w:t>
      </w:r>
      <w:r>
        <w:rPr>
          <w:rFonts w:cs="Arial"/>
        </w:rPr>
        <w:t xml:space="preserve"> is considered the primary cause of </w:t>
      </w:r>
      <w:r w:rsidR="007E6F7C">
        <w:rPr>
          <w:rFonts w:cs="Arial"/>
        </w:rPr>
        <w:t>irritation</w:t>
      </w:r>
      <w:r>
        <w:rPr>
          <w:rFonts w:cs="Arial"/>
        </w:rPr>
        <w:t xml:space="preserve">. The relationship of </w:t>
      </w:r>
      <w:proofErr w:type="spellStart"/>
      <w:r w:rsidR="00B305FB">
        <w:rPr>
          <w:rFonts w:cs="Arial"/>
        </w:rPr>
        <w:t>pK</w:t>
      </w:r>
      <w:r w:rsidR="00B305FB">
        <w:rPr>
          <w:rFonts w:cs="Arial"/>
          <w:vertAlign w:val="subscript"/>
        </w:rPr>
        <w:t>a</w:t>
      </w:r>
      <w:proofErr w:type="spellEnd"/>
      <w:r>
        <w:rPr>
          <w:rFonts w:cs="Arial"/>
        </w:rPr>
        <w:t xml:space="preserve"> </w:t>
      </w:r>
      <w:r w:rsidR="008D69DD">
        <w:rPr>
          <w:rFonts w:cs="Arial"/>
        </w:rPr>
        <w:t>and</w:t>
      </w:r>
      <w:r>
        <w:rPr>
          <w:rFonts w:cs="Arial"/>
        </w:rPr>
        <w:t xml:space="preserve"> </w:t>
      </w:r>
      <w:r w:rsidR="00B305FB">
        <w:rPr>
          <w:rFonts w:cs="Arial"/>
        </w:rPr>
        <w:t>TLV</w:t>
      </w:r>
      <w:r>
        <w:rPr>
          <w:rFonts w:cs="Arial"/>
        </w:rPr>
        <w:t xml:space="preserve"> </w:t>
      </w:r>
      <w:r w:rsidR="00B305FB">
        <w:rPr>
          <w:rFonts w:cs="Arial"/>
        </w:rPr>
        <w:t>was</w:t>
      </w:r>
      <w:r>
        <w:rPr>
          <w:rFonts w:cs="Arial"/>
        </w:rPr>
        <w:t xml:space="preserve"> modelled for various</w:t>
      </w:r>
      <w:r w:rsidR="008D69DD">
        <w:rPr>
          <w:rFonts w:cs="Arial"/>
        </w:rPr>
        <w:t xml:space="preserve"> acidic irritants (ACGIH, 2018). Based on this relatio</w:t>
      </w:r>
      <w:r w:rsidR="00770147">
        <w:rPr>
          <w:rFonts w:cs="Arial"/>
        </w:rPr>
        <w:t xml:space="preserve">nship, ACGIH (2018) recommend </w:t>
      </w:r>
      <w:r w:rsidR="008D69DD">
        <w:rPr>
          <w:rFonts w:cs="Arial"/>
        </w:rPr>
        <w:t xml:space="preserve">TLV-TWA and TLV-STEL </w:t>
      </w:r>
      <w:r w:rsidR="00770147">
        <w:rPr>
          <w:rFonts w:cs="Arial"/>
        </w:rPr>
        <w:t>values</w:t>
      </w:r>
      <w:r w:rsidR="008D69DD">
        <w:rPr>
          <w:rFonts w:cs="Arial"/>
        </w:rPr>
        <w:t xml:space="preserve">, which are supported by </w:t>
      </w:r>
      <w:r w:rsidR="00770147">
        <w:rPr>
          <w:rFonts w:cs="Arial"/>
        </w:rPr>
        <w:t xml:space="preserve">analogy to phosphoric acid. </w:t>
      </w:r>
      <w:r w:rsidR="008D69DD">
        <w:rPr>
          <w:rFonts w:cs="Arial"/>
        </w:rPr>
        <w:t xml:space="preserve">In the absence of inhalational </w:t>
      </w:r>
      <w:r w:rsidR="00B305FB">
        <w:rPr>
          <w:rFonts w:cs="Arial"/>
        </w:rPr>
        <w:t>data regarding local irritant effects, the recommended TWA of 1 mg/m</w:t>
      </w:r>
      <w:r w:rsidR="00B305FB">
        <w:rPr>
          <w:rFonts w:cs="Arial"/>
          <w:vertAlign w:val="superscript"/>
        </w:rPr>
        <w:t>3</w:t>
      </w:r>
      <w:r w:rsidR="00B305FB">
        <w:rPr>
          <w:rFonts w:cs="Arial"/>
          <w:vertAlign w:val="subscript"/>
        </w:rPr>
        <w:t xml:space="preserve"> </w:t>
      </w:r>
      <w:r w:rsidR="00770147">
        <w:rPr>
          <w:rFonts w:cs="Arial"/>
        </w:rPr>
        <w:t>and STEL of 2 </w:t>
      </w:r>
      <w:r w:rsidR="00B305FB">
        <w:rPr>
          <w:rFonts w:cs="Arial"/>
        </w:rPr>
        <w:t>mg/m</w:t>
      </w:r>
      <w:r w:rsidR="00B305FB">
        <w:rPr>
          <w:rFonts w:cs="Arial"/>
          <w:vertAlign w:val="superscript"/>
        </w:rPr>
        <w:t>3</w:t>
      </w:r>
      <w:r w:rsidR="00B305FB">
        <w:rPr>
          <w:rFonts w:cs="Arial"/>
        </w:rPr>
        <w:t xml:space="preserve"> are adopted </w:t>
      </w:r>
      <w:r w:rsidR="007E6F7C">
        <w:rPr>
          <w:rFonts w:cs="Arial"/>
        </w:rPr>
        <w:t>from</w:t>
      </w:r>
      <w:r w:rsidR="00B305FB">
        <w:rPr>
          <w:rFonts w:cs="Arial"/>
        </w:rPr>
        <w:t xml:space="preserve"> ACGIH (2018). This combination of parameters is also considered sufficiently low to be protective of systemic effects reported </w:t>
      </w:r>
      <w:r w:rsidR="00770147">
        <w:rPr>
          <w:rFonts w:cs="Arial"/>
        </w:rPr>
        <w:t>in chronic</w:t>
      </w:r>
      <w:r w:rsidR="00B305FB">
        <w:rPr>
          <w:rFonts w:cs="Arial"/>
        </w:rPr>
        <w:t xml:space="preserve"> animal </w:t>
      </w:r>
      <w:r w:rsidR="00770147">
        <w:rPr>
          <w:rFonts w:cs="Arial"/>
        </w:rPr>
        <w:t xml:space="preserve">feeding </w:t>
      </w:r>
      <w:r w:rsidR="00B305FB">
        <w:rPr>
          <w:rFonts w:cs="Arial"/>
        </w:rPr>
        <w:t>studies.</w:t>
      </w:r>
    </w:p>
    <w:p w14:paraId="7A8E129A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376C857F" w14:textId="77777777" w:rsidR="008E4F1F" w:rsidRPr="004F13A8" w:rsidRDefault="008E4F1F" w:rsidP="008E4F1F">
      <w:pPr>
        <w:rPr>
          <w:rFonts w:cs="Arial"/>
        </w:rPr>
      </w:pPr>
      <w:r w:rsidRPr="004F13A8">
        <w:rPr>
          <w:rFonts w:cs="Arial"/>
        </w:rPr>
        <w:t>Not classified as a carcinogen according to the Globally Harmonized System of Classification and Labelling o</w:t>
      </w:r>
      <w:r w:rsidR="00645B27">
        <w:rPr>
          <w:rFonts w:cs="Arial"/>
        </w:rPr>
        <w:t>f</w:t>
      </w:r>
      <w:r w:rsidRPr="004F13A8">
        <w:rPr>
          <w:rFonts w:cs="Arial"/>
        </w:rPr>
        <w:t xml:space="preserve"> Chemicals (GHS). </w:t>
      </w:r>
    </w:p>
    <w:p w14:paraId="594A342C" w14:textId="77777777" w:rsidR="008E4F1F" w:rsidRPr="004F13A8" w:rsidRDefault="008E4F1F" w:rsidP="008E4F1F">
      <w:pPr>
        <w:rPr>
          <w:rFonts w:cs="Arial"/>
        </w:rPr>
      </w:pPr>
      <w:r w:rsidRPr="004F13A8">
        <w:rPr>
          <w:rFonts w:cs="Arial"/>
        </w:rPr>
        <w:t xml:space="preserve">Not classified as a skin </w:t>
      </w:r>
      <w:r w:rsidR="00645B27" w:rsidRPr="004F13A8">
        <w:rPr>
          <w:rFonts w:cs="Arial"/>
        </w:rPr>
        <w:t xml:space="preserve">sensitiser </w:t>
      </w:r>
      <w:r w:rsidRPr="004F13A8">
        <w:rPr>
          <w:rFonts w:cs="Arial"/>
        </w:rPr>
        <w:t>or respiratory sensitiser according to the GHS.</w:t>
      </w:r>
    </w:p>
    <w:p w14:paraId="0EC0706D" w14:textId="77777777" w:rsidR="004529F0" w:rsidRPr="004C23F4" w:rsidRDefault="00103D1E" w:rsidP="008E4F1F">
      <w:pPr>
        <w:rPr>
          <w:rFonts w:cs="Arial"/>
        </w:rPr>
      </w:pPr>
      <w:r>
        <w:rPr>
          <w:rFonts w:cs="Arial"/>
        </w:rPr>
        <w:t>There are i</w:t>
      </w:r>
      <w:r w:rsidR="008E4F1F" w:rsidRPr="004F13A8">
        <w:rPr>
          <w:rFonts w:cs="Arial"/>
        </w:rPr>
        <w:t xml:space="preserve">nsufficient </w:t>
      </w:r>
      <w:r>
        <w:rPr>
          <w:rFonts w:cs="Arial"/>
        </w:rPr>
        <w:t>data</w:t>
      </w:r>
      <w:r w:rsidR="008E4F1F" w:rsidRPr="004F13A8">
        <w:rPr>
          <w:rFonts w:cs="Arial"/>
        </w:rPr>
        <w:t xml:space="preserve"> to recommend a skin notation.</w:t>
      </w:r>
    </w:p>
    <w:p w14:paraId="07A5C36B" w14:textId="77777777" w:rsidR="0025734A" w:rsidRPr="004C23F4" w:rsidRDefault="0025734A">
      <w:pPr>
        <w:rPr>
          <w:rFonts w:cs="Arial"/>
        </w:rPr>
      </w:pPr>
    </w:p>
    <w:p w14:paraId="7D468DB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6B7F8B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ACCED0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902BA93" w14:textId="77777777" w:rsidTr="007E6F7C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2AE0501" w14:textId="77777777" w:rsidR="00C978F0" w:rsidRPr="00DA352E" w:rsidRDefault="00C978F0" w:rsidP="00645B27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03947B9" w14:textId="77777777" w:rsidTr="007E6F7C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BC709F" w14:textId="77777777" w:rsidR="00DE26E8" w:rsidRPr="003365A5" w:rsidRDefault="00DE26E8" w:rsidP="00103D1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200A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B4582">
                  <w:t>TWA: 1 mg/m</w:t>
                </w:r>
                <w:r w:rsidR="003B4582" w:rsidRPr="003B4582">
                  <w:rPr>
                    <w:vertAlign w:val="superscript"/>
                  </w:rPr>
                  <w:t>3</w:t>
                </w:r>
                <w:r w:rsidR="003B4582">
                  <w:t>; STEL: 2 mg/m</w:t>
                </w:r>
                <w:r w:rsidR="003B4582" w:rsidRPr="003B4582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C8EF4B7" w14:textId="77777777" w:rsidTr="007E6F7C">
        <w:trPr>
          <w:gridAfter w:val="1"/>
          <w:wAfter w:w="8" w:type="pct"/>
        </w:trPr>
        <w:tc>
          <w:tcPr>
            <w:tcW w:w="4992" w:type="pct"/>
          </w:tcPr>
          <w:p w14:paraId="20815462" w14:textId="77777777" w:rsidR="00C978F0" w:rsidRPr="00DA352E" w:rsidRDefault="00C978F0" w:rsidP="00645B27">
            <w:pPr>
              <w:pStyle w:val="Tabletextprimarysource"/>
            </w:pPr>
          </w:p>
        </w:tc>
      </w:tr>
      <w:tr w:rsidR="00C978F0" w:rsidRPr="00DA352E" w14:paraId="749D07AD" w14:textId="77777777" w:rsidTr="007E6F7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34EE467" w14:textId="77777777" w:rsidR="00C978F0" w:rsidRPr="00DA352E" w:rsidRDefault="00DA352E" w:rsidP="00103D1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200AD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375523985"/>
                    <w:placeholder>
                      <w:docPart w:val="D7277300178749448564879089D32A99"/>
                    </w:placeholder>
                  </w:sdtPr>
                  <w:sdtEndPr/>
                  <w:sdtContent>
                    <w:r w:rsidR="003B4582">
                      <w:t>TLV-TWA: 1 mg/m</w:t>
                    </w:r>
                    <w:r w:rsidR="003B4582" w:rsidRPr="003B4582">
                      <w:rPr>
                        <w:vertAlign w:val="superscript"/>
                      </w:rPr>
                      <w:t>3</w:t>
                    </w:r>
                    <w:r w:rsidR="003B4582">
                      <w:t>; TLV-STEL: 2 mg/m</w:t>
                    </w:r>
                    <w:r w:rsidR="003B4582" w:rsidRPr="003B4582">
                      <w:rPr>
                        <w:vertAlign w:val="superscript"/>
                      </w:rPr>
                      <w:t>3</w:t>
                    </w:r>
                  </w:sdtContent>
                </w:sdt>
              </w:sdtContent>
            </w:sdt>
          </w:p>
        </w:tc>
      </w:tr>
      <w:tr w:rsidR="00C978F0" w:rsidRPr="00DA352E" w14:paraId="2527C3BB" w14:textId="77777777" w:rsidTr="007E6F7C">
        <w:trPr>
          <w:gridAfter w:val="1"/>
          <w:wAfter w:w="8" w:type="pct"/>
        </w:trPr>
        <w:tc>
          <w:tcPr>
            <w:tcW w:w="4992" w:type="pct"/>
          </w:tcPr>
          <w:p w14:paraId="473C63E5" w14:textId="77777777" w:rsidR="00C978F0" w:rsidRDefault="00124F58" w:rsidP="00645B27">
            <w:pPr>
              <w:pStyle w:val="Tabletextprimarysource"/>
            </w:pPr>
            <w:r>
              <w:t xml:space="preserve">TLV-TWA intended to protect for irritation to the eyes, skin, </w:t>
            </w:r>
            <w:proofErr w:type="gramStart"/>
            <w:r>
              <w:t>respiratory</w:t>
            </w:r>
            <w:proofErr w:type="gramEnd"/>
            <w:r>
              <w:t xml:space="preserve"> tract. TLV-STEL intended to protect for nephrotoxicity and hypocalcaemia observed at higher exposures. </w:t>
            </w:r>
            <w:r w:rsidR="00305150">
              <w:t>No human or animal inhalational data are available for assessment; human exposure data primarily consist of oral overdoses and dietary studies.</w:t>
            </w:r>
          </w:p>
          <w:p w14:paraId="72D11F55" w14:textId="77777777" w:rsidR="00CB38E4" w:rsidRDefault="00124F58" w:rsidP="00645B27">
            <w:pPr>
              <w:pStyle w:val="Tabletextprimarysource"/>
            </w:pPr>
            <w:r>
              <w:t>Summary of data:</w:t>
            </w:r>
          </w:p>
          <w:p w14:paraId="5BABE33C" w14:textId="77777777" w:rsidR="005A1B75" w:rsidRPr="002200AD" w:rsidRDefault="005A1B75" w:rsidP="00645B27">
            <w:pPr>
              <w:pStyle w:val="Tabletextprimarysource"/>
            </w:pPr>
            <w:r>
              <w:t xml:space="preserve">Acidity is considered primary cause of irritancy potential. Based on the relationship of the acidity (measured by the acid dissociation constant, </w:t>
            </w:r>
            <w:proofErr w:type="spellStart"/>
            <w:r>
              <w:t>p</w:t>
            </w:r>
            <w:r w:rsidRPr="005A1B75">
              <w:t>K</w:t>
            </w:r>
            <w:r w:rsidRPr="005A1B75">
              <w:rPr>
                <w:vertAlign w:val="subscript"/>
              </w:rPr>
              <w:t>a</w:t>
            </w:r>
            <w:proofErr w:type="spellEnd"/>
            <w:r>
              <w:t>) and TLVs of other acidic irritants a linear log-log relationship was established</w:t>
            </w:r>
            <w:r w:rsidR="002200AD">
              <w:t>. From this model, the TLV-TWA is estimated at 1.05 mg/m</w:t>
            </w:r>
            <w:r w:rsidR="002200AD">
              <w:rPr>
                <w:vertAlign w:val="superscript"/>
              </w:rPr>
              <w:t>3</w:t>
            </w:r>
            <w:r w:rsidR="002200AD">
              <w:t xml:space="preserve"> </w:t>
            </w:r>
            <w:r w:rsidR="005C65F6">
              <w:t>from</w:t>
            </w:r>
            <w:r w:rsidR="002200AD">
              <w:t xml:space="preserve"> a </w:t>
            </w:r>
            <w:proofErr w:type="spellStart"/>
            <w:r w:rsidR="002200AD">
              <w:t>pK</w:t>
            </w:r>
            <w:r w:rsidR="002200AD">
              <w:rPr>
                <w:vertAlign w:val="subscript"/>
              </w:rPr>
              <w:t>a</w:t>
            </w:r>
            <w:proofErr w:type="spellEnd"/>
            <w:r w:rsidR="005C65F6">
              <w:t xml:space="preserve"> of 1.25 </w:t>
            </w:r>
            <w:r w:rsidR="002200AD">
              <w:t xml:space="preserve">and is supported by the estimated TLV-TWA and TLV-STEL for phosphoric acid, which has comparable </w:t>
            </w:r>
            <w:proofErr w:type="spellStart"/>
            <w:r w:rsidR="002200AD">
              <w:t>pK</w:t>
            </w:r>
            <w:r w:rsidR="002200AD">
              <w:rPr>
                <w:vertAlign w:val="subscript"/>
              </w:rPr>
              <w:t>a</w:t>
            </w:r>
            <w:proofErr w:type="spellEnd"/>
            <w:r w:rsidR="002200AD">
              <w:t xml:space="preserve"> values.</w:t>
            </w:r>
          </w:p>
          <w:p w14:paraId="6C39493D" w14:textId="77777777" w:rsidR="00124F58" w:rsidRDefault="00124F58" w:rsidP="00645B27">
            <w:pPr>
              <w:pStyle w:val="Tabletextprimarysource"/>
            </w:pPr>
            <w:r>
              <w:t>Human data:</w:t>
            </w:r>
          </w:p>
          <w:p w14:paraId="6CBB9E32" w14:textId="77777777" w:rsidR="00EE6D8C" w:rsidRDefault="00EE6D8C" w:rsidP="00645B27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2.4% of ingested dietary oxalate absorbed; </w:t>
            </w:r>
            <w:r>
              <w:rPr>
                <w:rFonts w:cs="Arial"/>
              </w:rPr>
              <w:t>≈</w:t>
            </w:r>
            <w:r>
              <w:t>20 mg/d in excreta of healthy volunteers</w:t>
            </w:r>
          </w:p>
          <w:p w14:paraId="74B0D9E0" w14:textId="77777777" w:rsidR="00305150" w:rsidRDefault="00305150" w:rsidP="00645B27">
            <w:pPr>
              <w:pStyle w:val="Tabletextprimarysource"/>
              <w:numPr>
                <w:ilvl w:val="0"/>
                <w:numId w:val="2"/>
              </w:numPr>
            </w:pPr>
            <w:r>
              <w:t>Healthy volunteers (n=4) excreted less dietary oxalate than volunteers with kidney stones (n=6), 3.4% versus 10%, respectively; excretion was also higher in volunteers on low calcium diet</w:t>
            </w:r>
          </w:p>
          <w:p w14:paraId="3FA34E00" w14:textId="77777777" w:rsidR="00EE6D8C" w:rsidRDefault="00EE6D8C" w:rsidP="00645B27">
            <w:pPr>
              <w:pStyle w:val="Tabletextprimarysource"/>
              <w:numPr>
                <w:ilvl w:val="0"/>
                <w:numId w:val="2"/>
              </w:numPr>
            </w:pPr>
            <w:r>
              <w:t>88–99% of iv dose excreted within 36 h; elimination half-life 90 min</w:t>
            </w:r>
          </w:p>
          <w:p w14:paraId="76F437EE" w14:textId="31EEE4CE" w:rsidR="00EE6D8C" w:rsidRDefault="00EE6D8C" w:rsidP="00645B27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Severe poisoning by ingestion causes burning sensation in throat and stomach, oesophageal erosion, </w:t>
            </w:r>
            <w:r w:rsidR="00151D0A">
              <w:t>nausea, hypotension, headaches</w:t>
            </w:r>
            <w:r>
              <w:t>, convulsions, coma and death</w:t>
            </w:r>
            <w:r w:rsidR="00881BEA">
              <w:t>:</w:t>
            </w:r>
          </w:p>
          <w:p w14:paraId="12128ED0" w14:textId="50698E98" w:rsidR="00EE6D8C" w:rsidRDefault="00305150" w:rsidP="00103D1E">
            <w:pPr>
              <w:pStyle w:val="Tabletextprimarysource"/>
              <w:numPr>
                <w:ilvl w:val="1"/>
                <w:numId w:val="2"/>
              </w:numPr>
              <w:ind w:left="1159" w:hanging="425"/>
            </w:pPr>
            <w:r>
              <w:t>h</w:t>
            </w:r>
            <w:r w:rsidR="00EE6D8C">
              <w:t>ypocalcaemia-induced cardiac effects likely cause of fatality in acute poisonings</w:t>
            </w:r>
          </w:p>
          <w:p w14:paraId="6CFD8405" w14:textId="5B41D4DC" w:rsidR="00EE6D8C" w:rsidRDefault="00151D0A" w:rsidP="00645B27">
            <w:pPr>
              <w:pStyle w:val="Tabletextprimarysource"/>
              <w:numPr>
                <w:ilvl w:val="0"/>
                <w:numId w:val="2"/>
              </w:numPr>
            </w:pPr>
            <w:r>
              <w:t>Increased incidence of kidney stones reported in survey of workers exposed during railway cleaning (n=393); high exposure (</w:t>
            </w:r>
            <w:r w:rsidR="002200AD">
              <w:t xml:space="preserve">n=15, </w:t>
            </w:r>
            <w:r>
              <w:t>3–4 h/d) associated with 53% incidence, low exposure (</w:t>
            </w:r>
            <w:r w:rsidR="002200AD">
              <w:t xml:space="preserve">n=25, </w:t>
            </w:r>
            <w:r>
              <w:t>1–8 h/</w:t>
            </w:r>
            <w:proofErr w:type="spellStart"/>
            <w:r>
              <w:t>wk</w:t>
            </w:r>
            <w:proofErr w:type="spellEnd"/>
            <w:r>
              <w:t>): 32% and no exposure</w:t>
            </w:r>
            <w:r w:rsidR="002200AD">
              <w:t xml:space="preserve"> (n=353)</w:t>
            </w:r>
            <w:r>
              <w:t>: 12% compared to local community: 0.2%</w:t>
            </w:r>
            <w:r w:rsidR="002200AD">
              <w:t>; exposures were not measured (also cited in HCOTN, 2004)</w:t>
            </w:r>
            <w:r w:rsidR="00881BEA">
              <w:t>:</w:t>
            </w:r>
          </w:p>
          <w:p w14:paraId="54BEB870" w14:textId="2606BAC5" w:rsidR="00151D0A" w:rsidRDefault="00151D0A" w:rsidP="00103D1E">
            <w:pPr>
              <w:pStyle w:val="Tabletextprimarysource"/>
              <w:numPr>
                <w:ilvl w:val="1"/>
                <w:numId w:val="2"/>
              </w:numPr>
              <w:ind w:left="1159" w:hanging="425"/>
            </w:pPr>
            <w:r>
              <w:t>pharyngeal irritation and coughing in workers involved in steam cleaning</w:t>
            </w:r>
            <w:r w:rsidR="002200AD">
              <w:t xml:space="preserve"> (n=7)</w:t>
            </w:r>
          </w:p>
          <w:p w14:paraId="33B68E02" w14:textId="4E60BB46" w:rsidR="005A1B75" w:rsidRDefault="005A1B75" w:rsidP="00645B27">
            <w:pPr>
              <w:pStyle w:val="Tabletextprimarysource"/>
              <w:numPr>
                <w:ilvl w:val="0"/>
                <w:numId w:val="2"/>
              </w:numPr>
            </w:pPr>
            <w:r>
              <w:t>Contact dermatitis in workers handling calcium oxalate crystals (needles) on plants</w:t>
            </w:r>
            <w:r w:rsidR="00881BEA">
              <w:t>.</w:t>
            </w:r>
          </w:p>
          <w:p w14:paraId="7D72BD16" w14:textId="77777777" w:rsidR="00124F58" w:rsidRDefault="00124F58" w:rsidP="00645B27">
            <w:pPr>
              <w:pStyle w:val="Tabletextprimarysource"/>
            </w:pPr>
            <w:r>
              <w:t>Animal data:</w:t>
            </w:r>
          </w:p>
          <w:p w14:paraId="35CCF771" w14:textId="77777777" w:rsidR="00A53AF2" w:rsidRDefault="00A53AF2" w:rsidP="00645B27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375–475 mg/kg (rats)</w:t>
            </w:r>
            <w:r w:rsidR="002E095B">
              <w:t>; administered as 5% aqueous solution</w:t>
            </w:r>
          </w:p>
          <w:p w14:paraId="133D8D09" w14:textId="790C0F48" w:rsidR="00A53AF2" w:rsidRDefault="00A53AF2" w:rsidP="00645B27">
            <w:pPr>
              <w:pStyle w:val="Tabletextprimarysource"/>
              <w:numPr>
                <w:ilvl w:val="0"/>
                <w:numId w:val="1"/>
              </w:numPr>
            </w:pPr>
            <w:r>
              <w:t>Decreased thyroid weight, iodine uptake and dose-dependent severity of kidney lesions</w:t>
            </w:r>
            <w:r w:rsidR="008D69DD">
              <w:t xml:space="preserve"> at 5,000 mg/kg</w:t>
            </w:r>
            <w:r>
              <w:t xml:space="preserve"> </w:t>
            </w:r>
            <w:r w:rsidR="00410830">
              <w:t>in repeat feeding study with exposure groups 0, 2,000 and 5,000 mg/kg (rats, 70 d)</w:t>
            </w:r>
          </w:p>
          <w:p w14:paraId="3B5843B9" w14:textId="77777777" w:rsidR="00410830" w:rsidRDefault="00410830" w:rsidP="00645B27">
            <w:pPr>
              <w:pStyle w:val="Tabletextprimarysource"/>
              <w:numPr>
                <w:ilvl w:val="0"/>
                <w:numId w:val="1"/>
              </w:numPr>
            </w:pPr>
            <w:r>
              <w:t>Mildly irritating to skin (rabbits); redness but no ulceration when applied as 9% aqueous solution for 5 min</w:t>
            </w:r>
          </w:p>
          <w:p w14:paraId="442AE58D" w14:textId="5EB32980" w:rsidR="00A53AF2" w:rsidRDefault="00CB38E4" w:rsidP="00645B27">
            <w:pPr>
              <w:pStyle w:val="Tabletextprimarysource"/>
              <w:numPr>
                <w:ilvl w:val="0"/>
                <w:numId w:val="1"/>
              </w:numPr>
            </w:pPr>
            <w:r>
              <w:t>Binds to calcium under physiological condition</w:t>
            </w:r>
            <w:r w:rsidR="00A53AF2">
              <w:t xml:space="preserve">s, which leads to kidney stones, hypocalcaemia and </w:t>
            </w:r>
            <w:r>
              <w:t>hypotension affecting heart and central nervous system (CNS) fu</w:t>
            </w:r>
            <w:r w:rsidR="00A53AF2">
              <w:t>nction</w:t>
            </w:r>
          </w:p>
          <w:p w14:paraId="3CB527CB" w14:textId="77777777" w:rsidR="00410830" w:rsidRDefault="00410830" w:rsidP="00645B27">
            <w:pPr>
              <w:pStyle w:val="Tabletextprimarysource"/>
              <w:numPr>
                <w:ilvl w:val="0"/>
                <w:numId w:val="1"/>
              </w:numPr>
            </w:pPr>
            <w:r>
              <w:t>Negative Ames test results with and without metabolic activation; negative chromosomal aberration test with hamster fibroblast cells</w:t>
            </w:r>
          </w:p>
          <w:p w14:paraId="0CC45ADC" w14:textId="1A4C0684" w:rsidR="002E095B" w:rsidRDefault="002E095B" w:rsidP="00645B2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</w:t>
            </w:r>
            <w:r w:rsidR="00EE6D8C">
              <w:t xml:space="preserve">kidney weights and </w:t>
            </w:r>
            <w:r>
              <w:t>abnormal sperm counts</w:t>
            </w:r>
            <w:r w:rsidR="00EE6D8C">
              <w:t xml:space="preserve"> in F1 generation and decreased live foetuses and female pups</w:t>
            </w:r>
            <w:r>
              <w:t xml:space="preserve"> in</w:t>
            </w:r>
            <w:r w:rsidR="00EE6D8C">
              <w:t xml:space="preserve"> F2 generation in</w:t>
            </w:r>
            <w:r>
              <w:t xml:space="preserve"> 2-generation reproductive feeding </w:t>
            </w:r>
            <w:r w:rsidR="00EE6D8C">
              <w:t xml:space="preserve">study at </w:t>
            </w:r>
            <w:r w:rsidR="00EE6D8C">
              <w:lastRenderedPageBreak/>
              <w:t xml:space="preserve">275 mg/kg/d (rats, 18 </w:t>
            </w:r>
            <w:proofErr w:type="spellStart"/>
            <w:r w:rsidR="00EE6D8C">
              <w:t>wk</w:t>
            </w:r>
            <w:proofErr w:type="spellEnd"/>
            <w:r w:rsidR="00EE6D8C">
              <w:t>); only reduced water consumption noted at 89 and 162</w:t>
            </w:r>
            <w:r w:rsidR="00645B27">
              <w:t> </w:t>
            </w:r>
            <w:r w:rsidR="00EE6D8C">
              <w:t>mg/kg/d compared to controls</w:t>
            </w:r>
            <w:r w:rsidR="002200AD">
              <w:t>; NOAEL: 162 mg/kg/d</w:t>
            </w:r>
            <w:r w:rsidR="00645B27">
              <w:t>.</w:t>
            </w:r>
          </w:p>
          <w:p w14:paraId="7A6A6E5F" w14:textId="77777777" w:rsidR="00172508" w:rsidRDefault="00172508" w:rsidP="00645B27">
            <w:pPr>
              <w:pStyle w:val="Tabletextprimarysource"/>
            </w:pPr>
          </w:p>
          <w:p w14:paraId="210B4A25" w14:textId="79FD0309" w:rsidR="00B8350F" w:rsidRDefault="00124F58" w:rsidP="00645B27">
            <w:pPr>
              <w:pStyle w:val="Tabletextprimarysource"/>
            </w:pPr>
            <w:r>
              <w:t>Insufficient data to recommend notations for carcinogenicity, skin absorption or sensitisation.</w:t>
            </w:r>
          </w:p>
          <w:p w14:paraId="6555BC5A" w14:textId="2741C40F" w:rsidR="00172508" w:rsidRPr="00DA352E" w:rsidRDefault="00172508" w:rsidP="00645B27">
            <w:pPr>
              <w:pStyle w:val="Tabletextprimarysource"/>
            </w:pPr>
          </w:p>
        </w:tc>
      </w:tr>
      <w:tr w:rsidR="00C978F0" w:rsidRPr="00DA352E" w14:paraId="0A028D02" w14:textId="77777777" w:rsidTr="007E6F7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18C9A27" w14:textId="77777777" w:rsidR="00C978F0" w:rsidRPr="00DA352E" w:rsidRDefault="00DA352E" w:rsidP="00103D1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200A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6B5EA5">
                  <w:t>NA</w:t>
                </w:r>
                <w:proofErr w:type="spellEnd"/>
              </w:sdtContent>
            </w:sdt>
          </w:p>
        </w:tc>
      </w:tr>
      <w:tr w:rsidR="00C978F0" w:rsidRPr="00DA352E" w14:paraId="4E09DB83" w14:textId="77777777" w:rsidTr="007E6F7C">
        <w:trPr>
          <w:gridAfter w:val="1"/>
          <w:wAfter w:w="8" w:type="pct"/>
        </w:trPr>
        <w:tc>
          <w:tcPr>
            <w:tcW w:w="4992" w:type="pct"/>
          </w:tcPr>
          <w:p w14:paraId="1EE83A1B" w14:textId="77777777" w:rsidR="00C978F0" w:rsidRPr="00DA352E" w:rsidRDefault="006B5EA5" w:rsidP="00645B27">
            <w:pPr>
              <w:pStyle w:val="Tabletextprimarysource"/>
            </w:pPr>
            <w:r>
              <w:t>No report</w:t>
            </w:r>
            <w:r w:rsidR="00645B27">
              <w:t>.</w:t>
            </w:r>
          </w:p>
        </w:tc>
      </w:tr>
      <w:tr w:rsidR="00C978F0" w:rsidRPr="00DA352E" w14:paraId="3A0F3A4E" w14:textId="77777777" w:rsidTr="007E6F7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B370D89" w14:textId="77777777" w:rsidR="00C978F0" w:rsidRPr="00DA352E" w:rsidRDefault="00DA352E" w:rsidP="00103D1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200A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6B5EA5">
                  <w:t>NA</w:t>
                </w:r>
                <w:proofErr w:type="spellEnd"/>
              </w:sdtContent>
            </w:sdt>
          </w:p>
        </w:tc>
      </w:tr>
      <w:tr w:rsidR="00C978F0" w:rsidRPr="00DA352E" w14:paraId="2F1854DA" w14:textId="77777777" w:rsidTr="007E6F7C">
        <w:trPr>
          <w:gridAfter w:val="1"/>
          <w:wAfter w:w="8" w:type="pct"/>
        </w:trPr>
        <w:tc>
          <w:tcPr>
            <w:tcW w:w="4992" w:type="pct"/>
          </w:tcPr>
          <w:p w14:paraId="753C8DC9" w14:textId="77777777" w:rsidR="00C978F0" w:rsidRPr="00DA352E" w:rsidRDefault="006B5EA5" w:rsidP="00645B27">
            <w:pPr>
              <w:pStyle w:val="Tabletextprimarysource"/>
            </w:pPr>
            <w:r>
              <w:t>No report</w:t>
            </w:r>
            <w:r w:rsidR="00645B27">
              <w:t>.</w:t>
            </w:r>
          </w:p>
        </w:tc>
      </w:tr>
      <w:tr w:rsidR="00DA352E" w:rsidRPr="00DA352E" w14:paraId="5640094A" w14:textId="77777777" w:rsidTr="007E6F7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37BFA59" w14:textId="77777777" w:rsidR="00DA352E" w:rsidRPr="00DA352E" w:rsidRDefault="00DA352E" w:rsidP="00103D1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200A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16147">
                  <w:t>NA</w:t>
                </w:r>
                <w:proofErr w:type="spellEnd"/>
              </w:sdtContent>
            </w:sdt>
          </w:p>
        </w:tc>
      </w:tr>
      <w:tr w:rsidR="00DA352E" w:rsidRPr="00DA352E" w14:paraId="36A60909" w14:textId="77777777" w:rsidTr="007E6F7C">
        <w:trPr>
          <w:gridAfter w:val="1"/>
          <w:wAfter w:w="8" w:type="pct"/>
        </w:trPr>
        <w:tc>
          <w:tcPr>
            <w:tcW w:w="4992" w:type="pct"/>
          </w:tcPr>
          <w:p w14:paraId="71B1375E" w14:textId="77777777" w:rsidR="00DA352E" w:rsidRPr="00DA352E" w:rsidRDefault="00E16147" w:rsidP="00645B27">
            <w:pPr>
              <w:pStyle w:val="Tabletextprimarysource"/>
            </w:pPr>
            <w:r>
              <w:t>No report</w:t>
            </w:r>
            <w:r w:rsidR="00645B27">
              <w:t>.</w:t>
            </w:r>
          </w:p>
        </w:tc>
      </w:tr>
      <w:tr w:rsidR="00DA352E" w:rsidRPr="00DA352E" w14:paraId="3CA5B4AD" w14:textId="77777777" w:rsidTr="007E6F7C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AB569BA" w14:textId="77777777" w:rsidR="00DA352E" w:rsidRPr="00DA352E" w:rsidRDefault="00DA352E" w:rsidP="00103D1E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200AD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E16147" w:rsidRPr="00E16147">
                  <w:t>TWA 8 hours</w:t>
                </w:r>
                <w:r w:rsidR="00E16147">
                  <w:t>: 1 mg/m</w:t>
                </w:r>
                <w:r w:rsidR="00E16147" w:rsidRPr="00E1614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4D48FC4" w14:textId="77777777" w:rsidTr="007E6F7C">
        <w:trPr>
          <w:gridAfter w:val="1"/>
          <w:wAfter w:w="8" w:type="pct"/>
        </w:trPr>
        <w:tc>
          <w:tcPr>
            <w:tcW w:w="4992" w:type="pct"/>
          </w:tcPr>
          <w:p w14:paraId="3C111BDA" w14:textId="77777777" w:rsidR="002200AD" w:rsidRDefault="002200AD" w:rsidP="00645B27">
            <w:pPr>
              <w:pStyle w:val="Tabletextprimarysource"/>
            </w:pPr>
            <w:r>
              <w:t>Summary of additional data:</w:t>
            </w:r>
          </w:p>
          <w:p w14:paraId="77664D36" w14:textId="7F1D220A" w:rsidR="002200AD" w:rsidRDefault="002200AD" w:rsidP="00645B27">
            <w:pPr>
              <w:pStyle w:val="Tabletextprimarysource"/>
            </w:pPr>
            <w:r>
              <w:t>Critical effects are irritation of the upper respiratory tract, eyes and skin. No data on thresholds for these endpoints were available for the agency’s assessment; therefore, no comment can be made on the suitability of the current administrative OEL in protecting for these critical effects.</w:t>
            </w:r>
          </w:p>
          <w:p w14:paraId="2AAD1AB6" w14:textId="77777777" w:rsidR="002200AD" w:rsidRPr="002200AD" w:rsidRDefault="002200AD" w:rsidP="00645B27">
            <w:pPr>
              <w:pStyle w:val="Tabletextprimarysource"/>
            </w:pPr>
            <w:r>
              <w:t>However, based on the reproductive NOAEL of 162 mg/kg/d in rats (also cited in ACGIH, 2018), the current administrative OEL of 1 mg/m</w:t>
            </w:r>
            <w:r>
              <w:rPr>
                <w:vertAlign w:val="superscript"/>
              </w:rPr>
              <w:t>3</w:t>
            </w:r>
            <w:r>
              <w:t xml:space="preserve"> is considered protective of systemic effects.</w:t>
            </w:r>
          </w:p>
          <w:p w14:paraId="4DE688F7" w14:textId="77777777" w:rsidR="002200AD" w:rsidRDefault="002200AD" w:rsidP="00645B27">
            <w:pPr>
              <w:pStyle w:val="Tabletextprimarysource"/>
            </w:pPr>
            <w:r>
              <w:t>Human data:</w:t>
            </w:r>
          </w:p>
          <w:p w14:paraId="20214532" w14:textId="43928082" w:rsidR="002200AD" w:rsidRDefault="002200AD" w:rsidP="00645B27">
            <w:pPr>
              <w:pStyle w:val="Tabletextprimarysource"/>
              <w:numPr>
                <w:ilvl w:val="0"/>
                <w:numId w:val="1"/>
              </w:numPr>
            </w:pPr>
            <w:r>
              <w:t>Inhalational exposure causes irritation to eyes, nose and throat, breathing difficulties and loss of consciousness (no further details provided)</w:t>
            </w:r>
          </w:p>
          <w:p w14:paraId="3768645C" w14:textId="77777777" w:rsidR="002200AD" w:rsidRDefault="002200AD" w:rsidP="00645B27">
            <w:pPr>
              <w:pStyle w:val="Tabletextprimarysource"/>
              <w:numPr>
                <w:ilvl w:val="0"/>
                <w:numId w:val="1"/>
              </w:numPr>
            </w:pPr>
            <w:r>
              <w:t>54% positive sensitisation reactions in patients with eczema (n=26) when applied to eczema on the feet</w:t>
            </w:r>
          </w:p>
          <w:p w14:paraId="3ADEE50E" w14:textId="7026BA4E" w:rsidR="002200AD" w:rsidRDefault="002200AD" w:rsidP="00645B27">
            <w:pPr>
              <w:pStyle w:val="Tabletextprimarysource"/>
              <w:numPr>
                <w:ilvl w:val="0"/>
                <w:numId w:val="1"/>
              </w:numPr>
            </w:pPr>
            <w:r>
              <w:t>R</w:t>
            </w:r>
            <w:r w:rsidR="00DF74C3">
              <w:t>espiratory tract irritation and increased and painful urination were reported in r</w:t>
            </w:r>
            <w:r>
              <w:t>ailroad workers exposed to contaminated steam from cleaning (n=7) (also cited in ACGIH, 2018)</w:t>
            </w:r>
            <w:r w:rsidR="00645B27">
              <w:t>.</w:t>
            </w:r>
          </w:p>
          <w:p w14:paraId="14061671" w14:textId="77777777" w:rsidR="00DA352E" w:rsidRDefault="002200AD" w:rsidP="00645B27">
            <w:pPr>
              <w:pStyle w:val="Tabletextprimarysource"/>
            </w:pPr>
            <w:r>
              <w:t>Animal data:</w:t>
            </w:r>
          </w:p>
          <w:p w14:paraId="4897A40C" w14:textId="77777777" w:rsidR="002200AD" w:rsidRDefault="002200AD" w:rsidP="00645B27">
            <w:pPr>
              <w:pStyle w:val="Tabletextprimarysource"/>
              <w:numPr>
                <w:ilvl w:val="0"/>
                <w:numId w:val="1"/>
              </w:numPr>
            </w:pPr>
            <w:r>
              <w:t>Dermal LD</w:t>
            </w:r>
            <w:r>
              <w:rPr>
                <w:vertAlign w:val="subscript"/>
              </w:rPr>
              <w:t>50</w:t>
            </w:r>
            <w:r>
              <w:t xml:space="preserve"> &gt;20,000 mg/kg (rabbits)</w:t>
            </w:r>
          </w:p>
          <w:p w14:paraId="7C7D46A2" w14:textId="77F8AA19" w:rsidR="002200AD" w:rsidRDefault="002200AD" w:rsidP="00645B2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Increased mortality, changes in </w:t>
            </w:r>
            <w:proofErr w:type="spellStart"/>
            <w:r>
              <w:t>bw</w:t>
            </w:r>
            <w:proofErr w:type="spellEnd"/>
            <w:r>
              <w:t xml:space="preserve"> and organ weight, decreased oestrus cycle and kidney lesions at 1,780/1,980 mg/kg (males/females) in repeat feeding study (rats, 70 d)</w:t>
            </w:r>
          </w:p>
          <w:p w14:paraId="13F3703E" w14:textId="77777777" w:rsidR="002200AD" w:rsidRDefault="002200AD" w:rsidP="00645B2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</w:t>
            </w:r>
            <w:r>
              <w:rPr>
                <w:i/>
              </w:rPr>
              <w:t>Salmonella</w:t>
            </w:r>
            <w:r>
              <w:t xml:space="preserve"> </w:t>
            </w:r>
            <w:proofErr w:type="spellStart"/>
            <w:r>
              <w:rPr>
                <w:i/>
              </w:rPr>
              <w:t>typhimurium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strains with or without metabolic activation, positive for potential DNA damage in </w:t>
            </w:r>
            <w:r>
              <w:rPr>
                <w:i/>
              </w:rPr>
              <w:t>Escherichia coli</w:t>
            </w:r>
            <w:r>
              <w:t xml:space="preserve">, no </w:t>
            </w:r>
            <w:r>
              <w:rPr>
                <w:i/>
              </w:rPr>
              <w:t xml:space="preserve">in vivo </w:t>
            </w:r>
            <w:r>
              <w:t>mutagenicity data available.</w:t>
            </w:r>
          </w:p>
          <w:p w14:paraId="6D0BB2BB" w14:textId="36F945B1" w:rsidR="00172508" w:rsidRPr="00DA352E" w:rsidRDefault="00172508" w:rsidP="00172508">
            <w:pPr>
              <w:pStyle w:val="Tabletextprimarysource"/>
              <w:ind w:left="720"/>
            </w:pPr>
          </w:p>
        </w:tc>
      </w:tr>
    </w:tbl>
    <w:p w14:paraId="199C3855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0"/>
        <w:gridCol w:w="422"/>
        <w:gridCol w:w="661"/>
        <w:gridCol w:w="6453"/>
      </w:tblGrid>
      <w:tr w:rsidR="001D4CEA" w:rsidRPr="00263255" w14:paraId="65E96315" w14:textId="77777777" w:rsidTr="007E6F7C">
        <w:trPr>
          <w:trHeight w:val="393"/>
          <w:tblHeader/>
        </w:trPr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1929DE89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764AF67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4DD7AF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3" w:type="dxa"/>
            <w:shd w:val="clear" w:color="auto" w:fill="BFBFBF" w:themeFill="background1" w:themeFillShade="BF"/>
            <w:vAlign w:val="center"/>
          </w:tcPr>
          <w:p w14:paraId="2FC2F97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1D4CEA" w:rsidRPr="004C23F4" w14:paraId="7A5BBDBD" w14:textId="77777777" w:rsidTr="007E6F7C">
        <w:tc>
          <w:tcPr>
            <w:tcW w:w="1490" w:type="dxa"/>
          </w:tcPr>
          <w:p w14:paraId="63E7D2EF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4F93FEB4" w14:textId="77777777" w:rsidR="004966BF" w:rsidRPr="00CE617F" w:rsidRDefault="007E149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66AC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B9F1E19" w14:textId="77777777" w:rsidR="004966BF" w:rsidRPr="004C23F4" w:rsidRDefault="00DD425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3" w:type="dxa"/>
          </w:tcPr>
          <w:p w14:paraId="225295B4" w14:textId="77777777" w:rsidR="004966BF" w:rsidRDefault="002200AD" w:rsidP="00103D1E">
            <w:pPr>
              <w:pStyle w:val="Tabletextprimarysource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inhalational data available</w:t>
            </w:r>
          </w:p>
          <w:p w14:paraId="5545CE2A" w14:textId="199DCB58" w:rsidR="002200AD" w:rsidRDefault="002200AD" w:rsidP="00103D1E">
            <w:pPr>
              <w:pStyle w:val="Tabletextprimarysource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Non-sensitising in guinea pig maximisation test and OECD-</w:t>
            </w:r>
            <w:r w:rsidRPr="00645B27">
              <w:t>compliant</w:t>
            </w:r>
            <w:r>
              <w:rPr>
                <w:rFonts w:cs="Arial"/>
              </w:rPr>
              <w:t xml:space="preserve"> local lymph node assay (LLNA) test; positive results reported in other; Sensitiser c</w:t>
            </w:r>
            <w:r w:rsidRPr="002200AD">
              <w:rPr>
                <w:rFonts w:cs="Arial"/>
              </w:rPr>
              <w:t>lassificat</w:t>
            </w:r>
            <w:r>
              <w:rPr>
                <w:rFonts w:cs="Arial"/>
              </w:rPr>
              <w:t>ion is not warranted</w:t>
            </w:r>
          </w:p>
          <w:p w14:paraId="72030ECD" w14:textId="7136AC80" w:rsidR="002200AD" w:rsidRPr="004C23F4" w:rsidRDefault="002200AD" w:rsidP="00103D1E">
            <w:pPr>
              <w:pStyle w:val="Tabletextprimarysource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2200AD">
              <w:rPr>
                <w:rFonts w:cs="Arial"/>
              </w:rPr>
              <w:t xml:space="preserve">Prolonged exposure </w:t>
            </w:r>
            <w:r>
              <w:rPr>
                <w:rFonts w:cs="Arial"/>
              </w:rPr>
              <w:t>may lead to urinary stones and therefore</w:t>
            </w:r>
            <w:r w:rsidR="00881BEA">
              <w:rPr>
                <w:rFonts w:cs="Arial"/>
              </w:rPr>
              <w:t>,</w:t>
            </w:r>
            <w:r w:rsidRPr="002200AD">
              <w:rPr>
                <w:rFonts w:cs="Arial"/>
              </w:rPr>
              <w:t xml:space="preserve"> likely to </w:t>
            </w:r>
            <w:r w:rsidRPr="00645B27">
              <w:t>injurious</w:t>
            </w:r>
            <w:r>
              <w:rPr>
                <w:rFonts w:cs="Arial"/>
              </w:rPr>
              <w:t xml:space="preserve"> due to </w:t>
            </w:r>
            <w:r w:rsidRPr="002200AD">
              <w:rPr>
                <w:rFonts w:cs="Arial"/>
              </w:rPr>
              <w:t>cumulative exposure</w:t>
            </w:r>
            <w:r w:rsidR="00645B27">
              <w:rPr>
                <w:rFonts w:cs="Arial"/>
              </w:rPr>
              <w:t>.</w:t>
            </w:r>
          </w:p>
        </w:tc>
      </w:tr>
      <w:tr w:rsidR="001D4CEA" w:rsidRPr="004C23F4" w14:paraId="200BF1F7" w14:textId="77777777" w:rsidTr="007E6F7C">
        <w:tc>
          <w:tcPr>
            <w:tcW w:w="1490" w:type="dxa"/>
          </w:tcPr>
          <w:p w14:paraId="4EEC4B31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5A0D7E93" w14:textId="77777777" w:rsidR="004966BF" w:rsidRPr="00CE617F" w:rsidRDefault="007E149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D4CE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2BDBD32" w14:textId="77777777" w:rsidR="004966BF" w:rsidRPr="004C23F4" w:rsidRDefault="001D4CE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3" w:type="dxa"/>
          </w:tcPr>
          <w:p w14:paraId="5410014D" w14:textId="77777777" w:rsidR="001D4CEA" w:rsidRDefault="001D4CEA" w:rsidP="00103D1E">
            <w:pPr>
              <w:pStyle w:val="Tabletextprimarysource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103D1E">
              <w:t>inhalational</w:t>
            </w:r>
            <w:r>
              <w:rPr>
                <w:rStyle w:val="checkbox"/>
                <w:rFonts w:ascii="Arial" w:hAnsi="Arial" w:cs="Arial"/>
              </w:rPr>
              <w:t xml:space="preserve"> data available</w:t>
            </w:r>
          </w:p>
          <w:p w14:paraId="050ED486" w14:textId="77777777" w:rsidR="001D4CEA" w:rsidRDefault="001D4CEA" w:rsidP="00103D1E">
            <w:pPr>
              <w:pStyle w:val="Tabletextprimarysource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lastRenderedPageBreak/>
              <w:t xml:space="preserve">Local </w:t>
            </w:r>
            <w:r w:rsidRPr="00103D1E">
              <w:t>effects</w:t>
            </w:r>
            <w:r>
              <w:rPr>
                <w:rStyle w:val="checkbox"/>
                <w:rFonts w:ascii="Arial" w:hAnsi="Arial" w:cs="Arial"/>
              </w:rPr>
              <w:t xml:space="preserve"> not assessed </w:t>
            </w:r>
          </w:p>
          <w:p w14:paraId="24FBBB39" w14:textId="6FFCD93E" w:rsidR="004966BF" w:rsidRDefault="001D4CEA" w:rsidP="00103D1E">
            <w:pPr>
              <w:pStyle w:val="Tabletextprimarysource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Long-term DNEL based on results of sub</w:t>
            </w:r>
            <w:r w:rsidR="00DF74C3">
              <w:rPr>
                <w:rStyle w:val="checkbox"/>
                <w:rFonts w:ascii="Arial" w:hAnsi="Arial" w:cs="Arial"/>
              </w:rPr>
              <w:t>-</w:t>
            </w:r>
            <w:r>
              <w:rPr>
                <w:rStyle w:val="checkbox"/>
                <w:rFonts w:ascii="Arial" w:hAnsi="Arial" w:cs="Arial"/>
              </w:rPr>
              <w:t>chronic feeding study with exposure groups 0, ≈16, 32 and 63 mg/kg/d (rats, 90 d);</w:t>
            </w:r>
          </w:p>
          <w:p w14:paraId="684A496E" w14:textId="6B2DA131" w:rsidR="001D4CEA" w:rsidRDefault="001D4CEA" w:rsidP="00103D1E">
            <w:pPr>
              <w:pStyle w:val="Tabletextprimarysource"/>
              <w:numPr>
                <w:ilvl w:val="1"/>
                <w:numId w:val="2"/>
              </w:numPr>
              <w:ind w:left="1159" w:hanging="425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103D1E">
              <w:t>adverse</w:t>
            </w:r>
            <w:r>
              <w:rPr>
                <w:rStyle w:val="checkbox"/>
                <w:rFonts w:ascii="Arial" w:hAnsi="Arial" w:cs="Arial"/>
              </w:rPr>
              <w:t xml:space="preserve"> effects </w:t>
            </w:r>
            <w:r w:rsidR="0035075A">
              <w:rPr>
                <w:rStyle w:val="checkbox"/>
                <w:rFonts w:ascii="Arial" w:hAnsi="Arial" w:cs="Arial"/>
              </w:rPr>
              <w:t>o</w:t>
            </w:r>
            <w:r w:rsidR="0035075A" w:rsidRPr="0035075A">
              <w:rPr>
                <w:rStyle w:val="checkbox"/>
                <w:rFonts w:ascii="Arial" w:hAnsi="Arial" w:cs="Arial"/>
              </w:rPr>
              <w:t>n</w:t>
            </w:r>
            <w:r w:rsidR="0035075A" w:rsidRPr="002442A1">
              <w:rPr>
                <w:rStyle w:val="checkbox"/>
                <w:rFonts w:ascii="Arial" w:hAnsi="Arial" w:cs="Arial"/>
              </w:rPr>
              <w:t xml:space="preserve"> body weight</w:t>
            </w:r>
            <w:r w:rsidRPr="0035075A">
              <w:rPr>
                <w:rStyle w:val="checkbox"/>
                <w:rFonts w:ascii="Arial" w:hAnsi="Arial" w:cs="Arial"/>
              </w:rPr>
              <w:t>,</w:t>
            </w:r>
            <w:r>
              <w:rPr>
                <w:rStyle w:val="checkbox"/>
                <w:rFonts w:ascii="Arial" w:hAnsi="Arial" w:cs="Arial"/>
              </w:rPr>
              <w:t xml:space="preserve"> haematology or urine and clinical biochemical parameters at highest tested dose</w:t>
            </w:r>
          </w:p>
          <w:p w14:paraId="04EFE4FE" w14:textId="77777777" w:rsidR="001D4CEA" w:rsidRDefault="001D4CEA" w:rsidP="00103D1E">
            <w:pPr>
              <w:pStyle w:val="Tabletextprimarysource"/>
              <w:numPr>
                <w:ilvl w:val="1"/>
                <w:numId w:val="2"/>
              </w:numPr>
              <w:ind w:left="1159" w:hanging="425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 63 mg/kg/d ≡77.7 mg/m</w:t>
            </w:r>
            <w:r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following conversion to inhalational dose</w:t>
            </w:r>
          </w:p>
          <w:p w14:paraId="0230AA8F" w14:textId="70B6C953" w:rsidR="001D4CEA" w:rsidRPr="001D4CEA" w:rsidRDefault="00B8350F" w:rsidP="00103D1E">
            <w:pPr>
              <w:pStyle w:val="Tabletextprimarysource"/>
              <w:numPr>
                <w:ilvl w:val="1"/>
                <w:numId w:val="2"/>
              </w:numPr>
              <w:ind w:left="1159" w:hanging="425"/>
              <w:rPr>
                <w:rStyle w:val="checkbox"/>
                <w:rFonts w:ascii="Arial" w:hAnsi="Arial" w:cs="Arial"/>
              </w:rPr>
            </w:pPr>
            <w:proofErr w:type="gramStart"/>
            <w:r>
              <w:rPr>
                <w:rStyle w:val="checkbox"/>
                <w:rFonts w:ascii="Arial" w:hAnsi="Arial" w:cs="Arial"/>
              </w:rPr>
              <w:t>o</w:t>
            </w:r>
            <w:r w:rsidR="001D4CEA">
              <w:rPr>
                <w:rStyle w:val="checkbox"/>
                <w:rFonts w:ascii="Arial" w:hAnsi="Arial" w:cs="Arial"/>
              </w:rPr>
              <w:t>verall</w:t>
            </w:r>
            <w:proofErr w:type="gramEnd"/>
            <w:r w:rsidR="001D4CEA">
              <w:rPr>
                <w:rStyle w:val="checkbox"/>
                <w:rFonts w:ascii="Arial" w:hAnsi="Arial" w:cs="Arial"/>
              </w:rPr>
              <w:t xml:space="preserve"> assessment factor of 25 applied to account for differences in exposure duration, inter- and </w:t>
            </w:r>
            <w:proofErr w:type="spellStart"/>
            <w:r w:rsidR="001D4CEA">
              <w:rPr>
                <w:rStyle w:val="checkbox"/>
                <w:rFonts w:ascii="Arial" w:hAnsi="Arial" w:cs="Arial"/>
              </w:rPr>
              <w:t>intraspecies</w:t>
            </w:r>
            <w:proofErr w:type="spellEnd"/>
            <w:r w:rsidR="001D4CEA">
              <w:rPr>
                <w:rStyle w:val="checkbox"/>
                <w:rFonts w:ascii="Arial" w:hAnsi="Arial" w:cs="Arial"/>
              </w:rPr>
              <w:t xml:space="preserve"> differences to arrive at DNEL of 3 mg/m</w:t>
            </w:r>
            <w:r w:rsidR="001D4CEA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645B27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1D4CEA" w:rsidRPr="004C23F4" w14:paraId="2A6D10BF" w14:textId="77777777" w:rsidTr="007E6F7C">
        <w:tc>
          <w:tcPr>
            <w:tcW w:w="1490" w:type="dxa"/>
          </w:tcPr>
          <w:p w14:paraId="3201B223" w14:textId="77777777" w:rsidR="004966BF" w:rsidRDefault="004966BF" w:rsidP="00224EE2">
            <w:pPr>
              <w:pStyle w:val="Tablefont"/>
            </w:pPr>
            <w:r>
              <w:lastRenderedPageBreak/>
              <w:t>US NIOSH</w:t>
            </w:r>
          </w:p>
        </w:tc>
        <w:tc>
          <w:tcPr>
            <w:tcW w:w="422" w:type="dxa"/>
          </w:tcPr>
          <w:p w14:paraId="061BBFB6" w14:textId="77777777" w:rsidR="004966BF" w:rsidRDefault="007E149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200A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196582B" w14:textId="77777777" w:rsidR="004966BF" w:rsidRPr="004C23F4" w:rsidRDefault="002200A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3" w:type="dxa"/>
          </w:tcPr>
          <w:p w14:paraId="2FC16C86" w14:textId="77777777" w:rsidR="004966BF" w:rsidRPr="004C23F4" w:rsidRDefault="002200AD" w:rsidP="00921F86">
            <w:pPr>
              <w:pStyle w:val="Tablefont"/>
              <w:numPr>
                <w:ilvl w:val="0"/>
                <w:numId w:val="4"/>
              </w:numPr>
              <w:rPr>
                <w:rStyle w:val="checkbox"/>
                <w:rFonts w:ascii="Arial" w:hAnsi="Arial" w:cs="Arial"/>
              </w:rPr>
            </w:pPr>
            <w:r w:rsidRPr="002200AD">
              <w:rPr>
                <w:rFonts w:cs="Arial"/>
              </w:rPr>
              <w:t>IDLH based on acute oral toxicity data in humans and animals</w:t>
            </w:r>
            <w:r w:rsidR="00770147">
              <w:rPr>
                <w:rFonts w:cs="Arial"/>
              </w:rPr>
              <w:t>.</w:t>
            </w:r>
          </w:p>
        </w:tc>
      </w:tr>
    </w:tbl>
    <w:bookmarkEnd w:id="1"/>
    <w:p w14:paraId="35282E7A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528E2158" w14:textId="77777777" w:rsidTr="00770147">
        <w:trPr>
          <w:trHeight w:val="454"/>
          <w:tblHeader/>
        </w:trPr>
        <w:tc>
          <w:tcPr>
            <w:tcW w:w="6603" w:type="dxa"/>
            <w:vAlign w:val="center"/>
          </w:tcPr>
          <w:p w14:paraId="618BD5E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C9A3272" w14:textId="77777777" w:rsidR="002E0D61" w:rsidRDefault="0077014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77357C5" w14:textId="77777777" w:rsidTr="0077014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31A21652" w14:textId="77777777" w:rsidR="008A36CF" w:rsidRPr="006901A2" w:rsidRDefault="0077014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23F0A1A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5EFAEF9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D80426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BC74C13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7BE604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A25E62A" w14:textId="77777777" w:rsidTr="00812887">
        <w:trPr>
          <w:cantSplit/>
        </w:trPr>
        <w:tc>
          <w:tcPr>
            <w:tcW w:w="3227" w:type="dxa"/>
          </w:tcPr>
          <w:p w14:paraId="2C81707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CC484C1" w14:textId="77777777" w:rsidR="00687890" w:rsidRPr="00DD2F9B" w:rsidRDefault="002200AD" w:rsidP="006B5EA5">
            <w:pPr>
              <w:pStyle w:val="Tablefont"/>
            </w:pPr>
            <w:r>
              <w:t>—</w:t>
            </w:r>
          </w:p>
        </w:tc>
      </w:tr>
      <w:tr w:rsidR="007925F0" w:rsidRPr="004C23F4" w14:paraId="0E73BEE4" w14:textId="77777777" w:rsidTr="00812887">
        <w:trPr>
          <w:cantSplit/>
        </w:trPr>
        <w:tc>
          <w:tcPr>
            <w:tcW w:w="3227" w:type="dxa"/>
          </w:tcPr>
          <w:p w14:paraId="3AFB8B1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F139CD0" w14:textId="77777777" w:rsidR="007925F0" w:rsidRPr="00DD2F9B" w:rsidRDefault="002200AD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5E958F1C" w14:textId="77777777" w:rsidTr="00812887">
        <w:trPr>
          <w:cantSplit/>
        </w:trPr>
        <w:tc>
          <w:tcPr>
            <w:tcW w:w="3227" w:type="dxa"/>
          </w:tcPr>
          <w:p w14:paraId="096EF6D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0FF5612" w14:textId="77777777" w:rsidR="00AF483F" w:rsidRPr="00DD2F9B" w:rsidRDefault="002200AD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6014F351" w14:textId="77777777" w:rsidTr="00812887">
        <w:trPr>
          <w:cantSplit/>
        </w:trPr>
        <w:tc>
          <w:tcPr>
            <w:tcW w:w="3227" w:type="dxa"/>
          </w:tcPr>
          <w:p w14:paraId="2AA0033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7A7EBFB" w14:textId="77777777" w:rsidR="00687890" w:rsidRPr="00DD2F9B" w:rsidRDefault="00A95A94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64A9900" w14:textId="77777777" w:rsidTr="00812887">
        <w:trPr>
          <w:cantSplit/>
        </w:trPr>
        <w:tc>
          <w:tcPr>
            <w:tcW w:w="3227" w:type="dxa"/>
          </w:tcPr>
          <w:p w14:paraId="1EC7634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238C0D5" w14:textId="77777777" w:rsidR="00E41A26" w:rsidRPr="00DD2F9B" w:rsidRDefault="002200AD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1904B39" w14:textId="77777777" w:rsidTr="00812887">
        <w:trPr>
          <w:cantSplit/>
        </w:trPr>
        <w:tc>
          <w:tcPr>
            <w:tcW w:w="3227" w:type="dxa"/>
          </w:tcPr>
          <w:p w14:paraId="66DC64D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016B0FB" w14:textId="77777777" w:rsidR="002E0D61" w:rsidRPr="00DD2F9B" w:rsidRDefault="002200AD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8D8935D" w14:textId="77777777" w:rsidTr="00812887">
        <w:trPr>
          <w:cantSplit/>
        </w:trPr>
        <w:tc>
          <w:tcPr>
            <w:tcW w:w="3227" w:type="dxa"/>
          </w:tcPr>
          <w:p w14:paraId="47A2B2D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7B36939" w14:textId="77777777" w:rsidR="002E0D61" w:rsidRPr="00DD2F9B" w:rsidRDefault="006B5EA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C4E55E7" w14:textId="77777777" w:rsidTr="00812887">
        <w:trPr>
          <w:cantSplit/>
        </w:trPr>
        <w:tc>
          <w:tcPr>
            <w:tcW w:w="3227" w:type="dxa"/>
          </w:tcPr>
          <w:p w14:paraId="379A209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EE11779" w14:textId="77777777" w:rsidR="002E0D61" w:rsidRPr="00DD2F9B" w:rsidRDefault="00A95A94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A148B27" w14:textId="77777777" w:rsidTr="00812887">
        <w:trPr>
          <w:cantSplit/>
        </w:trPr>
        <w:tc>
          <w:tcPr>
            <w:tcW w:w="3227" w:type="dxa"/>
          </w:tcPr>
          <w:p w14:paraId="3442235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852585B" w14:textId="77777777" w:rsidR="002E0D61" w:rsidRPr="00DD2F9B" w:rsidRDefault="002200AD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69024050" w14:textId="77777777" w:rsidTr="00812887">
        <w:trPr>
          <w:cantSplit/>
        </w:trPr>
        <w:tc>
          <w:tcPr>
            <w:tcW w:w="3227" w:type="dxa"/>
          </w:tcPr>
          <w:p w14:paraId="412B26D1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F7CFCFD" w14:textId="77777777" w:rsidR="00386093" w:rsidRPr="00DD2F9B" w:rsidRDefault="00965CE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55E4095" w14:textId="77777777" w:rsidTr="00812887">
        <w:trPr>
          <w:cantSplit/>
        </w:trPr>
        <w:tc>
          <w:tcPr>
            <w:tcW w:w="3227" w:type="dxa"/>
          </w:tcPr>
          <w:p w14:paraId="166A251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11CB527" w14:textId="77777777" w:rsidR="00386093" w:rsidRPr="00DD2F9B" w:rsidRDefault="00965CE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BE05C6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946FE7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F351B4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39DFE6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C1B72F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363F0D8" w14:textId="77777777" w:rsidR="00932DCE" w:rsidRPr="004C23F4" w:rsidRDefault="00B305FB" w:rsidP="00F9496B">
            <w:pPr>
              <w:pStyle w:val="Tablefont"/>
            </w:pPr>
            <w:r>
              <w:t>Insufficient data to assign a skin notation</w:t>
            </w:r>
          </w:p>
        </w:tc>
      </w:tr>
    </w:tbl>
    <w:bookmarkEnd w:id="4"/>
    <w:p w14:paraId="74159E01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046968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C5B825F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DA57A02" w14:textId="77777777" w:rsidR="00EB3D1B" w:rsidRDefault="002200AD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F09F09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24F97A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B60B7F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87F2F8A" w14:textId="77777777" w:rsidR="001B79E5" w:rsidRDefault="0006764B" w:rsidP="001B79E5">
                <w:pPr>
                  <w:pStyle w:val="Tablefont"/>
                </w:pPr>
                <w:r>
                  <w:t>90.04</w:t>
                </w:r>
              </w:p>
            </w:tc>
          </w:sdtContent>
        </w:sdt>
      </w:tr>
      <w:tr w:rsidR="00A31D99" w:rsidRPr="004C23F4" w14:paraId="58EB018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27A99D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46BDC3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B4F73C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AA6FEB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387C9A5" w14:textId="77777777" w:rsidR="00687890" w:rsidRPr="004C23F4" w:rsidRDefault="00A7771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2DACB358" w14:textId="77777777" w:rsidTr="00EA6243">
        <w:trPr>
          <w:cantSplit/>
        </w:trPr>
        <w:tc>
          <w:tcPr>
            <w:tcW w:w="4077" w:type="dxa"/>
            <w:vAlign w:val="center"/>
          </w:tcPr>
          <w:p w14:paraId="0219023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476D3EC" w14:textId="77777777" w:rsidR="00687890" w:rsidRPr="004C23F4" w:rsidRDefault="00124F58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F09A3E8" w14:textId="77777777" w:rsidTr="00EA6243">
        <w:trPr>
          <w:cantSplit/>
        </w:trPr>
        <w:tc>
          <w:tcPr>
            <w:tcW w:w="4077" w:type="dxa"/>
            <w:vAlign w:val="center"/>
          </w:tcPr>
          <w:p w14:paraId="556900B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84CA2A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5CB37A1" w14:textId="77777777" w:rsidTr="00EA6243">
        <w:trPr>
          <w:cantSplit/>
        </w:trPr>
        <w:tc>
          <w:tcPr>
            <w:tcW w:w="4077" w:type="dxa"/>
            <w:vAlign w:val="center"/>
          </w:tcPr>
          <w:p w14:paraId="5FE1EC0C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929706E" w14:textId="77777777" w:rsidR="00E06F40" w:rsidRPr="00A006A0" w:rsidRDefault="007E149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021E52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A58FA7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F60851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4DFD77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19A1C15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28CAC9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9C54FF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403451E8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23709EC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4847802" w14:textId="77777777" w:rsidR="00645B27" w:rsidRPr="004F13A8" w:rsidRDefault="00645B27" w:rsidP="00645B27">
      <w:pPr>
        <w:rPr>
          <w:color w:val="000000"/>
        </w:rPr>
      </w:pPr>
      <w:r w:rsidRPr="00635472">
        <w:rPr>
          <w:color w:val="000000"/>
        </w:rPr>
        <w:t xml:space="preserve">European Chemicals Agency (ECHA) (2019) </w:t>
      </w:r>
      <w:r>
        <w:rPr>
          <w:color w:val="000000"/>
        </w:rPr>
        <w:t xml:space="preserve">Oxalic acid </w:t>
      </w:r>
      <w:r w:rsidRPr="00635472">
        <w:rPr>
          <w:color w:val="000000"/>
        </w:rPr>
        <w:t>– REACH assessment.</w:t>
      </w:r>
    </w:p>
    <w:p w14:paraId="68FC8CF6" w14:textId="77777777" w:rsidR="008E4F1F" w:rsidRDefault="008E4F1F" w:rsidP="008E4F1F">
      <w:r w:rsidRPr="002022B6">
        <w:t>Health Council of the Netherlands</w:t>
      </w:r>
      <w:r>
        <w:t xml:space="preserve"> (HCOTN) (</w:t>
      </w:r>
      <w:r w:rsidR="00965CE0">
        <w:t>2004</w:t>
      </w:r>
      <w:r>
        <w:t xml:space="preserve">) </w:t>
      </w:r>
      <w:r w:rsidR="00965CE0" w:rsidRPr="00965CE0">
        <w:t>Oxalic acid</w:t>
      </w:r>
      <w:r w:rsidRPr="005F7416">
        <w:t xml:space="preserve">. </w:t>
      </w:r>
      <w:r w:rsidR="00965CE0" w:rsidRPr="00965CE0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965CE0">
        <w:t>2000/15OSH/106</w:t>
      </w:r>
      <w:r>
        <w:t>.</w:t>
      </w:r>
    </w:p>
    <w:p w14:paraId="3BB8A7F6" w14:textId="77777777" w:rsidR="00770147" w:rsidRDefault="00770147" w:rsidP="008E4F1F">
      <w:r w:rsidRPr="00DB0A36">
        <w:t>National Industrial Chemicals Notification and Assessment Scheme (NICNAS) (</w:t>
      </w:r>
      <w:r>
        <w:t>2014</w:t>
      </w:r>
      <w:r w:rsidRPr="00DB0A36">
        <w:t xml:space="preserve">) </w:t>
      </w:r>
      <w:r w:rsidRPr="00B305FB">
        <w:t>Oxalic acid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sdt>
        <w:sdtPr>
          <w:id w:val="-1295753243"/>
          <w:temporary/>
          <w:showingPlcHdr/>
        </w:sdtPr>
        <w:sdtEndPr/>
        <w:sdtContent>
          <w:r w:rsidRPr="005F4305">
            <w:t>tier II</w:t>
          </w:r>
        </w:sdtContent>
      </w:sdt>
      <w:r w:rsidRPr="004633BA">
        <w:t xml:space="preserve"> assessment </w:t>
      </w:r>
      <w:r w:rsidRPr="00DB0A36">
        <w:t>– IMAP report.</w:t>
      </w:r>
    </w:p>
    <w:p w14:paraId="3610661A" w14:textId="77777777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temporary/>
          <w:showingPlcHdr/>
        </w:sdtPr>
        <w:sdtEndPr/>
        <w:sdtContent>
          <w:r w:rsidRPr="00965CE0">
            <w:rPr>
              <w:color w:val="000000" w:themeColor="text1"/>
            </w:rPr>
            <w:t>1994</w:t>
          </w:r>
        </w:sdtContent>
      </w:sdt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="00965CE0">
        <w:t>o</w:t>
      </w:r>
      <w:r w:rsidR="00965CE0" w:rsidRPr="00965CE0">
        <w:t>xalic acid</w:t>
      </w:r>
      <w:r>
        <w:t>.</w:t>
      </w:r>
    </w:p>
    <w:p w14:paraId="2E29D634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A08BC" w14:textId="77777777" w:rsidR="00626E9F" w:rsidRDefault="00626E9F" w:rsidP="00F43AD5">
      <w:pPr>
        <w:spacing w:after="0" w:line="240" w:lineRule="auto"/>
      </w:pPr>
      <w:r>
        <w:separator/>
      </w:r>
    </w:p>
  </w:endnote>
  <w:endnote w:type="continuationSeparator" w:id="0">
    <w:p w14:paraId="4FC975B8" w14:textId="77777777" w:rsidR="00626E9F" w:rsidRDefault="00626E9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D1FF" w14:textId="77777777" w:rsidR="00532C7E" w:rsidRDefault="00532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C69BFA5" w14:textId="77777777" w:rsidR="00192D60" w:rsidRDefault="00192D6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Oxalic acid (</w:t>
        </w:r>
        <w:r w:rsidRPr="00874E0D">
          <w:rPr>
            <w:b/>
            <w:sz w:val="18"/>
            <w:szCs w:val="18"/>
          </w:rPr>
          <w:t>144-62-7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="00103D1E">
          <w:rPr>
            <w:sz w:val="18"/>
            <w:szCs w:val="18"/>
          </w:rPr>
          <w:t xml:space="preserve"> 2020</w:t>
        </w:r>
      </w:p>
      <w:p w14:paraId="6FE9E4DF" w14:textId="3BD24125" w:rsidR="00192D60" w:rsidRPr="00F43AD5" w:rsidRDefault="00192D60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E1490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07EC" w14:textId="77777777" w:rsidR="00532C7E" w:rsidRDefault="00532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C886" w14:textId="77777777" w:rsidR="00626E9F" w:rsidRDefault="00626E9F" w:rsidP="00F43AD5">
      <w:pPr>
        <w:spacing w:after="0" w:line="240" w:lineRule="auto"/>
      </w:pPr>
      <w:r>
        <w:separator/>
      </w:r>
    </w:p>
  </w:footnote>
  <w:footnote w:type="continuationSeparator" w:id="0">
    <w:p w14:paraId="2800C288" w14:textId="77777777" w:rsidR="00626E9F" w:rsidRDefault="00626E9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E0C" w14:textId="77777777" w:rsidR="00532C7E" w:rsidRDefault="00532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5D37" w14:textId="1508970B" w:rsidR="00532C7E" w:rsidRDefault="007E1490" w:rsidP="00532C7E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EndPr/>
      <w:sdtContent>
        <w:r>
          <w:pict w14:anchorId="67E691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2C7E">
      <w:rPr>
        <w:noProof/>
        <w:lang w:eastAsia="en-AU"/>
      </w:rPr>
      <w:drawing>
        <wp:inline distT="0" distB="0" distL="0" distR="0" wp14:anchorId="136E35D8" wp14:editId="7C4C4539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8ADDE" w14:textId="77777777" w:rsidR="00532C7E" w:rsidRDefault="00532C7E" w:rsidP="00532C7E">
    <w:pPr>
      <w:pStyle w:val="Header"/>
      <w:jc w:val="right"/>
    </w:pPr>
  </w:p>
  <w:p w14:paraId="02478B87" w14:textId="2C98610C" w:rsidR="00192D60" w:rsidRDefault="00192D60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9315" w14:textId="77777777" w:rsidR="00532C7E" w:rsidRDefault="00532C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2FAC" w14:textId="4D44A6F3" w:rsidR="00532C7E" w:rsidRDefault="007E1490" w:rsidP="00532C7E">
    <w:pPr>
      <w:pStyle w:val="Header"/>
      <w:jc w:val="right"/>
    </w:pPr>
    <w:sdt>
      <w:sdtPr>
        <w:id w:val="201755905"/>
        <w:docPartObj>
          <w:docPartGallery w:val="Watermarks"/>
          <w:docPartUnique/>
        </w:docPartObj>
      </w:sdtPr>
      <w:sdtEndPr/>
      <w:sdtContent>
        <w:r>
          <w:pict w14:anchorId="068C93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4338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2C7E">
      <w:rPr>
        <w:noProof/>
        <w:lang w:eastAsia="en-AU"/>
      </w:rPr>
      <w:drawing>
        <wp:inline distT="0" distB="0" distL="0" distR="0" wp14:anchorId="5A0B7E90" wp14:editId="36B4B305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CBD664" w14:textId="77777777" w:rsidR="00532C7E" w:rsidRDefault="00532C7E" w:rsidP="00532C7E">
    <w:pPr>
      <w:pStyle w:val="Header"/>
      <w:jc w:val="right"/>
    </w:pPr>
  </w:p>
  <w:p w14:paraId="03341C1E" w14:textId="77777777" w:rsidR="00192D60" w:rsidRDefault="00192D60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1B3"/>
    <w:multiLevelType w:val="hybridMultilevel"/>
    <w:tmpl w:val="A2844BD0"/>
    <w:lvl w:ilvl="0" w:tplc="72C2FE4E">
      <w:start w:val="3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16C9"/>
    <w:multiLevelType w:val="hybridMultilevel"/>
    <w:tmpl w:val="07F46DA8"/>
    <w:lvl w:ilvl="0" w:tplc="BF2C73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583"/>
    <w:multiLevelType w:val="hybridMultilevel"/>
    <w:tmpl w:val="4442F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02D6"/>
    <w:multiLevelType w:val="hybridMultilevel"/>
    <w:tmpl w:val="A5402168"/>
    <w:lvl w:ilvl="0" w:tplc="F48C5790">
      <w:start w:val="3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6AC7"/>
    <w:rsid w:val="0006764B"/>
    <w:rsid w:val="00067F32"/>
    <w:rsid w:val="00071807"/>
    <w:rsid w:val="00076390"/>
    <w:rsid w:val="000803E1"/>
    <w:rsid w:val="000836BF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3D1E"/>
    <w:rsid w:val="0010461E"/>
    <w:rsid w:val="00106FAA"/>
    <w:rsid w:val="00113443"/>
    <w:rsid w:val="00124F58"/>
    <w:rsid w:val="001269A7"/>
    <w:rsid w:val="00131092"/>
    <w:rsid w:val="00140E6A"/>
    <w:rsid w:val="00146545"/>
    <w:rsid w:val="00146B75"/>
    <w:rsid w:val="00151D0A"/>
    <w:rsid w:val="0015266D"/>
    <w:rsid w:val="0015288A"/>
    <w:rsid w:val="00160F47"/>
    <w:rsid w:val="00172508"/>
    <w:rsid w:val="00177CA1"/>
    <w:rsid w:val="00183823"/>
    <w:rsid w:val="00183942"/>
    <w:rsid w:val="001915F6"/>
    <w:rsid w:val="00192D60"/>
    <w:rsid w:val="001A009E"/>
    <w:rsid w:val="001A1287"/>
    <w:rsid w:val="001A26FD"/>
    <w:rsid w:val="001A3859"/>
    <w:rsid w:val="001A3C9D"/>
    <w:rsid w:val="001A43F8"/>
    <w:rsid w:val="001B79E5"/>
    <w:rsid w:val="001C5D65"/>
    <w:rsid w:val="001D4CEA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00AD"/>
    <w:rsid w:val="00221547"/>
    <w:rsid w:val="002216FC"/>
    <w:rsid w:val="00222533"/>
    <w:rsid w:val="00222F30"/>
    <w:rsid w:val="00224EE2"/>
    <w:rsid w:val="00227EC7"/>
    <w:rsid w:val="002442A1"/>
    <w:rsid w:val="00244AD1"/>
    <w:rsid w:val="002463BC"/>
    <w:rsid w:val="002465CE"/>
    <w:rsid w:val="00246EDF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95B"/>
    <w:rsid w:val="002E0D61"/>
    <w:rsid w:val="002E4C7B"/>
    <w:rsid w:val="00305150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75A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4582"/>
    <w:rsid w:val="003C0D58"/>
    <w:rsid w:val="003D4EF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0830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E67FB"/>
    <w:rsid w:val="004F13A8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2C7E"/>
    <w:rsid w:val="00534B10"/>
    <w:rsid w:val="005446A2"/>
    <w:rsid w:val="00544D2F"/>
    <w:rsid w:val="005479F1"/>
    <w:rsid w:val="00551BD8"/>
    <w:rsid w:val="00581055"/>
    <w:rsid w:val="00591E38"/>
    <w:rsid w:val="005A19C5"/>
    <w:rsid w:val="005A1B75"/>
    <w:rsid w:val="005A3034"/>
    <w:rsid w:val="005A462D"/>
    <w:rsid w:val="005B253B"/>
    <w:rsid w:val="005B771D"/>
    <w:rsid w:val="005C5D16"/>
    <w:rsid w:val="005C65F6"/>
    <w:rsid w:val="005D3193"/>
    <w:rsid w:val="005D4A6E"/>
    <w:rsid w:val="005E6979"/>
    <w:rsid w:val="005E75CB"/>
    <w:rsid w:val="006013C1"/>
    <w:rsid w:val="00605E6B"/>
    <w:rsid w:val="0060669E"/>
    <w:rsid w:val="00610F2E"/>
    <w:rsid w:val="00611399"/>
    <w:rsid w:val="00624C4E"/>
    <w:rsid w:val="00625200"/>
    <w:rsid w:val="00626E9F"/>
    <w:rsid w:val="006363A8"/>
    <w:rsid w:val="00636DB7"/>
    <w:rsid w:val="00645B2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185"/>
    <w:rsid w:val="00677D9B"/>
    <w:rsid w:val="006867F3"/>
    <w:rsid w:val="00687890"/>
    <w:rsid w:val="006901A2"/>
    <w:rsid w:val="00690368"/>
    <w:rsid w:val="0069079C"/>
    <w:rsid w:val="00690B53"/>
    <w:rsid w:val="00695B72"/>
    <w:rsid w:val="006A5346"/>
    <w:rsid w:val="006B160A"/>
    <w:rsid w:val="006B4E6C"/>
    <w:rsid w:val="006B50B6"/>
    <w:rsid w:val="006B5EA5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0EAD"/>
    <w:rsid w:val="00754779"/>
    <w:rsid w:val="0075716D"/>
    <w:rsid w:val="00765F14"/>
    <w:rsid w:val="00770147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D2CE7"/>
    <w:rsid w:val="007E063C"/>
    <w:rsid w:val="007E1490"/>
    <w:rsid w:val="007E2A4B"/>
    <w:rsid w:val="007E307D"/>
    <w:rsid w:val="007E6A4E"/>
    <w:rsid w:val="007E6C94"/>
    <w:rsid w:val="007E6F7C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04EC"/>
    <w:rsid w:val="008414E4"/>
    <w:rsid w:val="00843E21"/>
    <w:rsid w:val="0084508E"/>
    <w:rsid w:val="00857A8A"/>
    <w:rsid w:val="00861F1E"/>
    <w:rsid w:val="008630EE"/>
    <w:rsid w:val="00864D13"/>
    <w:rsid w:val="00871A33"/>
    <w:rsid w:val="00871CD5"/>
    <w:rsid w:val="008745A2"/>
    <w:rsid w:val="00874E0D"/>
    <w:rsid w:val="008768A8"/>
    <w:rsid w:val="00880984"/>
    <w:rsid w:val="00881BEA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D69DD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21F86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5CE0"/>
    <w:rsid w:val="00974F2D"/>
    <w:rsid w:val="00977524"/>
    <w:rsid w:val="00977E88"/>
    <w:rsid w:val="00984920"/>
    <w:rsid w:val="0099303A"/>
    <w:rsid w:val="009971C2"/>
    <w:rsid w:val="009A1254"/>
    <w:rsid w:val="009A2E0D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13D2"/>
    <w:rsid w:val="009E2214"/>
    <w:rsid w:val="009E27B2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1FF"/>
    <w:rsid w:val="00A357BA"/>
    <w:rsid w:val="00A35ADC"/>
    <w:rsid w:val="00A402A3"/>
    <w:rsid w:val="00A53681"/>
    <w:rsid w:val="00A53AF2"/>
    <w:rsid w:val="00A633D4"/>
    <w:rsid w:val="00A6461A"/>
    <w:rsid w:val="00A77711"/>
    <w:rsid w:val="00A84504"/>
    <w:rsid w:val="00A8672F"/>
    <w:rsid w:val="00A93057"/>
    <w:rsid w:val="00A95A94"/>
    <w:rsid w:val="00A968B0"/>
    <w:rsid w:val="00AB14DC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7812"/>
    <w:rsid w:val="00B305FB"/>
    <w:rsid w:val="00B40C60"/>
    <w:rsid w:val="00B479A9"/>
    <w:rsid w:val="00B52EDF"/>
    <w:rsid w:val="00B71188"/>
    <w:rsid w:val="00B76A41"/>
    <w:rsid w:val="00B8350F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38E4"/>
    <w:rsid w:val="00CB6BC1"/>
    <w:rsid w:val="00CB6CB8"/>
    <w:rsid w:val="00CC1A68"/>
    <w:rsid w:val="00CC2123"/>
    <w:rsid w:val="00CD2998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478F"/>
    <w:rsid w:val="00DC7694"/>
    <w:rsid w:val="00DD1BF6"/>
    <w:rsid w:val="00DD2F9B"/>
    <w:rsid w:val="00DD4255"/>
    <w:rsid w:val="00DE2513"/>
    <w:rsid w:val="00DE26E8"/>
    <w:rsid w:val="00DF6F36"/>
    <w:rsid w:val="00DF74C3"/>
    <w:rsid w:val="00E0084C"/>
    <w:rsid w:val="00E025AB"/>
    <w:rsid w:val="00E02B23"/>
    <w:rsid w:val="00E06F40"/>
    <w:rsid w:val="00E07CE8"/>
    <w:rsid w:val="00E16147"/>
    <w:rsid w:val="00E2142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49A0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1C23"/>
    <w:rsid w:val="00EE6D8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128D"/>
    <w:rsid w:val="00FC60A2"/>
    <w:rsid w:val="00FD1871"/>
    <w:rsid w:val="00FD3110"/>
    <w:rsid w:val="00FD71B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78E80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30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F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50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77300178749448564879089D3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A6D7C-AF46-4D1B-ADE7-C7A0C6B72D22}"/>
      </w:docPartPr>
      <w:docPartBody>
        <w:p w:rsidR="005370D1" w:rsidRDefault="00D57E98" w:rsidP="00D57E98">
          <w:pPr>
            <w:pStyle w:val="D7277300178749448564879089D32A9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EB4D9D2B1BF46DB9A4B9BE6BFF1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A763-C039-4C76-B96A-879EDD6A6B1E}"/>
      </w:docPartPr>
      <w:docPartBody>
        <w:p w:rsidR="008E3FAE" w:rsidRDefault="008E3FAE">
          <w:pPr>
            <w:pStyle w:val="4EB4D9D2B1BF46DB9A4B9BE6BFF17B2F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47D16"/>
    <w:rsid w:val="003E0149"/>
    <w:rsid w:val="005370D1"/>
    <w:rsid w:val="008E3FAE"/>
    <w:rsid w:val="00B4262C"/>
    <w:rsid w:val="00D21A9F"/>
    <w:rsid w:val="00D57E98"/>
    <w:rsid w:val="00F4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7277300178749448564879089D32A99">
    <w:name w:val="D7277300178749448564879089D32A99"/>
    <w:rsid w:val="00D57E98"/>
    <w:rPr>
      <w:lang w:val="en-US" w:eastAsia="en-US"/>
    </w:rPr>
  </w:style>
  <w:style w:type="paragraph" w:customStyle="1" w:styleId="4EB4D9D2B1BF46DB9A4B9BE6BFF17B2F">
    <w:name w:val="4EB4D9D2B1BF46DB9A4B9BE6BFF17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4" ma:contentTypeDescription="Create a new document." ma:contentTypeScope="" ma:versionID="13b51b7518afb46499292cdac2b630da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328df578f351ff0db5c2ec2ce4235965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C317-41AF-4E4A-8CF9-D6435C2E8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72064-D7A5-45AF-B8FE-22F041D50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2CBD9-614F-4091-A49B-52D0DF1B01F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89c9d3-cf9d-4152-ac9f-ad3059f1568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0B7906-993C-422E-8E22-079190DE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79E36F40.dotm</Template>
  <TotalTime>0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2020-02-14T04:14:00Z</dcterms:created>
  <dcterms:modified xsi:type="dcterms:W3CDTF">2020-02-27T22:12:00Z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