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61408EB3" w14:textId="77777777" w:rsidR="00BD499F" w:rsidRPr="004C23F4" w:rsidRDefault="00E24180" w:rsidP="00B40C60">
          <w:pPr>
            <w:pStyle w:val="Heading1"/>
            <w:jc w:val="center"/>
            <w:rPr>
              <w:rFonts w:ascii="Arial" w:hAnsi="Arial" w:cs="Arial"/>
            </w:rPr>
          </w:pPr>
          <w:r w:rsidRPr="005A4CBE">
            <w:rPr>
              <w:rFonts w:ascii="Arial" w:hAnsi="Arial" w:cs="Arial"/>
            </w:rPr>
            <w:t>p-phenylenediamine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0"/>
        <w:gridCol w:w="5046"/>
      </w:tblGrid>
      <w:tr w:rsidR="00F43AD5" w:rsidRPr="004C23F4" w14:paraId="22DA62D1" w14:textId="77777777" w:rsidTr="00B76A41">
        <w:trPr>
          <w:cantSplit/>
          <w:tblHeader/>
        </w:trPr>
        <w:tc>
          <w:tcPr>
            <w:tcW w:w="4077" w:type="dxa"/>
          </w:tcPr>
          <w:p w14:paraId="04AF590D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55F7EA0A" w14:textId="77777777" w:rsidR="00F43AD5" w:rsidRPr="00717D45" w:rsidRDefault="00E24180" w:rsidP="00B76A41">
            <w:pPr>
              <w:pStyle w:val="Tablefont"/>
            </w:pPr>
            <w:r>
              <w:t>106-50-3</w:t>
            </w:r>
          </w:p>
        </w:tc>
      </w:tr>
      <w:tr w:rsidR="00F43AD5" w:rsidRPr="00DE7935" w14:paraId="6FD940D5" w14:textId="77777777" w:rsidTr="00B76A41">
        <w:trPr>
          <w:cantSplit/>
        </w:trPr>
        <w:tc>
          <w:tcPr>
            <w:tcW w:w="4077" w:type="dxa"/>
          </w:tcPr>
          <w:p w14:paraId="2F0DB5F5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3C0A3D2A" w14:textId="6D87136B" w:rsidR="00F43AD5" w:rsidRPr="006C2533" w:rsidRDefault="003D3F25" w:rsidP="00B76A41">
            <w:pPr>
              <w:pStyle w:val="Tablefont"/>
              <w:rPr>
                <w:lang w:val="it-IT"/>
              </w:rPr>
            </w:pPr>
            <w:r w:rsidRPr="006C2533">
              <w:rPr>
                <w:i/>
                <w:lang w:val="it-IT"/>
              </w:rPr>
              <w:t>p</w:t>
            </w:r>
            <w:r w:rsidRPr="006C2533">
              <w:rPr>
                <w:lang w:val="it-IT"/>
              </w:rPr>
              <w:t xml:space="preserve">-Aminoaniline, 1,4-benzenediamine, </w:t>
            </w:r>
            <w:r w:rsidR="003B5C9E" w:rsidRPr="006C2533">
              <w:rPr>
                <w:lang w:val="it-IT"/>
              </w:rPr>
              <w:br/>
            </w:r>
            <w:r w:rsidRPr="006C2533">
              <w:rPr>
                <w:lang w:val="it-IT"/>
              </w:rPr>
              <w:t>p-diaminobenzene</w:t>
            </w:r>
            <w:r w:rsidR="00675988" w:rsidRPr="006C2533">
              <w:rPr>
                <w:lang w:val="it-IT"/>
              </w:rPr>
              <w:t>, orsin</w:t>
            </w:r>
          </w:p>
        </w:tc>
      </w:tr>
      <w:tr w:rsidR="00F43AD5" w:rsidRPr="004C23F4" w14:paraId="0D49B626" w14:textId="77777777" w:rsidTr="00B76A41">
        <w:trPr>
          <w:cantSplit/>
        </w:trPr>
        <w:tc>
          <w:tcPr>
            <w:tcW w:w="4077" w:type="dxa"/>
          </w:tcPr>
          <w:p w14:paraId="7C991DA4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19131CEF" w14:textId="77777777" w:rsidR="00F43AD5" w:rsidRPr="00717D45" w:rsidRDefault="00675988" w:rsidP="00B76A41">
            <w:pPr>
              <w:pStyle w:val="Tablefont"/>
            </w:pPr>
            <w:r>
              <w:t>C</w:t>
            </w:r>
            <w:r w:rsidRPr="00675988">
              <w:rPr>
                <w:vertAlign w:val="subscript"/>
              </w:rPr>
              <w:t>6</w:t>
            </w:r>
            <w:r>
              <w:t>H</w:t>
            </w:r>
            <w:r w:rsidRPr="00675988">
              <w:rPr>
                <w:vertAlign w:val="subscript"/>
              </w:rPr>
              <w:t>8</w:t>
            </w:r>
            <w:r>
              <w:t>N</w:t>
            </w:r>
            <w:r w:rsidRPr="00675988">
              <w:rPr>
                <w:vertAlign w:val="subscript"/>
              </w:rPr>
              <w:t>2</w:t>
            </w:r>
          </w:p>
        </w:tc>
      </w:tr>
      <w:tr w:rsidR="00F43AD5" w:rsidRPr="004C23F4" w14:paraId="171144EC" w14:textId="77777777" w:rsidTr="00B76A41">
        <w:trPr>
          <w:cantSplit/>
        </w:trPr>
        <w:tc>
          <w:tcPr>
            <w:tcW w:w="4077" w:type="dxa"/>
          </w:tcPr>
          <w:p w14:paraId="5FDD818E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4FC015CD" w14:textId="77777777" w:rsidR="00F43AD5" w:rsidRPr="00B40C60" w:rsidRDefault="00037E52" w:rsidP="00B76A41">
            <w:pPr>
              <w:pStyle w:val="Tablerowheading"/>
              <w:rPr>
                <w:b w:val="0"/>
              </w:rPr>
            </w:pPr>
            <w:r>
              <w:rPr>
                <w:b w:val="0"/>
              </w:rPr>
              <w:t>—</w:t>
            </w:r>
          </w:p>
        </w:tc>
      </w:tr>
    </w:tbl>
    <w:p w14:paraId="0C8DD759" w14:textId="044A2E5A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C51DA9">
            <w:rPr>
              <w:rStyle w:val="WESstatus"/>
            </w:rPr>
            <w:t>(retained)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10"/>
        <w:gridCol w:w="5016"/>
      </w:tblGrid>
      <w:tr w:rsidR="002C7AFE" w:rsidRPr="004C23F4" w14:paraId="08AA16BA" w14:textId="77777777" w:rsidTr="00037E52">
        <w:trPr>
          <w:cantSplit/>
          <w:tblHeader/>
        </w:trPr>
        <w:tc>
          <w:tcPr>
            <w:tcW w:w="4010" w:type="dxa"/>
            <w:vAlign w:val="center"/>
          </w:tcPr>
          <w:p w14:paraId="388B1AFE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16" w:type="dxa"/>
          </w:tcPr>
          <w:p w14:paraId="4B975BD0" w14:textId="77777777" w:rsidR="002C7AFE" w:rsidRPr="00665272" w:rsidRDefault="00665272" w:rsidP="00017C82">
            <w:pPr>
              <w:pStyle w:val="Tablefont"/>
              <w:rPr>
                <w:b/>
                <w:vertAlign w:val="superscript"/>
              </w:rPr>
            </w:pPr>
            <w:r>
              <w:rPr>
                <w:b/>
              </w:rPr>
              <w:t>0.1 mg/m</w:t>
            </w:r>
            <w:r>
              <w:rPr>
                <w:b/>
                <w:vertAlign w:val="superscript"/>
              </w:rPr>
              <w:t>3</w:t>
            </w:r>
          </w:p>
        </w:tc>
      </w:tr>
      <w:tr w:rsidR="00037E52" w:rsidRPr="004C23F4" w14:paraId="6C92CFE6" w14:textId="77777777" w:rsidTr="00037E52">
        <w:trPr>
          <w:cantSplit/>
        </w:trPr>
        <w:tc>
          <w:tcPr>
            <w:tcW w:w="4010" w:type="dxa"/>
            <w:vAlign w:val="center"/>
          </w:tcPr>
          <w:p w14:paraId="0036A116" w14:textId="77777777" w:rsidR="00037E52" w:rsidRPr="002C58FF" w:rsidRDefault="00037E52" w:rsidP="00037E52">
            <w:pPr>
              <w:pStyle w:val="Tablerowright"/>
            </w:pPr>
            <w:r w:rsidRPr="002C58FF">
              <w:t>STEL</w:t>
            </w:r>
            <w:r>
              <w:t>:</w:t>
            </w:r>
          </w:p>
        </w:tc>
        <w:tc>
          <w:tcPr>
            <w:tcW w:w="5016" w:type="dxa"/>
          </w:tcPr>
          <w:p w14:paraId="4ACE6F5B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7EDE25D6" w14:textId="77777777" w:rsidTr="00037E52">
        <w:trPr>
          <w:cantSplit/>
        </w:trPr>
        <w:tc>
          <w:tcPr>
            <w:tcW w:w="4010" w:type="dxa"/>
            <w:vAlign w:val="center"/>
          </w:tcPr>
          <w:p w14:paraId="573E8A9D" w14:textId="77777777" w:rsidR="00037E52" w:rsidRPr="002C58FF" w:rsidRDefault="00037E52" w:rsidP="00037E52">
            <w:pPr>
              <w:pStyle w:val="Tablerowright"/>
            </w:pPr>
            <w:r>
              <w:t>Peak limitation:</w:t>
            </w:r>
          </w:p>
        </w:tc>
        <w:tc>
          <w:tcPr>
            <w:tcW w:w="5016" w:type="dxa"/>
          </w:tcPr>
          <w:p w14:paraId="15587DC8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3388F25A" w14:textId="77777777" w:rsidTr="00037E52">
        <w:trPr>
          <w:cantSplit/>
        </w:trPr>
        <w:tc>
          <w:tcPr>
            <w:tcW w:w="4010" w:type="dxa"/>
          </w:tcPr>
          <w:p w14:paraId="2B5E8E2F" w14:textId="77777777" w:rsidR="00037E52" w:rsidRPr="002C58FF" w:rsidRDefault="00037E52" w:rsidP="00037E52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Pr="003241A8">
              <w:t>Notations</w:t>
            </w:r>
            <w:r>
              <w:t>:</w:t>
            </w:r>
          </w:p>
        </w:tc>
        <w:tc>
          <w:tcPr>
            <w:tcW w:w="5016" w:type="dxa"/>
          </w:tcPr>
          <w:p w14:paraId="65817C43" w14:textId="77777777" w:rsidR="00037E52" w:rsidRPr="00EB3D1B" w:rsidRDefault="009D6895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DSEN</w:t>
            </w:r>
          </w:p>
        </w:tc>
      </w:tr>
      <w:tr w:rsidR="00037E52" w:rsidRPr="004C23F4" w14:paraId="510CF261" w14:textId="77777777" w:rsidTr="00037E52">
        <w:trPr>
          <w:cantSplit/>
        </w:trPr>
        <w:tc>
          <w:tcPr>
            <w:tcW w:w="4010" w:type="dxa"/>
            <w:vAlign w:val="center"/>
          </w:tcPr>
          <w:p w14:paraId="27C642A2" w14:textId="77777777" w:rsidR="00037E52" w:rsidRPr="002C58FF" w:rsidRDefault="00037E52" w:rsidP="00037E52">
            <w:pPr>
              <w:pStyle w:val="Tablerowright"/>
            </w:pPr>
            <w:r>
              <w:t>IDLH:</w:t>
            </w:r>
          </w:p>
        </w:tc>
        <w:tc>
          <w:tcPr>
            <w:tcW w:w="5016" w:type="dxa"/>
          </w:tcPr>
          <w:p w14:paraId="7BF715D1" w14:textId="77777777" w:rsidR="00037E52" w:rsidRPr="00EB3D1B" w:rsidRDefault="000B4645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25 mg/m</w:t>
            </w:r>
            <w:r w:rsidRPr="000B4645">
              <w:rPr>
                <w:b/>
                <w:vertAlign w:val="superscript"/>
              </w:rPr>
              <w:t>3</w:t>
            </w:r>
          </w:p>
        </w:tc>
      </w:tr>
      <w:tr w:rsidR="00155999" w:rsidRPr="004C23F4" w14:paraId="44608BC0" w14:textId="77777777" w:rsidTr="004549A3">
        <w:trPr>
          <w:cantSplit/>
        </w:trPr>
        <w:tc>
          <w:tcPr>
            <w:tcW w:w="9026" w:type="dxa"/>
            <w:gridSpan w:val="2"/>
            <w:vAlign w:val="center"/>
          </w:tcPr>
          <w:p w14:paraId="78BB4C06" w14:textId="77777777" w:rsidR="00155999" w:rsidRPr="00EB3D1B" w:rsidRDefault="00155999" w:rsidP="00037E52">
            <w:pPr>
              <w:pStyle w:val="Tablefont"/>
              <w:rPr>
                <w:b/>
              </w:rPr>
            </w:pPr>
            <w:r w:rsidRPr="003B5C9E">
              <w:rPr>
                <w:b/>
              </w:rPr>
              <w:t>Sampling and analysis</w:t>
            </w:r>
            <w:r>
              <w:t>:</w:t>
            </w:r>
            <w:r w:rsidRPr="00EC521E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DA2FFE9CEF2D415F9F59B567F352ED2C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="005A4CBE" w:rsidRPr="003B5C9E"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46DE0B1C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4F5CFA27" w14:textId="18FF3D25" w:rsidR="006639B4" w:rsidRDefault="009D6895" w:rsidP="000C139A">
      <w:r>
        <w:t>A</w:t>
      </w:r>
      <w:r w:rsidR="00FB3368">
        <w:t xml:space="preserve"> </w:t>
      </w:r>
      <w:r w:rsidRPr="009D6895">
        <w:t xml:space="preserve">TWA of </w:t>
      </w:r>
      <w:r>
        <w:t>0.1 mg/m</w:t>
      </w:r>
      <w:r>
        <w:rPr>
          <w:vertAlign w:val="superscript"/>
        </w:rPr>
        <w:t>3</w:t>
      </w:r>
      <w:r>
        <w:t xml:space="preserve"> is recommended to protect for</w:t>
      </w:r>
      <w:r w:rsidRPr="009D6895">
        <w:t xml:space="preserve"> irrita</w:t>
      </w:r>
      <w:r w:rsidR="003B5C9E">
        <w:t>tion</w:t>
      </w:r>
      <w:r>
        <w:t>, dermatitis and possible skin and respiratory sensitisation</w:t>
      </w:r>
      <w:r w:rsidR="003B5C9E">
        <w:t xml:space="preserve"> in exposed workers</w:t>
      </w:r>
      <w:r>
        <w:t>.</w:t>
      </w:r>
    </w:p>
    <w:p w14:paraId="3CF580DC" w14:textId="385CA09A" w:rsidR="009D6895" w:rsidRDefault="003B5C9E" w:rsidP="009D6895">
      <w:r w:rsidRPr="003B5C9E">
        <w:t xml:space="preserve">Given the </w:t>
      </w:r>
      <w:r>
        <w:t xml:space="preserve">indication that a TWA of 0.1 </w:t>
      </w:r>
      <w:r w:rsidRPr="00E86AD0">
        <w:rPr>
          <w:rFonts w:cs="Arial"/>
          <w:sz w:val="22"/>
        </w:rPr>
        <w:t>mg/m</w:t>
      </w:r>
      <w:r w:rsidRPr="00E86AD0">
        <w:rPr>
          <w:rFonts w:cs="Arial"/>
          <w:sz w:val="22"/>
          <w:vertAlign w:val="superscript"/>
        </w:rPr>
        <w:t>3</w:t>
      </w:r>
      <w:r>
        <w:t xml:space="preserve"> may exacerbate workers with asthma</w:t>
      </w:r>
      <w:r w:rsidRPr="003B5C9E">
        <w:t>, it is recommended that a review of additional sources be conducted at the next scheduled review</w:t>
      </w:r>
      <w:r>
        <w:t>.</w:t>
      </w:r>
    </w:p>
    <w:p w14:paraId="315D57D5" w14:textId="77777777" w:rsidR="00C7155E" w:rsidRPr="004C23F4" w:rsidRDefault="00F10C97" w:rsidP="003365A5">
      <w:pPr>
        <w:pStyle w:val="Heading2"/>
      </w:pPr>
      <w:r>
        <w:t>Discussion and conclusions</w:t>
      </w:r>
    </w:p>
    <w:p w14:paraId="39E66C69" w14:textId="4AC11234" w:rsidR="003B5C9E" w:rsidRDefault="00DE5698" w:rsidP="006639B4">
      <w:proofErr w:type="gramStart"/>
      <w:r w:rsidRPr="005A4CBE">
        <w:rPr>
          <w:i/>
        </w:rPr>
        <w:t>p</w:t>
      </w:r>
      <w:r>
        <w:t>-</w:t>
      </w:r>
      <w:proofErr w:type="spellStart"/>
      <w:r>
        <w:t>Phenylenediamine</w:t>
      </w:r>
      <w:proofErr w:type="spellEnd"/>
      <w:proofErr w:type="gramEnd"/>
      <w:r>
        <w:t xml:space="preserve"> </w:t>
      </w:r>
      <w:r w:rsidR="003B5C9E">
        <w:t>is</w:t>
      </w:r>
      <w:r w:rsidRPr="00DE5698">
        <w:t xml:space="preserve"> use</w:t>
      </w:r>
      <w:r w:rsidR="003B5C9E">
        <w:t>d</w:t>
      </w:r>
      <w:r w:rsidRPr="00DE5698">
        <w:t xml:space="preserve"> in permanent hair dye preparations</w:t>
      </w:r>
      <w:r>
        <w:t>. It is also used as a photographic developing agent</w:t>
      </w:r>
      <w:r w:rsidR="00FB3368">
        <w:t>,</w:t>
      </w:r>
      <w:r w:rsidR="005A4CBE">
        <w:t xml:space="preserve"> in</w:t>
      </w:r>
      <w:r>
        <w:t xml:space="preserve"> </w:t>
      </w:r>
      <w:proofErr w:type="spellStart"/>
      <w:r>
        <w:t>photochemical</w:t>
      </w:r>
      <w:r w:rsidR="005A4CBE">
        <w:t>s</w:t>
      </w:r>
      <w:proofErr w:type="spellEnd"/>
      <w:r w:rsidR="003B652E">
        <w:t xml:space="preserve"> </w:t>
      </w:r>
      <w:r>
        <w:t xml:space="preserve">and as an intermediate in the manufacture of dyes, antioxidants and rubber accelerators. </w:t>
      </w:r>
    </w:p>
    <w:p w14:paraId="03C68ABE" w14:textId="77777777" w:rsidR="006C2533" w:rsidRDefault="00DE5698" w:rsidP="00665272">
      <w:r>
        <w:t xml:space="preserve">Critical effects </w:t>
      </w:r>
      <w:r w:rsidR="003B5C9E">
        <w:t>o</w:t>
      </w:r>
      <w:r>
        <w:t xml:space="preserve">f exposure are eye and skin irritation, dermatitis and blood </w:t>
      </w:r>
      <w:proofErr w:type="spellStart"/>
      <w:r>
        <w:t>dyscrasia</w:t>
      </w:r>
      <w:proofErr w:type="spellEnd"/>
      <w:r>
        <w:t>. It has the</w:t>
      </w:r>
      <w:r w:rsidRPr="00DE5698">
        <w:t xml:space="preserve"> </w:t>
      </w:r>
      <w:r>
        <w:t>potential for respiratory and skin sensitisation.</w:t>
      </w:r>
      <w:r w:rsidR="003B5C9E">
        <w:t xml:space="preserve"> </w:t>
      </w:r>
    </w:p>
    <w:p w14:paraId="313B3720" w14:textId="20EF4F94" w:rsidR="00665272" w:rsidRDefault="00665272" w:rsidP="00665272">
      <w:r>
        <w:t xml:space="preserve">Limited toxicological data </w:t>
      </w:r>
      <w:r w:rsidR="00FB3368">
        <w:t>are</w:t>
      </w:r>
      <w:r>
        <w:t xml:space="preserve"> available.</w:t>
      </w:r>
      <w:r w:rsidR="003B652E">
        <w:t xml:space="preserve"> </w:t>
      </w:r>
      <w:proofErr w:type="gramStart"/>
      <w:r w:rsidRPr="005A4CBE">
        <w:rPr>
          <w:i/>
        </w:rPr>
        <w:t>p</w:t>
      </w:r>
      <w:r>
        <w:t>-</w:t>
      </w:r>
      <w:proofErr w:type="spellStart"/>
      <w:r>
        <w:t>Phenylenediamine</w:t>
      </w:r>
      <w:proofErr w:type="spellEnd"/>
      <w:proofErr w:type="gramEnd"/>
      <w:r>
        <w:t xml:space="preserve"> is reported as being highly sensitis</w:t>
      </w:r>
      <w:r w:rsidRPr="00665272">
        <w:t>ing and induces r</w:t>
      </w:r>
      <w:r>
        <w:t xml:space="preserve">eactions on the skin and in the </w:t>
      </w:r>
      <w:r w:rsidRPr="00665272">
        <w:t>respiratory tract</w:t>
      </w:r>
      <w:r>
        <w:t xml:space="preserve">. Evidence </w:t>
      </w:r>
      <w:r w:rsidR="005A4CBE">
        <w:t>indicates</w:t>
      </w:r>
      <w:r>
        <w:t xml:space="preserve"> </w:t>
      </w:r>
      <w:r w:rsidRPr="005A4CBE">
        <w:rPr>
          <w:i/>
        </w:rPr>
        <w:t>p</w:t>
      </w:r>
      <w:r>
        <w:t>-</w:t>
      </w:r>
      <w:r w:rsidR="005A4CBE">
        <w:t> </w:t>
      </w:r>
      <w:proofErr w:type="spellStart"/>
      <w:r>
        <w:t>phenylenediamine</w:t>
      </w:r>
      <w:proofErr w:type="spellEnd"/>
      <w:r>
        <w:t xml:space="preserve"> induces asthma and persistent irritation of the mucosa of the upper airways in workers in the fur processing industry (DFG, 2000). </w:t>
      </w:r>
      <w:r w:rsidR="003B652E">
        <w:t xml:space="preserve">Acute renal (kidney) failure, </w:t>
      </w:r>
      <w:proofErr w:type="spellStart"/>
      <w:r w:rsidR="003B652E">
        <w:t>methaemoglobinaemia</w:t>
      </w:r>
      <w:proofErr w:type="spellEnd"/>
      <w:r w:rsidR="003B652E">
        <w:t>, haemolysis, dyspnoea, swelling of the lips, tongue and neck and rhabdomyolysis in muscles was reported in cases</w:t>
      </w:r>
      <w:r>
        <w:t xml:space="preserve"> of poisoning after accidental ingestion of hair dyes containing </w:t>
      </w:r>
      <w:r w:rsidRPr="005A4CBE">
        <w:rPr>
          <w:i/>
        </w:rPr>
        <w:t>p</w:t>
      </w:r>
      <w:r>
        <w:t>-</w:t>
      </w:r>
      <w:proofErr w:type="spellStart"/>
      <w:r>
        <w:t>phenylenediamine</w:t>
      </w:r>
      <w:proofErr w:type="spellEnd"/>
      <w:r w:rsidR="009D6895">
        <w:t xml:space="preserve">. </w:t>
      </w:r>
      <w:r w:rsidR="003B652E">
        <w:t xml:space="preserve">There is no evidence of any carcinogenic effect </w:t>
      </w:r>
      <w:r w:rsidR="00710CF7">
        <w:t>b</w:t>
      </w:r>
      <w:r w:rsidR="009D6895">
        <w:t>ased on epidemiological studies</w:t>
      </w:r>
      <w:r w:rsidR="005A4CBE">
        <w:t xml:space="preserve"> </w:t>
      </w:r>
      <w:r w:rsidR="009D6895">
        <w:t>and negative results in animal</w:t>
      </w:r>
      <w:r w:rsidR="00710CF7">
        <w:t xml:space="preserve"> studies</w:t>
      </w:r>
      <w:r w:rsidR="009D6895">
        <w:t xml:space="preserve"> (ACGIH, 2018).</w:t>
      </w:r>
    </w:p>
    <w:p w14:paraId="47BE8CD5" w14:textId="350997D4" w:rsidR="009D6895" w:rsidRDefault="009D6895" w:rsidP="009D6895">
      <w:r w:rsidRPr="009D6895">
        <w:t xml:space="preserve">Given the limited available data, the TWA of </w:t>
      </w:r>
      <w:r>
        <w:t>0.1 mg/m</w:t>
      </w:r>
      <w:r>
        <w:rPr>
          <w:vertAlign w:val="superscript"/>
        </w:rPr>
        <w:t>3</w:t>
      </w:r>
      <w:r w:rsidRPr="009D6895">
        <w:t xml:space="preserve"> is recommended to be retained</w:t>
      </w:r>
      <w:r>
        <w:t xml:space="preserve"> </w:t>
      </w:r>
      <w:r w:rsidRPr="009D6895">
        <w:t>to limit irritant effects</w:t>
      </w:r>
      <w:r>
        <w:t>, dermatitis and possible skin and respiratory sensitisation</w:t>
      </w:r>
      <w:r w:rsidRPr="009D6895">
        <w:t xml:space="preserve"> </w:t>
      </w:r>
      <w:r w:rsidR="006C67D0">
        <w:t>as per</w:t>
      </w:r>
      <w:r w:rsidRPr="009D6895">
        <w:t xml:space="preserve"> ACGIH</w:t>
      </w:r>
      <w:r>
        <w:t xml:space="preserve"> (2018)</w:t>
      </w:r>
      <w:r w:rsidR="006C67D0">
        <w:t xml:space="preserve"> in exposed workers</w:t>
      </w:r>
      <w:r>
        <w:t xml:space="preserve">. This TWA is reported as being sufficiently low to minimise </w:t>
      </w:r>
      <w:r w:rsidR="006C67D0">
        <w:t>workers</w:t>
      </w:r>
      <w:r>
        <w:t xml:space="preserve"> </w:t>
      </w:r>
      <w:r w:rsidR="005A4CBE">
        <w:t xml:space="preserve">becoming </w:t>
      </w:r>
      <w:r>
        <w:t xml:space="preserve">sensitised but may not prevent exacerbation of asthma in those already sensitised. It is recommended that a </w:t>
      </w:r>
      <w:r w:rsidR="006C2533">
        <w:t xml:space="preserve">priority </w:t>
      </w:r>
      <w:r>
        <w:lastRenderedPageBreak/>
        <w:t xml:space="preserve">investigation of additional data sources is undertaken </w:t>
      </w:r>
      <w:r w:rsidR="003B652E">
        <w:t xml:space="preserve">to assess the </w:t>
      </w:r>
      <w:r w:rsidR="00C60E68">
        <w:t xml:space="preserve">sensitising </w:t>
      </w:r>
      <w:r w:rsidR="003B652E">
        <w:t xml:space="preserve">potential </w:t>
      </w:r>
      <w:r>
        <w:t>at the next scheduled review.</w:t>
      </w:r>
    </w:p>
    <w:p w14:paraId="742DA8C8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16B105F5" w14:textId="77777777" w:rsidR="008E4F1F" w:rsidRPr="00665272" w:rsidRDefault="008E4F1F" w:rsidP="008E4F1F">
      <w:pPr>
        <w:rPr>
          <w:rFonts w:cs="Arial"/>
        </w:rPr>
      </w:pPr>
      <w:r w:rsidRPr="00665272">
        <w:rPr>
          <w:rFonts w:cs="Arial"/>
        </w:rPr>
        <w:t>Not classified as a carcinogen according to the Globally Harmonized System of</w:t>
      </w:r>
      <w:r w:rsidR="00155999" w:rsidRPr="00665272">
        <w:rPr>
          <w:rFonts w:cs="Arial"/>
        </w:rPr>
        <w:t xml:space="preserve"> Classification and Labelling of</w:t>
      </w:r>
      <w:r w:rsidRPr="00665272">
        <w:rPr>
          <w:rFonts w:cs="Arial"/>
        </w:rPr>
        <w:t xml:space="preserve"> Chemicals (GHS). </w:t>
      </w:r>
    </w:p>
    <w:p w14:paraId="203E40E0" w14:textId="2B5AD21F" w:rsidR="008E4F1F" w:rsidRPr="00665272" w:rsidRDefault="00665272" w:rsidP="008E4F1F">
      <w:pPr>
        <w:rPr>
          <w:rFonts w:cs="Arial"/>
        </w:rPr>
      </w:pPr>
      <w:r w:rsidRPr="00665272">
        <w:rPr>
          <w:rFonts w:cs="Arial"/>
        </w:rPr>
        <w:t>C</w:t>
      </w:r>
      <w:r w:rsidR="008E4F1F" w:rsidRPr="00665272">
        <w:rPr>
          <w:rFonts w:cs="Arial"/>
        </w:rPr>
        <w:t xml:space="preserve">lassified as a skin </w:t>
      </w:r>
      <w:r w:rsidR="00155999" w:rsidRPr="00665272">
        <w:rPr>
          <w:rFonts w:cs="Arial"/>
        </w:rPr>
        <w:t xml:space="preserve">sensitiser </w:t>
      </w:r>
      <w:r w:rsidR="003B5C9E">
        <w:rPr>
          <w:rFonts w:cs="Arial"/>
        </w:rPr>
        <w:t>and</w:t>
      </w:r>
      <w:r w:rsidRPr="00665272">
        <w:rPr>
          <w:rFonts w:cs="Arial"/>
        </w:rPr>
        <w:t xml:space="preserve"> not </w:t>
      </w:r>
      <w:r w:rsidR="008E4F1F" w:rsidRPr="00665272">
        <w:rPr>
          <w:rFonts w:cs="Arial"/>
        </w:rPr>
        <w:t>respiratory sensitiser according to the GHS.</w:t>
      </w:r>
      <w:r w:rsidRPr="00665272">
        <w:rPr>
          <w:rFonts w:cs="Arial"/>
        </w:rPr>
        <w:t xml:space="preserve"> A review of this classification is recommended based on evidence of asthma in workers</w:t>
      </w:r>
      <w:r w:rsidR="00073819">
        <w:rPr>
          <w:rFonts w:cs="Arial"/>
        </w:rPr>
        <w:t>.</w:t>
      </w:r>
    </w:p>
    <w:p w14:paraId="0F4BA60C" w14:textId="77777777" w:rsidR="004529F0" w:rsidRPr="004C23F4" w:rsidRDefault="005A4CBE" w:rsidP="008E4F1F">
      <w:pPr>
        <w:rPr>
          <w:rFonts w:cs="Arial"/>
        </w:rPr>
      </w:pPr>
      <w:r>
        <w:rPr>
          <w:rFonts w:cs="Arial"/>
        </w:rPr>
        <w:t>There are i</w:t>
      </w:r>
      <w:r w:rsidR="008E4F1F" w:rsidRPr="00665272">
        <w:rPr>
          <w:rFonts w:cs="Arial"/>
        </w:rPr>
        <w:t xml:space="preserve">nsufficient </w:t>
      </w:r>
      <w:r>
        <w:rPr>
          <w:rFonts w:cs="Arial"/>
        </w:rPr>
        <w:t>data</w:t>
      </w:r>
      <w:r w:rsidR="008E4F1F" w:rsidRPr="00665272">
        <w:rPr>
          <w:rFonts w:cs="Arial"/>
        </w:rPr>
        <w:t xml:space="preserve"> to recommend a skin notation.</w:t>
      </w:r>
    </w:p>
    <w:p w14:paraId="642DD793" w14:textId="77777777" w:rsidR="0025734A" w:rsidRPr="004C23F4" w:rsidRDefault="0025734A">
      <w:pPr>
        <w:rPr>
          <w:rFonts w:cs="Arial"/>
        </w:rPr>
      </w:pPr>
    </w:p>
    <w:p w14:paraId="4DB40B9A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0F2DEDB0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70042B23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404EA609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6AF7D260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717633B9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2444762C" w14:textId="77777777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796680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796680">
                  <w:t>TWA: 0.1 mg/m</w:t>
                </w:r>
                <w:r w:rsidR="00796680" w:rsidRPr="00796680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68EFE39E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5EAB33D2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40944D7A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55FC068E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FE05C7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FE05C7">
                  <w:t>TLV-TWA: 0.1 mg/m</w:t>
                </w:r>
                <w:r w:rsidR="00FE05C7" w:rsidRPr="00FE05C7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2CD9DF00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146D1DA3" w14:textId="628DFD63" w:rsidR="00C978F0" w:rsidRDefault="00E97C90" w:rsidP="003365A5">
            <w:pPr>
              <w:pStyle w:val="Tabletextprimarysource"/>
            </w:pPr>
            <w:r>
              <w:t xml:space="preserve">TLV-TWA recommended to minimise the potential for respiratory and skin sensitisation and to protect for eye and skin irritation, dermatitis and blood </w:t>
            </w:r>
            <w:proofErr w:type="spellStart"/>
            <w:r>
              <w:t>dyscrasia</w:t>
            </w:r>
            <w:proofErr w:type="spellEnd"/>
            <w:r>
              <w:t>.</w:t>
            </w:r>
          </w:p>
          <w:p w14:paraId="3916A14D" w14:textId="77777777" w:rsidR="00E97C90" w:rsidRDefault="00E97C90" w:rsidP="003365A5">
            <w:pPr>
              <w:pStyle w:val="Tabletextprimarysource"/>
            </w:pPr>
            <w:r>
              <w:t>Summary of data:</w:t>
            </w:r>
          </w:p>
          <w:p w14:paraId="3436CB75" w14:textId="77777777" w:rsidR="00A75BCC" w:rsidRDefault="00A75BCC" w:rsidP="003B5C9E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No specific derivation of the TWA is provided; no dose-response evidence presented</w:t>
            </w:r>
          </w:p>
          <w:p w14:paraId="35282218" w14:textId="77777777" w:rsidR="00E97C90" w:rsidRDefault="00E97C90" w:rsidP="003B5C9E">
            <w:pPr>
              <w:pStyle w:val="ListBullet"/>
              <w:spacing w:before="60" w:after="60"/>
              <w:ind w:left="714" w:hanging="357"/>
              <w:contextualSpacing w:val="0"/>
            </w:pPr>
            <w:r>
              <w:t>Sufficiently low to minimise the number of persons who may become sensitised, may not prevent exacerbation of asthma in those already sensitised</w:t>
            </w:r>
            <w:r w:rsidR="006C67D0">
              <w:t>.</w:t>
            </w:r>
          </w:p>
          <w:p w14:paraId="5FB0BD59" w14:textId="77777777" w:rsidR="00B8263F" w:rsidRDefault="00B8263F" w:rsidP="00B8263F">
            <w:pPr>
              <w:pStyle w:val="Tabletextprimarysource"/>
            </w:pPr>
            <w:r>
              <w:t>Human data:</w:t>
            </w:r>
          </w:p>
          <w:p w14:paraId="1A5CD5E0" w14:textId="5F090AC7" w:rsidR="00B8263F" w:rsidRDefault="00C45646" w:rsidP="003B5C9E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Case reports of poisoning after accidental ingestion of hair dyes containing </w:t>
            </w:r>
            <w:r w:rsidRPr="005A4CBE">
              <w:rPr>
                <w:i/>
              </w:rPr>
              <w:t>p</w:t>
            </w:r>
            <w:r>
              <w:t>-</w:t>
            </w:r>
            <w:r w:rsidR="005A4CBE">
              <w:t> </w:t>
            </w:r>
            <w:proofErr w:type="spellStart"/>
            <w:r>
              <w:t>phenylenediamine</w:t>
            </w:r>
            <w:proofErr w:type="spellEnd"/>
            <w:r>
              <w:t xml:space="preserve">; acute renal failure (tubular necrosis); </w:t>
            </w:r>
            <w:proofErr w:type="spellStart"/>
            <w:r w:rsidR="003B5C9E">
              <w:t>methaemoglobinaemia</w:t>
            </w:r>
            <w:proofErr w:type="spellEnd"/>
            <w:r>
              <w:t>; haemolysis</w:t>
            </w:r>
            <w:r w:rsidR="003B5C9E">
              <w:t>,</w:t>
            </w:r>
            <w:r>
              <w:t xml:space="preserve"> dyspn</w:t>
            </w:r>
            <w:r w:rsidR="005A4CBE">
              <w:t>o</w:t>
            </w:r>
            <w:r>
              <w:t>ea</w:t>
            </w:r>
            <w:r w:rsidR="003B5C9E">
              <w:t xml:space="preserve">, </w:t>
            </w:r>
            <w:r>
              <w:t>swelling of the lips, tongue, and neck and rhabdomyolysis in muscles</w:t>
            </w:r>
          </w:p>
          <w:p w14:paraId="7685C458" w14:textId="77777777" w:rsidR="00A75BCC" w:rsidRDefault="00A75BCC" w:rsidP="003B5C9E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Known to cause local dermatitis and </w:t>
            </w:r>
            <w:proofErr w:type="spellStart"/>
            <w:r>
              <w:t>urticaria</w:t>
            </w:r>
            <w:proofErr w:type="spellEnd"/>
          </w:p>
          <w:p w14:paraId="04CA593C" w14:textId="267C9D7E" w:rsidR="00A75BCC" w:rsidRDefault="00A75BCC" w:rsidP="003B5C9E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Cases of lacrimation, </w:t>
            </w:r>
            <w:proofErr w:type="spellStart"/>
            <w:r>
              <w:t>ophthalmia</w:t>
            </w:r>
            <w:proofErr w:type="spellEnd"/>
            <w:r>
              <w:t xml:space="preserve"> and permanent blindness after eye contact; no further details</w:t>
            </w:r>
          </w:p>
          <w:p w14:paraId="61CE109C" w14:textId="101CE568" w:rsidR="00C45646" w:rsidRDefault="00C51DA9" w:rsidP="003B5C9E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</w:t>
            </w:r>
            <w:r w:rsidR="00C45646">
              <w:t>o evidence of any carcinogenic effect from hair dyes in occupations and users examined</w:t>
            </w:r>
            <w:r>
              <w:t xml:space="preserve"> based on epidemiological studies </w:t>
            </w:r>
          </w:p>
          <w:p w14:paraId="39602B41" w14:textId="76876058" w:rsidR="009159A6" w:rsidRDefault="00C51DA9" w:rsidP="003B5C9E">
            <w:pPr>
              <w:pStyle w:val="ListBullet"/>
              <w:spacing w:before="60" w:after="60"/>
              <w:ind w:left="714" w:hanging="357"/>
              <w:contextualSpacing w:val="0"/>
            </w:pPr>
            <w:r>
              <w:t>T</w:t>
            </w:r>
            <w:r w:rsidR="009159A6">
              <w:t>he number of positive reactions varied from 1.1</w:t>
            </w:r>
            <w:r w:rsidR="003B5C9E">
              <w:t>–</w:t>
            </w:r>
            <w:r w:rsidR="009159A6">
              <w:t xml:space="preserve">84.6% </w:t>
            </w:r>
            <w:r w:rsidR="00710CF7">
              <w:t>i</w:t>
            </w:r>
            <w:r>
              <w:t>n diagnostic patch tests performed on patients suffering from dermatologic disease</w:t>
            </w:r>
          </w:p>
          <w:p w14:paraId="39683CBF" w14:textId="77777777" w:rsidR="00A75BCC" w:rsidRDefault="00A75BCC" w:rsidP="003B5C9E">
            <w:pPr>
              <w:pStyle w:val="ListBullet"/>
              <w:spacing w:before="60" w:after="60"/>
              <w:ind w:left="714" w:hanging="357"/>
              <w:contextualSpacing w:val="0"/>
            </w:pPr>
            <w:r>
              <w:t>Known dermal and a possible respiratory sensitiser for humans.</w:t>
            </w:r>
          </w:p>
          <w:p w14:paraId="6C81B0C4" w14:textId="77777777" w:rsidR="001A59E7" w:rsidRDefault="001A59E7" w:rsidP="001A59E7">
            <w:pPr>
              <w:pStyle w:val="Tabletextprimarysource"/>
            </w:pPr>
            <w:r>
              <w:t>Animal data:</w:t>
            </w:r>
          </w:p>
          <w:p w14:paraId="46673CF9" w14:textId="77777777" w:rsidR="001A59E7" w:rsidRDefault="00192D68" w:rsidP="003B5C9E">
            <w:pPr>
              <w:pStyle w:val="ListBullet"/>
              <w:spacing w:before="60" w:after="60"/>
              <w:ind w:left="714" w:hanging="357"/>
              <w:contextualSpacing w:val="0"/>
            </w:pPr>
            <w:r>
              <w:t>LD</w:t>
            </w:r>
            <w:r>
              <w:rPr>
                <w:vertAlign w:val="subscript"/>
              </w:rPr>
              <w:t>50</w:t>
            </w:r>
            <w:r w:rsidR="005A4CBE">
              <w:t>: 80–98 mg/kg</w:t>
            </w:r>
            <w:r w:rsidR="00261F6E">
              <w:t xml:space="preserve"> </w:t>
            </w:r>
            <w:r w:rsidR="005A4CBE">
              <w:t xml:space="preserve">(rats, oral) </w:t>
            </w:r>
          </w:p>
          <w:p w14:paraId="019AFA59" w14:textId="195C293C" w:rsidR="00192D68" w:rsidRDefault="00192D68" w:rsidP="003B5C9E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Acute poisoning of animals characterised by lethargy, </w:t>
            </w:r>
            <w:proofErr w:type="spellStart"/>
            <w:r>
              <w:t>piloerection</w:t>
            </w:r>
            <w:proofErr w:type="spellEnd"/>
            <w:r>
              <w:t>, increased salivation, lacrimation, ataxia, tremor, changes in respiratory rate, increase in pulse and decrease in temperature</w:t>
            </w:r>
          </w:p>
          <w:p w14:paraId="3182CC4C" w14:textId="7FA6A242" w:rsidR="00192D68" w:rsidRDefault="00261F6E" w:rsidP="003B5C9E">
            <w:pPr>
              <w:pStyle w:val="ListBullet"/>
              <w:spacing w:before="60" w:after="60"/>
              <w:ind w:left="714" w:hanging="357"/>
              <w:contextualSpacing w:val="0"/>
            </w:pPr>
            <w:r>
              <w:t>Tested for primary skin irritation in rabbits, guinea pigs, mice, miniature pigs, piglets, dogs and baboons; results varied from non-irritant to slight or moderate irritant</w:t>
            </w:r>
          </w:p>
          <w:p w14:paraId="01E460A6" w14:textId="77777777" w:rsidR="00261F6E" w:rsidRDefault="00261F6E" w:rsidP="003B5C9E">
            <w:pPr>
              <w:pStyle w:val="ListBullet"/>
              <w:spacing w:before="60" w:after="60"/>
              <w:ind w:left="714" w:hanging="357"/>
              <w:contextualSpacing w:val="0"/>
            </w:pPr>
            <w:r>
              <w:t>Reported as a potent sensitiser in guinea pigs based on evidence from induction routines and challenge patches</w:t>
            </w:r>
          </w:p>
          <w:p w14:paraId="315C6189" w14:textId="74CE667D" w:rsidR="00261F6E" w:rsidRDefault="00261F6E" w:rsidP="003B5C9E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No significant changes in </w:t>
            </w:r>
            <w:proofErr w:type="spellStart"/>
            <w:r>
              <w:t>bw</w:t>
            </w:r>
            <w:proofErr w:type="spellEnd"/>
            <w:r>
              <w:t xml:space="preserve"> or food intake, and no treatment-related ulceration or dermatitis were observed in a chronic study with percutaneous application with mice and rabbits</w:t>
            </w:r>
          </w:p>
          <w:p w14:paraId="4016A0D2" w14:textId="77777777" w:rsidR="00261F6E" w:rsidRDefault="00A75BCC" w:rsidP="003B5C9E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Negative results from various carcinogenic studies in animals</w:t>
            </w:r>
            <w:r w:rsidR="00EE6674">
              <w:t>.</w:t>
            </w:r>
          </w:p>
          <w:p w14:paraId="3F247B88" w14:textId="77777777" w:rsidR="006C67D0" w:rsidRDefault="006C67D0" w:rsidP="00A75BCC">
            <w:pPr>
              <w:pStyle w:val="Tabletextprimarysource"/>
            </w:pPr>
          </w:p>
          <w:p w14:paraId="1516BE1E" w14:textId="77777777" w:rsidR="00A75BCC" w:rsidRDefault="00A75BCC" w:rsidP="00A75BCC">
            <w:pPr>
              <w:pStyle w:val="Tabletextprimarysource"/>
            </w:pPr>
            <w:r>
              <w:t>Insufficient data to recommend a skin or sensitiser notation or a TLV-STEL.</w:t>
            </w:r>
          </w:p>
          <w:p w14:paraId="75A3ED77" w14:textId="7BC37970" w:rsidR="00710CF7" w:rsidRPr="00DA352E" w:rsidRDefault="00710CF7" w:rsidP="00A75BCC">
            <w:pPr>
              <w:pStyle w:val="Tabletextprimarysource"/>
            </w:pPr>
          </w:p>
        </w:tc>
      </w:tr>
      <w:tr w:rsidR="00C978F0" w:rsidRPr="00DA352E" w14:paraId="45235F6C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3D4CC4B6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A42E50">
                  <w:t>2000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A42E50">
                  <w:t>MAK: 0.1 mg/m</w:t>
                </w:r>
                <w:r w:rsidR="00A42E50" w:rsidRPr="00A42E50">
                  <w:rPr>
                    <w:vertAlign w:val="superscript"/>
                  </w:rPr>
                  <w:t>3</w:t>
                </w:r>
                <w:r w:rsidR="00A42E50">
                  <w:t xml:space="preserve"> (inhalable dust fraction)</w:t>
                </w:r>
              </w:sdtContent>
            </w:sdt>
          </w:p>
        </w:tc>
      </w:tr>
      <w:tr w:rsidR="00C978F0" w:rsidRPr="00DA352E" w14:paraId="6A6B8741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79107BE3" w14:textId="11325322" w:rsidR="00C978F0" w:rsidRDefault="001C3FA8" w:rsidP="003365A5">
            <w:pPr>
              <w:pStyle w:val="Tabletextprimarysource"/>
            </w:pPr>
            <w:r>
              <w:t>MAK is established based on observations of sensitisation, not adequately supported by published data.</w:t>
            </w:r>
          </w:p>
          <w:p w14:paraId="086DA283" w14:textId="77777777" w:rsidR="001C3FA8" w:rsidRDefault="001C3FA8" w:rsidP="003365A5">
            <w:pPr>
              <w:pStyle w:val="Tabletextprimarysource"/>
            </w:pPr>
            <w:r>
              <w:t>Summary of additional data:</w:t>
            </w:r>
          </w:p>
          <w:p w14:paraId="7100368E" w14:textId="77777777" w:rsidR="001C3FA8" w:rsidRDefault="001C3FA8" w:rsidP="003B5C9E">
            <w:pPr>
              <w:pStyle w:val="ListBullet"/>
              <w:spacing w:before="60" w:after="60"/>
              <w:ind w:left="714" w:hanging="357"/>
              <w:contextualSpacing w:val="0"/>
            </w:pPr>
            <w:r>
              <w:t>Highly sensitising and induces reactions on the skin and in the respiratory tract</w:t>
            </w:r>
          </w:p>
          <w:p w14:paraId="3039E3EB" w14:textId="52AC045C" w:rsidR="001C3FA8" w:rsidRDefault="001C3FA8" w:rsidP="003B5C9E">
            <w:pPr>
              <w:pStyle w:val="ListBullet"/>
              <w:spacing w:before="60" w:after="60"/>
              <w:ind w:left="714" w:hanging="357"/>
              <w:contextualSpacing w:val="0"/>
            </w:pPr>
            <w:r>
              <w:t>34 men exposed to undisclosed concentrations of vapour and dust working in the fur processing industry for durations of 1</w:t>
            </w:r>
            <w:r w:rsidR="006C67D0">
              <w:t>–</w:t>
            </w:r>
            <w:r>
              <w:t xml:space="preserve">20 </w:t>
            </w:r>
            <w:proofErr w:type="spellStart"/>
            <w:r>
              <w:t>yr</w:t>
            </w:r>
            <w:proofErr w:type="spellEnd"/>
            <w:r>
              <w:t>; rhinitis, tickle in the nose, itching in the throat, dyspnoea, bronchial asthma, Heinz bodies in the blood; no other details</w:t>
            </w:r>
          </w:p>
          <w:p w14:paraId="37E96B70" w14:textId="77777777" w:rsidR="001C3FA8" w:rsidRDefault="001C3FA8" w:rsidP="003B5C9E">
            <w:pPr>
              <w:pStyle w:val="ListBullet"/>
              <w:spacing w:before="60" w:after="60"/>
              <w:ind w:left="714" w:hanging="357"/>
              <w:contextualSpacing w:val="0"/>
            </w:pPr>
            <w:r>
              <w:t>Studies of the reproductive toxicology in rats revealed no substance related effects</w:t>
            </w:r>
            <w:r w:rsidR="00EE6674">
              <w:t>.</w:t>
            </w:r>
          </w:p>
          <w:p w14:paraId="10CB82F4" w14:textId="77777777" w:rsidR="006C67D0" w:rsidRPr="00DA352E" w:rsidRDefault="006C67D0" w:rsidP="003B5C9E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</w:tr>
      <w:tr w:rsidR="00C978F0" w:rsidRPr="00DA352E" w14:paraId="7C472F16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3A30C6CB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71293A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proofErr w:type="spellStart"/>
                <w:r w:rsidR="0071293A">
                  <w:t>NA</w:t>
                </w:r>
                <w:proofErr w:type="spellEnd"/>
              </w:sdtContent>
            </w:sdt>
          </w:p>
        </w:tc>
      </w:tr>
      <w:tr w:rsidR="00C978F0" w:rsidRPr="00DA352E" w14:paraId="0D3AFA5C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51E65AEC" w14:textId="77777777" w:rsidR="00C978F0" w:rsidRPr="00DA352E" w:rsidRDefault="0071293A" w:rsidP="003365A5">
            <w:pPr>
              <w:pStyle w:val="Tabletextprimarysource"/>
            </w:pPr>
            <w:r>
              <w:t>No report</w:t>
            </w:r>
            <w:r w:rsidR="00EE6674">
              <w:t>.</w:t>
            </w:r>
          </w:p>
        </w:tc>
      </w:tr>
      <w:tr w:rsidR="00DA352E" w:rsidRPr="00DA352E" w14:paraId="58D11FCD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AA3611B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823E55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823E55">
                  <w:t>NA</w:t>
                </w:r>
                <w:proofErr w:type="spellEnd"/>
              </w:sdtContent>
            </w:sdt>
          </w:p>
        </w:tc>
      </w:tr>
      <w:tr w:rsidR="00DA352E" w:rsidRPr="00DA352E" w14:paraId="3203975E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69BDD0E4" w14:textId="77777777" w:rsidR="00DA352E" w:rsidRPr="00DA352E" w:rsidRDefault="00823E55" w:rsidP="003365A5">
            <w:pPr>
              <w:pStyle w:val="Tabletextprimarysource"/>
            </w:pPr>
            <w:r>
              <w:t>No report</w:t>
            </w:r>
            <w:r w:rsidR="00EE6674">
              <w:t>.</w:t>
            </w:r>
          </w:p>
        </w:tc>
      </w:tr>
      <w:tr w:rsidR="00DA352E" w:rsidRPr="00DA352E" w14:paraId="03E26A34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ED2B123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823E55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proofErr w:type="spellStart"/>
                <w:r w:rsidR="00823E55">
                  <w:t>NA</w:t>
                </w:r>
                <w:proofErr w:type="spellEnd"/>
              </w:sdtContent>
            </w:sdt>
          </w:p>
        </w:tc>
      </w:tr>
      <w:tr w:rsidR="00DA352E" w:rsidRPr="00DA352E" w14:paraId="478FC496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2011023E" w14:textId="77777777" w:rsidR="00DA352E" w:rsidRPr="00DA352E" w:rsidRDefault="00823E55" w:rsidP="003365A5">
            <w:pPr>
              <w:pStyle w:val="Tabletextprimarysource"/>
            </w:pPr>
            <w:r>
              <w:t>No report</w:t>
            </w:r>
            <w:r w:rsidR="00EE6674">
              <w:t>.</w:t>
            </w:r>
          </w:p>
        </w:tc>
      </w:tr>
    </w:tbl>
    <w:p w14:paraId="717593F1" w14:textId="77777777" w:rsidR="00A20751" w:rsidRPr="004C23F4" w:rsidRDefault="00A20751" w:rsidP="003365A5">
      <w:pPr>
        <w:pStyle w:val="Heading3"/>
      </w:pPr>
      <w:bookmarkStart w:id="0" w:name="SecondSource"/>
      <w:r w:rsidRPr="004C23F4">
        <w:t xml:space="preserve">Secondary </w:t>
      </w:r>
      <w:r w:rsidR="0088798F">
        <w:t xml:space="preserve">source reports relied upon </w:t>
      </w:r>
    </w:p>
    <w:p w14:paraId="46B98281" w14:textId="4FF79FB2" w:rsidR="007E2A4B" w:rsidRDefault="001C3FA8">
      <w:r>
        <w:t>N</w:t>
      </w:r>
      <w:r w:rsidR="003B5C9E">
        <w:t>IL</w:t>
      </w:r>
      <w:r>
        <w:t>.</w:t>
      </w:r>
    </w:p>
    <w:bookmarkEnd w:id="0"/>
    <w:p w14:paraId="55D075BD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3"/>
        <w:gridCol w:w="2423"/>
      </w:tblGrid>
      <w:tr w:rsidR="002E0D61" w14:paraId="4F466A66" w14:textId="77777777" w:rsidTr="001C3FA8">
        <w:trPr>
          <w:trHeight w:val="454"/>
          <w:tblHeader/>
        </w:trPr>
        <w:tc>
          <w:tcPr>
            <w:tcW w:w="6603" w:type="dxa"/>
            <w:vAlign w:val="center"/>
          </w:tcPr>
          <w:p w14:paraId="3941BC8F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29EB9F2E" w14:textId="77777777" w:rsidR="002E0D61" w:rsidRDefault="001C3FA8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5FDE1CB3" w14:textId="77777777" w:rsidTr="001C3FA8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3" w:type="dxa"/>
                <w:vAlign w:val="center"/>
              </w:tcPr>
              <w:p w14:paraId="5B6C97DB" w14:textId="77777777" w:rsidR="008A36CF" w:rsidRPr="006901A2" w:rsidRDefault="001C3FA8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700A8D5D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1"/>
    <w:p w14:paraId="66FFD8DD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6193E7F0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002F8E53" w14:textId="77777777" w:rsidR="00687890" w:rsidRPr="004C23F4" w:rsidRDefault="00687890" w:rsidP="00263255">
            <w:pPr>
              <w:pStyle w:val="Tableheader"/>
            </w:pPr>
            <w:bookmarkStart w:id="2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3B73B92E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632900EF" w14:textId="77777777" w:rsidTr="00812887">
        <w:trPr>
          <w:cantSplit/>
        </w:trPr>
        <w:tc>
          <w:tcPr>
            <w:tcW w:w="3227" w:type="dxa"/>
          </w:tcPr>
          <w:p w14:paraId="0235BC55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6286A9B2" w14:textId="77777777" w:rsidR="00687890" w:rsidRPr="00DD2F9B" w:rsidRDefault="00F615BD" w:rsidP="00DD2F9B">
            <w:pPr>
              <w:pStyle w:val="Tablefont"/>
            </w:pPr>
            <w:r>
              <w:t>NA</w:t>
            </w:r>
          </w:p>
        </w:tc>
      </w:tr>
      <w:tr w:rsidR="007925F0" w:rsidRPr="004C23F4" w14:paraId="52FC338B" w14:textId="77777777" w:rsidTr="00812887">
        <w:trPr>
          <w:cantSplit/>
        </w:trPr>
        <w:tc>
          <w:tcPr>
            <w:tcW w:w="3227" w:type="dxa"/>
          </w:tcPr>
          <w:p w14:paraId="3715B78D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572F772F" w14:textId="77777777" w:rsidR="007925F0" w:rsidRPr="00DD2F9B" w:rsidRDefault="00606E1B" w:rsidP="00DD2F9B">
            <w:pPr>
              <w:pStyle w:val="Tablefont"/>
            </w:pPr>
            <w:r w:rsidRPr="00606E1B">
              <w:t>Skin sensitisation – category 1</w:t>
            </w:r>
          </w:p>
        </w:tc>
      </w:tr>
      <w:tr w:rsidR="00AF483F" w:rsidRPr="004C23F4" w14:paraId="1400C04C" w14:textId="77777777" w:rsidTr="00812887">
        <w:trPr>
          <w:cantSplit/>
        </w:trPr>
        <w:tc>
          <w:tcPr>
            <w:tcW w:w="3227" w:type="dxa"/>
          </w:tcPr>
          <w:p w14:paraId="305243CC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5EFFBCF4" w14:textId="77777777" w:rsidR="00AF483F" w:rsidRPr="00DD2F9B" w:rsidRDefault="00657D06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242EEE91" w14:textId="77777777" w:rsidTr="00812887">
        <w:trPr>
          <w:cantSplit/>
        </w:trPr>
        <w:tc>
          <w:tcPr>
            <w:tcW w:w="3227" w:type="dxa"/>
          </w:tcPr>
          <w:p w14:paraId="7BDDED69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0BE9D221" w14:textId="77777777" w:rsidR="00687890" w:rsidRPr="00DD2F9B" w:rsidRDefault="00560E72" w:rsidP="00DD2F9B">
            <w:pPr>
              <w:pStyle w:val="Tablefont"/>
            </w:pPr>
            <w:r w:rsidRPr="00560E72">
              <w:t>Skin sensitisation – category 1</w:t>
            </w:r>
          </w:p>
        </w:tc>
      </w:tr>
      <w:tr w:rsidR="00E41A26" w:rsidRPr="004C23F4" w14:paraId="01AE1E7F" w14:textId="77777777" w:rsidTr="00812887">
        <w:trPr>
          <w:cantSplit/>
        </w:trPr>
        <w:tc>
          <w:tcPr>
            <w:tcW w:w="3227" w:type="dxa"/>
          </w:tcPr>
          <w:p w14:paraId="3782FB74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36F5759F" w14:textId="77777777" w:rsidR="00E41A26" w:rsidRPr="00DD2F9B" w:rsidRDefault="00560E72" w:rsidP="00560E72">
            <w:pPr>
              <w:pStyle w:val="Tablefont"/>
            </w:pPr>
            <w:r>
              <w:t>NA</w:t>
            </w:r>
          </w:p>
        </w:tc>
      </w:tr>
      <w:tr w:rsidR="002E0D61" w:rsidRPr="004C23F4" w14:paraId="4ED33004" w14:textId="77777777" w:rsidTr="00812887">
        <w:trPr>
          <w:cantSplit/>
        </w:trPr>
        <w:tc>
          <w:tcPr>
            <w:tcW w:w="3227" w:type="dxa"/>
          </w:tcPr>
          <w:p w14:paraId="0FD4976D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69C1E74C" w14:textId="77777777" w:rsidR="002E0D61" w:rsidRPr="00DD2F9B" w:rsidRDefault="00A42E50" w:rsidP="00DD2F9B">
            <w:pPr>
              <w:pStyle w:val="Tablefont"/>
            </w:pPr>
            <w:r w:rsidRPr="00A42E50">
              <w:t>Carcinogenicity – A4</w:t>
            </w:r>
          </w:p>
        </w:tc>
      </w:tr>
      <w:tr w:rsidR="002E0D61" w:rsidRPr="004C23F4" w14:paraId="5FCB8253" w14:textId="77777777" w:rsidTr="00812887">
        <w:trPr>
          <w:cantSplit/>
        </w:trPr>
        <w:tc>
          <w:tcPr>
            <w:tcW w:w="3227" w:type="dxa"/>
          </w:tcPr>
          <w:p w14:paraId="16E5E864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0D10FD21" w14:textId="77777777" w:rsidR="002E0D61" w:rsidRPr="00DD2F9B" w:rsidRDefault="0071293A" w:rsidP="00DD2F9B">
            <w:pPr>
              <w:pStyle w:val="Tablefont"/>
            </w:pPr>
            <w:r w:rsidRPr="0071293A">
              <w:t>Carcinogenicity – 3</w:t>
            </w:r>
            <w:r>
              <w:t xml:space="preserve">, </w:t>
            </w:r>
            <w:r w:rsidRPr="0071293A">
              <w:t>H (skin)</w:t>
            </w:r>
            <w:r>
              <w:t xml:space="preserve">, </w:t>
            </w:r>
            <w:proofErr w:type="spellStart"/>
            <w:r w:rsidRPr="0071293A">
              <w:t>Sh</w:t>
            </w:r>
            <w:proofErr w:type="spellEnd"/>
            <w:r w:rsidRPr="0071293A">
              <w:t xml:space="preserve"> (dermal sensitiser)</w:t>
            </w:r>
          </w:p>
        </w:tc>
      </w:tr>
      <w:tr w:rsidR="002E0D61" w:rsidRPr="004C23F4" w14:paraId="263E3B14" w14:textId="77777777" w:rsidTr="00812887">
        <w:trPr>
          <w:cantSplit/>
        </w:trPr>
        <w:tc>
          <w:tcPr>
            <w:tcW w:w="3227" w:type="dxa"/>
          </w:tcPr>
          <w:p w14:paraId="1D5391DB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2A0F4106" w14:textId="77777777" w:rsidR="002E0D61" w:rsidRPr="00DD2F9B" w:rsidRDefault="00823E55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5F2608D8" w14:textId="77777777" w:rsidTr="00812887">
        <w:trPr>
          <w:cantSplit/>
        </w:trPr>
        <w:tc>
          <w:tcPr>
            <w:tcW w:w="3227" w:type="dxa"/>
          </w:tcPr>
          <w:p w14:paraId="3C6D3513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4499E654" w14:textId="77777777" w:rsidR="002E0D61" w:rsidRPr="00DD2F9B" w:rsidRDefault="00823E55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175F27C5" w14:textId="77777777" w:rsidTr="00812887">
        <w:trPr>
          <w:cantSplit/>
        </w:trPr>
        <w:tc>
          <w:tcPr>
            <w:tcW w:w="3227" w:type="dxa"/>
          </w:tcPr>
          <w:p w14:paraId="512E28A0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72D95A03" w14:textId="77777777" w:rsidR="00386093" w:rsidRPr="00DD2F9B" w:rsidRDefault="00560E72" w:rsidP="00DD2F9B">
            <w:pPr>
              <w:pStyle w:val="Tablefont"/>
            </w:pPr>
            <w:r w:rsidRPr="00560E72">
              <w:t>Carcinogenicity – Group 3</w:t>
            </w:r>
          </w:p>
        </w:tc>
      </w:tr>
      <w:tr w:rsidR="00386093" w:rsidRPr="004C23F4" w14:paraId="4DD2E4C1" w14:textId="77777777" w:rsidTr="00812887">
        <w:trPr>
          <w:cantSplit/>
        </w:trPr>
        <w:tc>
          <w:tcPr>
            <w:tcW w:w="3227" w:type="dxa"/>
          </w:tcPr>
          <w:p w14:paraId="38855BA7" w14:textId="77777777" w:rsidR="004079B4" w:rsidRDefault="00386093" w:rsidP="00F4402E">
            <w:pPr>
              <w:pStyle w:val="Tablefont"/>
              <w:keepNext/>
            </w:pPr>
            <w:r>
              <w:lastRenderedPageBreak/>
              <w:t>US NIOSH</w:t>
            </w:r>
          </w:p>
        </w:tc>
        <w:tc>
          <w:tcPr>
            <w:tcW w:w="6015" w:type="dxa"/>
          </w:tcPr>
          <w:p w14:paraId="6F19DA26" w14:textId="77777777" w:rsidR="00386093" w:rsidRPr="00DD2F9B" w:rsidRDefault="00657D06" w:rsidP="00D87570">
            <w:pPr>
              <w:pStyle w:val="Tablefont"/>
              <w:keepNext/>
            </w:pPr>
            <w:r w:rsidRPr="00657D06">
              <w:t>SK:SEN</w:t>
            </w:r>
          </w:p>
        </w:tc>
      </w:tr>
    </w:tbl>
    <w:bookmarkEnd w:id="2"/>
    <w:p w14:paraId="2E9EB12E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19000F39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7A11FC38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3254CB8F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3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42ECB0F8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p w14:paraId="1F05F74B" w14:textId="77777777" w:rsidR="00932DCE" w:rsidRPr="004C23F4" w:rsidRDefault="001C3FA8" w:rsidP="00F9496B">
            <w:pPr>
              <w:pStyle w:val="Tablefont"/>
            </w:pPr>
            <w:r>
              <w:t>Insufficient data to recommend a skin notation.</w:t>
            </w:r>
            <w:r w:rsidR="00665272">
              <w:t xml:space="preserve"> </w:t>
            </w:r>
          </w:p>
        </w:tc>
      </w:tr>
    </w:tbl>
    <w:bookmarkEnd w:id="3"/>
    <w:p w14:paraId="0D4DE0D4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8"/>
        <w:gridCol w:w="4758"/>
      </w:tblGrid>
      <w:tr w:rsidR="00EB3D1B" w14:paraId="783ED3B6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7FB6EA78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274E0C69" w14:textId="77777777" w:rsidR="00EB3D1B" w:rsidRDefault="000B4645" w:rsidP="00EB3D1B">
                <w:pPr>
                  <w:pStyle w:val="Tablefont"/>
                </w:pPr>
                <w:r>
                  <w:t>Yes</w:t>
                </w:r>
              </w:p>
            </w:tc>
          </w:sdtContent>
        </w:sdt>
      </w:tr>
    </w:tbl>
    <w:p w14:paraId="1D4CD678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634D3423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27CC7C0F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6AC00358" w14:textId="77777777" w:rsidR="001B79E5" w:rsidRDefault="0096610E" w:rsidP="001B79E5">
                <w:pPr>
                  <w:pStyle w:val="Tablefont"/>
                </w:pPr>
                <w:r>
                  <w:t>108.15</w:t>
                </w:r>
              </w:p>
            </w:tc>
          </w:sdtContent>
        </w:sdt>
      </w:tr>
      <w:tr w:rsidR="00A31D99" w:rsidRPr="004C23F4" w14:paraId="19D66BF6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23D61582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</w:t>
            </w:r>
            <w:proofErr w:type="spellStart"/>
            <w:r>
              <w:t>kPa</w:t>
            </w:r>
            <w:proofErr w:type="spellEnd"/>
            <w:r>
              <w:t xml:space="preserve">: </w:t>
            </w:r>
          </w:p>
        </w:tc>
        <w:tc>
          <w:tcPr>
            <w:tcW w:w="5165" w:type="dxa"/>
            <w:vAlign w:val="center"/>
          </w:tcPr>
          <w:p w14:paraId="6703DA31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13781450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51F86DE5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429CC681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34EB5468" w14:textId="77777777" w:rsidTr="00EA6243">
        <w:trPr>
          <w:cantSplit/>
        </w:trPr>
        <w:tc>
          <w:tcPr>
            <w:tcW w:w="4077" w:type="dxa"/>
            <w:vAlign w:val="center"/>
          </w:tcPr>
          <w:p w14:paraId="00B0058D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7BD1A672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00ABB7B1" w14:textId="77777777" w:rsidTr="00EA6243">
        <w:trPr>
          <w:cantSplit/>
        </w:trPr>
        <w:tc>
          <w:tcPr>
            <w:tcW w:w="4077" w:type="dxa"/>
            <w:vAlign w:val="center"/>
          </w:tcPr>
          <w:p w14:paraId="4311FBDD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23F81E36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34E60E61" w14:textId="77777777" w:rsidTr="00EA6243">
        <w:trPr>
          <w:cantSplit/>
        </w:trPr>
        <w:tc>
          <w:tcPr>
            <w:tcW w:w="4077" w:type="dxa"/>
            <w:vAlign w:val="center"/>
          </w:tcPr>
          <w:p w14:paraId="56B2AC02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1F7DB719" w14:textId="77777777" w:rsidR="00E06F40" w:rsidRPr="00A006A0" w:rsidRDefault="00AF1F3E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78C25FF9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0B3324F0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53E8D143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4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25B0D048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470E7ED3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441CC94E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1F637F11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4"/>
    <w:p w14:paraId="122441B7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13F9D3E3" w14:textId="7777777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72426D19" w14:textId="77777777" w:rsidR="008E4F1F" w:rsidRDefault="008E4F1F" w:rsidP="008E4F1F">
      <w:r w:rsidRPr="002022B6">
        <w:t xml:space="preserve">Deutsche </w:t>
      </w:r>
      <w:proofErr w:type="spellStart"/>
      <w:r w:rsidRPr="002022B6">
        <w:t>Forschungsgemeinschaft</w:t>
      </w:r>
      <w:proofErr w:type="spellEnd"/>
      <w:r w:rsidRPr="002022B6">
        <w:t xml:space="preserve"> (DFG)</w:t>
      </w:r>
      <w:r>
        <w:t xml:space="preserve"> (</w:t>
      </w:r>
      <w:sdt>
        <w:sdtPr>
          <w:id w:val="1836950179"/>
          <w:placeholder>
            <w:docPart w:val="F6336CC4CFA040E9B9321C7AA205723D"/>
          </w:placeholder>
          <w:temporary/>
          <w:showingPlcHdr/>
        </w:sdtPr>
        <w:sdtEndPr/>
        <w:sdtContent>
          <w:r w:rsidRPr="00891A5F">
            <w:t>2002</w:t>
          </w:r>
        </w:sdtContent>
      </w:sdt>
      <w:r>
        <w:t xml:space="preserve">) </w:t>
      </w:r>
      <w:r w:rsidR="00891A5F" w:rsidRPr="00891A5F">
        <w:t>p-</w:t>
      </w:r>
      <w:proofErr w:type="spellStart"/>
      <w:r w:rsidR="00891A5F" w:rsidRPr="00891A5F">
        <w:t>Phenylenediamine</w:t>
      </w:r>
      <w:proofErr w:type="spellEnd"/>
      <w:r>
        <w:t xml:space="preserve"> – MAK value documentation.</w:t>
      </w:r>
    </w:p>
    <w:p w14:paraId="79605CC7" w14:textId="77777777" w:rsidR="00606E1B" w:rsidRDefault="00606E1B" w:rsidP="008E4F1F">
      <w:r w:rsidRPr="00606E1B">
        <w:t xml:space="preserve">International Agency for Research on Cancer (IARC) </w:t>
      </w:r>
      <w:r w:rsidR="00891A5F" w:rsidRPr="00891A5F">
        <w:t>Some Aromatic Amines and Related Nitro Compounds—Hair Dyes, Colouring Agents and Miscellaneous Industrial Chemicals</w:t>
      </w:r>
      <w:r w:rsidR="00891A5F">
        <w:t>. IARC Monographs – 16</w:t>
      </w:r>
      <w:r w:rsidRPr="00606E1B">
        <w:t>.</w:t>
      </w:r>
    </w:p>
    <w:p w14:paraId="00D43283" w14:textId="77777777" w:rsidR="00F63C69" w:rsidRPr="002C61BF" w:rsidRDefault="00F63C69" w:rsidP="00F63C69">
      <w:r w:rsidRPr="002C61BF">
        <w:t>Tenth Adaptation to Technical Progress Commission Regulation (EU) No 2017/776 amending, for the purposes of its adaptation to technical and scientific progress, Regulation (EC) No 1272/2008 of the European Parliament and of the Council on classification, labelling and packaging of substances and mixtures (the CLP Regulation).</w:t>
      </w:r>
    </w:p>
    <w:p w14:paraId="67A27493" w14:textId="77777777" w:rsidR="008E4F1F" w:rsidRDefault="008E4F1F" w:rsidP="008E4F1F">
      <w:r w:rsidRPr="00D86E03">
        <w:t>US National Institute for Occupational Safety and Health (NIOSH)</w:t>
      </w:r>
      <w:r>
        <w:t xml:space="preserve"> (</w:t>
      </w:r>
      <w:sdt>
        <w:sdtPr>
          <w:id w:val="-1194999823"/>
          <w:placeholder>
            <w:docPart w:val="FB0307FD2095404C9CFBE1E594ADF091"/>
          </w:placeholder>
          <w:temporary/>
          <w:showingPlcHdr/>
        </w:sdtPr>
        <w:sdtEndPr/>
        <w:sdtContent>
          <w:r w:rsidRPr="00D4521E">
            <w:t>1994</w:t>
          </w:r>
        </w:sdtContent>
      </w:sdt>
      <w:r>
        <w:t xml:space="preserve">) </w:t>
      </w:r>
      <w:proofErr w:type="gramStart"/>
      <w:r>
        <w:t>Immediately</w:t>
      </w:r>
      <w:proofErr w:type="gramEnd"/>
      <w:r>
        <w:t xml:space="preserve"> dangerous to life or health concentrations – </w:t>
      </w:r>
      <w:r w:rsidR="00D4521E" w:rsidRPr="00D4521E">
        <w:t>p-</w:t>
      </w:r>
      <w:proofErr w:type="spellStart"/>
      <w:r w:rsidR="00D4521E" w:rsidRPr="00D4521E">
        <w:t>Phenylene</w:t>
      </w:r>
      <w:proofErr w:type="spellEnd"/>
      <w:r w:rsidR="00D4521E" w:rsidRPr="00D4521E">
        <w:t xml:space="preserve"> diamine</w:t>
      </w:r>
      <w:r>
        <w:t>.</w:t>
      </w:r>
    </w:p>
    <w:p w14:paraId="5E5F12F4" w14:textId="09CFA1B8" w:rsidR="00F63C69" w:rsidRPr="00351FE0" w:rsidRDefault="00F63C69" w:rsidP="00F63C69">
      <w:r>
        <w:lastRenderedPageBreak/>
        <w:t>US National Institute for Occupational Safety and Health (NIOSH) (2011) Skin Notation Profiles: p-</w:t>
      </w:r>
      <w:proofErr w:type="spellStart"/>
      <w:r>
        <w:t>Phenylene</w:t>
      </w:r>
      <w:proofErr w:type="spellEnd"/>
      <w:r>
        <w:t xml:space="preserve"> Diamine)</w:t>
      </w:r>
      <w:r w:rsidR="00DE7935">
        <w:t>.</w:t>
      </w:r>
      <w:r>
        <w:t xml:space="preserve"> </w:t>
      </w:r>
    </w:p>
    <w:p w14:paraId="006700FF" w14:textId="77777777" w:rsidR="00F63C69" w:rsidRDefault="00F63C69" w:rsidP="008E4F1F">
      <w:pPr>
        <w:rPr>
          <w:b/>
        </w:rPr>
      </w:pPr>
    </w:p>
    <w:p w14:paraId="0A9DEEC3" w14:textId="77777777" w:rsidR="008E4F1F" w:rsidRPr="00351FE0" w:rsidRDefault="008E4F1F" w:rsidP="00084859"/>
    <w:sectPr w:rsidR="008E4F1F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CEDCFE" w14:textId="77777777" w:rsidR="003721E9" w:rsidRDefault="003721E9" w:rsidP="00F43AD5">
      <w:pPr>
        <w:spacing w:after="0" w:line="240" w:lineRule="auto"/>
      </w:pPr>
      <w:r>
        <w:separator/>
      </w:r>
    </w:p>
  </w:endnote>
  <w:endnote w:type="continuationSeparator" w:id="0">
    <w:p w14:paraId="7FD57735" w14:textId="77777777" w:rsidR="003721E9" w:rsidRDefault="003721E9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1654B" w14:textId="77777777" w:rsidR="00AF1F3E" w:rsidRDefault="00AF1F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2616357C" w14:textId="77777777" w:rsidR="008A36CF" w:rsidRDefault="0080043B" w:rsidP="0034744C">
        <w:pPr>
          <w:pStyle w:val="Footer"/>
          <w:rPr>
            <w:sz w:val="18"/>
            <w:szCs w:val="18"/>
          </w:rPr>
        </w:pPr>
        <w:proofErr w:type="gramStart"/>
        <w:r w:rsidRPr="005A4CBE">
          <w:rPr>
            <w:b/>
            <w:i/>
            <w:sz w:val="18"/>
            <w:szCs w:val="18"/>
          </w:rPr>
          <w:t>p</w:t>
        </w:r>
        <w:r w:rsidR="005A4CBE">
          <w:rPr>
            <w:b/>
            <w:sz w:val="18"/>
            <w:szCs w:val="18"/>
          </w:rPr>
          <w:t>-</w:t>
        </w:r>
        <w:proofErr w:type="spellStart"/>
        <w:r>
          <w:rPr>
            <w:b/>
            <w:sz w:val="18"/>
            <w:szCs w:val="18"/>
          </w:rPr>
          <w:t>Phenylenediamine</w:t>
        </w:r>
        <w:proofErr w:type="spellEnd"/>
        <w:proofErr w:type="gramEnd"/>
        <w:r w:rsidR="008A36CF">
          <w:rPr>
            <w:b/>
            <w:sz w:val="18"/>
            <w:szCs w:val="18"/>
          </w:rPr>
          <w:t xml:space="preserve"> (</w:t>
        </w:r>
        <w:r>
          <w:rPr>
            <w:b/>
            <w:sz w:val="18"/>
            <w:szCs w:val="18"/>
          </w:rPr>
          <w:t>106-50-3</w:t>
        </w:r>
        <w:r w:rsidR="008A36CF">
          <w:rPr>
            <w:b/>
            <w:sz w:val="18"/>
            <w:szCs w:val="18"/>
          </w:rPr>
          <w:t>)</w:t>
        </w:r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5A4CBE">
          <w:rPr>
            <w:sz w:val="18"/>
            <w:szCs w:val="18"/>
          </w:rPr>
          <w:t xml:space="preserve"> 2020</w:t>
        </w:r>
      </w:p>
      <w:p w14:paraId="3D0EAF49" w14:textId="104C8034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AF1F3E">
          <w:rPr>
            <w:noProof/>
            <w:sz w:val="18"/>
            <w:szCs w:val="18"/>
          </w:rPr>
          <w:t>3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4EAEA" w14:textId="77777777" w:rsidR="00AF1F3E" w:rsidRDefault="00AF1F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7E6824" w14:textId="77777777" w:rsidR="003721E9" w:rsidRDefault="003721E9" w:rsidP="00F43AD5">
      <w:pPr>
        <w:spacing w:after="0" w:line="240" w:lineRule="auto"/>
      </w:pPr>
      <w:r>
        <w:separator/>
      </w:r>
    </w:p>
  </w:footnote>
  <w:footnote w:type="continuationSeparator" w:id="0">
    <w:p w14:paraId="6CFE85BA" w14:textId="77777777" w:rsidR="003721E9" w:rsidRDefault="003721E9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43035" w14:textId="77777777" w:rsidR="00AF1F3E" w:rsidRDefault="00AF1F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A9955" w14:textId="076DC3CF" w:rsidR="00AF1F3E" w:rsidRDefault="00AF1F3E" w:rsidP="00AF1F3E">
    <w:pPr>
      <w:pStyle w:val="Header"/>
      <w:jc w:val="right"/>
    </w:pPr>
    <w:sdt>
      <w:sdtPr>
        <w:id w:val="620417911"/>
        <w:docPartObj>
          <w:docPartGallery w:val="Watermarks"/>
          <w:docPartUnique/>
        </w:docPartObj>
      </w:sdtPr>
      <w:sdtContent>
        <w:r>
          <w:pict w14:anchorId="14ECC3E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8193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5A24179C" wp14:editId="2080C762">
          <wp:extent cx="2945130" cy="595630"/>
          <wp:effectExtent l="0" t="0" r="7620" b="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3225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C92DAA" w14:textId="77777777" w:rsidR="00AF1F3E" w:rsidRDefault="00AF1F3E" w:rsidP="00AF1F3E">
    <w:pPr>
      <w:pStyle w:val="Header"/>
      <w:jc w:val="right"/>
    </w:pPr>
  </w:p>
  <w:p w14:paraId="5B7ABCA0" w14:textId="725DD622" w:rsidR="008A36CF" w:rsidRPr="00AF1F3E" w:rsidRDefault="008A36CF" w:rsidP="00AF1F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6506A" w14:textId="77777777" w:rsidR="00AF1F3E" w:rsidRDefault="00AF1F3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6AD80" w14:textId="34BFACE3" w:rsidR="00AF1F3E" w:rsidRDefault="00AF1F3E" w:rsidP="00AF1F3E">
    <w:pPr>
      <w:pStyle w:val="Header"/>
      <w:jc w:val="right"/>
    </w:pPr>
    <w:sdt>
      <w:sdtPr>
        <w:id w:val="2097746028"/>
        <w:docPartObj>
          <w:docPartGallery w:val="Watermarks"/>
          <w:docPartUnique/>
        </w:docPartObj>
      </w:sdtPr>
      <w:sdtContent>
        <w:r>
          <w:pict w14:anchorId="3AB2B80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8194" type="#_x0000_t136" style="position:absolute;left:0;text-align:left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754BD1F7" wp14:editId="467294B5">
          <wp:extent cx="2945130" cy="595630"/>
          <wp:effectExtent l="0" t="0" r="7620" b="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3225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BAD86B" w14:textId="77777777" w:rsidR="00AF1F3E" w:rsidRDefault="00AF1F3E" w:rsidP="00AF1F3E">
    <w:pPr>
      <w:pStyle w:val="Header"/>
      <w:jc w:val="right"/>
    </w:pPr>
  </w:p>
  <w:p w14:paraId="5560EDFA" w14:textId="77777777" w:rsidR="008A36CF" w:rsidRDefault="008A36CF" w:rsidP="00F43AD5">
    <w:pPr>
      <w:pStyle w:val="Header"/>
      <w:jc w:val="right"/>
    </w:pPr>
    <w:bookmarkStart w:id="5" w:name="_GoBack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DB6FB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32B88"/>
    <w:rsid w:val="00037E52"/>
    <w:rsid w:val="00046DF5"/>
    <w:rsid w:val="00052060"/>
    <w:rsid w:val="0005574A"/>
    <w:rsid w:val="00055FE1"/>
    <w:rsid w:val="00056EC2"/>
    <w:rsid w:val="00060B48"/>
    <w:rsid w:val="00067F32"/>
    <w:rsid w:val="00071807"/>
    <w:rsid w:val="00073819"/>
    <w:rsid w:val="000803E1"/>
    <w:rsid w:val="00084513"/>
    <w:rsid w:val="00084859"/>
    <w:rsid w:val="00085635"/>
    <w:rsid w:val="00092D94"/>
    <w:rsid w:val="000B0868"/>
    <w:rsid w:val="000B3E12"/>
    <w:rsid w:val="000B3E78"/>
    <w:rsid w:val="000B4645"/>
    <w:rsid w:val="000B7B48"/>
    <w:rsid w:val="000C096D"/>
    <w:rsid w:val="000C139A"/>
    <w:rsid w:val="000C2053"/>
    <w:rsid w:val="000C248C"/>
    <w:rsid w:val="000D291C"/>
    <w:rsid w:val="000E5A54"/>
    <w:rsid w:val="000E63D3"/>
    <w:rsid w:val="000E67CF"/>
    <w:rsid w:val="0010461E"/>
    <w:rsid w:val="00106FAA"/>
    <w:rsid w:val="00113443"/>
    <w:rsid w:val="001269A7"/>
    <w:rsid w:val="00131092"/>
    <w:rsid w:val="00140E6A"/>
    <w:rsid w:val="00146545"/>
    <w:rsid w:val="00146B75"/>
    <w:rsid w:val="0015266D"/>
    <w:rsid w:val="0015288A"/>
    <w:rsid w:val="00155999"/>
    <w:rsid w:val="00160F47"/>
    <w:rsid w:val="00177CA1"/>
    <w:rsid w:val="00183823"/>
    <w:rsid w:val="00183942"/>
    <w:rsid w:val="001915F6"/>
    <w:rsid w:val="00192D68"/>
    <w:rsid w:val="001A009E"/>
    <w:rsid w:val="001A1287"/>
    <w:rsid w:val="001A3859"/>
    <w:rsid w:val="001A3C9D"/>
    <w:rsid w:val="001A43F8"/>
    <w:rsid w:val="001A59E7"/>
    <w:rsid w:val="001B79E5"/>
    <w:rsid w:val="001C3FA8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4EE2"/>
    <w:rsid w:val="00227EC7"/>
    <w:rsid w:val="00233E10"/>
    <w:rsid w:val="00244AD1"/>
    <w:rsid w:val="002463BC"/>
    <w:rsid w:val="002465CE"/>
    <w:rsid w:val="0025734A"/>
    <w:rsid w:val="00261F6E"/>
    <w:rsid w:val="00263255"/>
    <w:rsid w:val="00276494"/>
    <w:rsid w:val="00277B0C"/>
    <w:rsid w:val="00277E02"/>
    <w:rsid w:val="002B1A2C"/>
    <w:rsid w:val="002C34F2"/>
    <w:rsid w:val="002C58FF"/>
    <w:rsid w:val="002C61BF"/>
    <w:rsid w:val="002C7AFE"/>
    <w:rsid w:val="002D05D2"/>
    <w:rsid w:val="002E0D61"/>
    <w:rsid w:val="002E4C7B"/>
    <w:rsid w:val="0030740C"/>
    <w:rsid w:val="0030772E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70DBF"/>
    <w:rsid w:val="003721E9"/>
    <w:rsid w:val="00386093"/>
    <w:rsid w:val="003904A4"/>
    <w:rsid w:val="00391841"/>
    <w:rsid w:val="00391B6D"/>
    <w:rsid w:val="00394922"/>
    <w:rsid w:val="003A0E32"/>
    <w:rsid w:val="003A2B94"/>
    <w:rsid w:val="003B2B19"/>
    <w:rsid w:val="003B387D"/>
    <w:rsid w:val="003B5C9E"/>
    <w:rsid w:val="003B652E"/>
    <w:rsid w:val="003C0D58"/>
    <w:rsid w:val="003D3F25"/>
    <w:rsid w:val="003D4FA3"/>
    <w:rsid w:val="003E0807"/>
    <w:rsid w:val="003E51FB"/>
    <w:rsid w:val="003E6B39"/>
    <w:rsid w:val="003F07E1"/>
    <w:rsid w:val="004030BC"/>
    <w:rsid w:val="00403F7D"/>
    <w:rsid w:val="00406785"/>
    <w:rsid w:val="004079B4"/>
    <w:rsid w:val="00417A56"/>
    <w:rsid w:val="00420957"/>
    <w:rsid w:val="00422A10"/>
    <w:rsid w:val="00430179"/>
    <w:rsid w:val="004414B5"/>
    <w:rsid w:val="00444482"/>
    <w:rsid w:val="00444B42"/>
    <w:rsid w:val="00445E44"/>
    <w:rsid w:val="004509E2"/>
    <w:rsid w:val="004515EE"/>
    <w:rsid w:val="004529F0"/>
    <w:rsid w:val="00460A03"/>
    <w:rsid w:val="0046412C"/>
    <w:rsid w:val="00472A11"/>
    <w:rsid w:val="00472AAD"/>
    <w:rsid w:val="00474E33"/>
    <w:rsid w:val="00476803"/>
    <w:rsid w:val="004856F5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C1E3F"/>
    <w:rsid w:val="004C23F4"/>
    <w:rsid w:val="004C3475"/>
    <w:rsid w:val="004C58B6"/>
    <w:rsid w:val="004D16A3"/>
    <w:rsid w:val="004D2DD6"/>
    <w:rsid w:val="004D4AA1"/>
    <w:rsid w:val="004D6D68"/>
    <w:rsid w:val="004E5EDD"/>
    <w:rsid w:val="004F448A"/>
    <w:rsid w:val="004F493D"/>
    <w:rsid w:val="004F65E8"/>
    <w:rsid w:val="0050005E"/>
    <w:rsid w:val="00502B88"/>
    <w:rsid w:val="005142C4"/>
    <w:rsid w:val="0051509C"/>
    <w:rsid w:val="005272E2"/>
    <w:rsid w:val="0053108F"/>
    <w:rsid w:val="00532B56"/>
    <w:rsid w:val="00534B10"/>
    <w:rsid w:val="005446A2"/>
    <w:rsid w:val="00544D2F"/>
    <w:rsid w:val="00551BD8"/>
    <w:rsid w:val="00560E72"/>
    <w:rsid w:val="00581055"/>
    <w:rsid w:val="00591E38"/>
    <w:rsid w:val="005A19C5"/>
    <w:rsid w:val="005A3034"/>
    <w:rsid w:val="005A462D"/>
    <w:rsid w:val="005A4CBE"/>
    <w:rsid w:val="005B253B"/>
    <w:rsid w:val="005B771D"/>
    <w:rsid w:val="005C5D16"/>
    <w:rsid w:val="005D3193"/>
    <w:rsid w:val="005D4A6E"/>
    <w:rsid w:val="005E6979"/>
    <w:rsid w:val="005E75CB"/>
    <w:rsid w:val="006013C1"/>
    <w:rsid w:val="0060669E"/>
    <w:rsid w:val="00606E1B"/>
    <w:rsid w:val="00610F2E"/>
    <w:rsid w:val="00611399"/>
    <w:rsid w:val="00624992"/>
    <w:rsid w:val="00624C4E"/>
    <w:rsid w:val="00625200"/>
    <w:rsid w:val="006363A8"/>
    <w:rsid w:val="00636DB7"/>
    <w:rsid w:val="00650905"/>
    <w:rsid w:val="006532ED"/>
    <w:rsid w:val="006549F2"/>
    <w:rsid w:val="006567B7"/>
    <w:rsid w:val="00657BFB"/>
    <w:rsid w:val="00657D06"/>
    <w:rsid w:val="0066333C"/>
    <w:rsid w:val="006639B4"/>
    <w:rsid w:val="006650FE"/>
    <w:rsid w:val="00665272"/>
    <w:rsid w:val="0067305D"/>
    <w:rsid w:val="00675988"/>
    <w:rsid w:val="00677D9B"/>
    <w:rsid w:val="006867F3"/>
    <w:rsid w:val="00687890"/>
    <w:rsid w:val="006901A2"/>
    <w:rsid w:val="00690368"/>
    <w:rsid w:val="0069079C"/>
    <w:rsid w:val="00690B53"/>
    <w:rsid w:val="006912B7"/>
    <w:rsid w:val="00695B72"/>
    <w:rsid w:val="006B160A"/>
    <w:rsid w:val="006B32A8"/>
    <w:rsid w:val="006B4E6C"/>
    <w:rsid w:val="006B50B6"/>
    <w:rsid w:val="006C2533"/>
    <w:rsid w:val="006C67D0"/>
    <w:rsid w:val="006D79EA"/>
    <w:rsid w:val="006E5D05"/>
    <w:rsid w:val="00701053"/>
    <w:rsid w:val="00701507"/>
    <w:rsid w:val="00710CF7"/>
    <w:rsid w:val="0071293A"/>
    <w:rsid w:val="00714021"/>
    <w:rsid w:val="00716A0F"/>
    <w:rsid w:val="00717D45"/>
    <w:rsid w:val="007208F7"/>
    <w:rsid w:val="007218AF"/>
    <w:rsid w:val="007365D1"/>
    <w:rsid w:val="00740E0E"/>
    <w:rsid w:val="00750212"/>
    <w:rsid w:val="00754779"/>
    <w:rsid w:val="0075716D"/>
    <w:rsid w:val="00765F14"/>
    <w:rsid w:val="00770E31"/>
    <w:rsid w:val="007770F1"/>
    <w:rsid w:val="00783FB1"/>
    <w:rsid w:val="00785CDD"/>
    <w:rsid w:val="00791847"/>
    <w:rsid w:val="007925F0"/>
    <w:rsid w:val="007939B3"/>
    <w:rsid w:val="0079509C"/>
    <w:rsid w:val="00796680"/>
    <w:rsid w:val="00796708"/>
    <w:rsid w:val="007B1B42"/>
    <w:rsid w:val="007C30EB"/>
    <w:rsid w:val="007E063C"/>
    <w:rsid w:val="007E2A4B"/>
    <w:rsid w:val="007E307D"/>
    <w:rsid w:val="007E6A4E"/>
    <w:rsid w:val="007E6C94"/>
    <w:rsid w:val="007F1005"/>
    <w:rsid w:val="007F25E0"/>
    <w:rsid w:val="007F5328"/>
    <w:rsid w:val="0080043B"/>
    <w:rsid w:val="00804F5A"/>
    <w:rsid w:val="00810C6D"/>
    <w:rsid w:val="00812887"/>
    <w:rsid w:val="00823E55"/>
    <w:rsid w:val="00826F21"/>
    <w:rsid w:val="00834CC8"/>
    <w:rsid w:val="00835E00"/>
    <w:rsid w:val="00837113"/>
    <w:rsid w:val="008414E4"/>
    <w:rsid w:val="00843E21"/>
    <w:rsid w:val="0084508E"/>
    <w:rsid w:val="00857A8A"/>
    <w:rsid w:val="008630EE"/>
    <w:rsid w:val="00864D13"/>
    <w:rsid w:val="00871CD5"/>
    <w:rsid w:val="008745A2"/>
    <w:rsid w:val="008768A8"/>
    <w:rsid w:val="0088798F"/>
    <w:rsid w:val="00887E4B"/>
    <w:rsid w:val="008915C8"/>
    <w:rsid w:val="00891A5F"/>
    <w:rsid w:val="00897160"/>
    <w:rsid w:val="008A36CF"/>
    <w:rsid w:val="008A3BC4"/>
    <w:rsid w:val="008B403C"/>
    <w:rsid w:val="008B7983"/>
    <w:rsid w:val="008C2511"/>
    <w:rsid w:val="008D026D"/>
    <w:rsid w:val="008D23AB"/>
    <w:rsid w:val="008D4B8B"/>
    <w:rsid w:val="008D5A78"/>
    <w:rsid w:val="008E4F1F"/>
    <w:rsid w:val="008E7375"/>
    <w:rsid w:val="008E7B64"/>
    <w:rsid w:val="008F5145"/>
    <w:rsid w:val="008F5DCD"/>
    <w:rsid w:val="00900951"/>
    <w:rsid w:val="009118A6"/>
    <w:rsid w:val="009159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27A9"/>
    <w:rsid w:val="00946044"/>
    <w:rsid w:val="0094660B"/>
    <w:rsid w:val="00946A33"/>
    <w:rsid w:val="0095260E"/>
    <w:rsid w:val="009578DD"/>
    <w:rsid w:val="00961124"/>
    <w:rsid w:val="009621B6"/>
    <w:rsid w:val="0096610E"/>
    <w:rsid w:val="00974F2D"/>
    <w:rsid w:val="00977524"/>
    <w:rsid w:val="00977E88"/>
    <w:rsid w:val="00984920"/>
    <w:rsid w:val="0099303A"/>
    <w:rsid w:val="009971C2"/>
    <w:rsid w:val="009A1254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D6895"/>
    <w:rsid w:val="009E0C05"/>
    <w:rsid w:val="009E0D1C"/>
    <w:rsid w:val="009E2214"/>
    <w:rsid w:val="009E355A"/>
    <w:rsid w:val="009E63E2"/>
    <w:rsid w:val="009F04D2"/>
    <w:rsid w:val="009F05CF"/>
    <w:rsid w:val="009F0F3A"/>
    <w:rsid w:val="009F452B"/>
    <w:rsid w:val="00A01D0C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42E50"/>
    <w:rsid w:val="00A53681"/>
    <w:rsid w:val="00A633D4"/>
    <w:rsid w:val="00A6461A"/>
    <w:rsid w:val="00A75BCC"/>
    <w:rsid w:val="00A84504"/>
    <w:rsid w:val="00A8672F"/>
    <w:rsid w:val="00A93057"/>
    <w:rsid w:val="00A968B0"/>
    <w:rsid w:val="00AB2672"/>
    <w:rsid w:val="00AB2817"/>
    <w:rsid w:val="00AB43C4"/>
    <w:rsid w:val="00AC32E7"/>
    <w:rsid w:val="00AC3A9F"/>
    <w:rsid w:val="00AC6D2F"/>
    <w:rsid w:val="00AE2745"/>
    <w:rsid w:val="00AE2F64"/>
    <w:rsid w:val="00AF1F3E"/>
    <w:rsid w:val="00AF42CB"/>
    <w:rsid w:val="00AF483F"/>
    <w:rsid w:val="00AF5E07"/>
    <w:rsid w:val="00AF5F06"/>
    <w:rsid w:val="00B00A25"/>
    <w:rsid w:val="00B1422A"/>
    <w:rsid w:val="00B1765C"/>
    <w:rsid w:val="00B213C4"/>
    <w:rsid w:val="00B40C60"/>
    <w:rsid w:val="00B479A9"/>
    <w:rsid w:val="00B52EDF"/>
    <w:rsid w:val="00B71188"/>
    <w:rsid w:val="00B76A41"/>
    <w:rsid w:val="00B8263F"/>
    <w:rsid w:val="00B87D4C"/>
    <w:rsid w:val="00B93646"/>
    <w:rsid w:val="00BA0B38"/>
    <w:rsid w:val="00BA1DBB"/>
    <w:rsid w:val="00BA4510"/>
    <w:rsid w:val="00BA529A"/>
    <w:rsid w:val="00BB612A"/>
    <w:rsid w:val="00BD499F"/>
    <w:rsid w:val="00BD56DE"/>
    <w:rsid w:val="00BF2406"/>
    <w:rsid w:val="00C06E43"/>
    <w:rsid w:val="00C16315"/>
    <w:rsid w:val="00C3091E"/>
    <w:rsid w:val="00C40FF1"/>
    <w:rsid w:val="00C419E2"/>
    <w:rsid w:val="00C45646"/>
    <w:rsid w:val="00C5020E"/>
    <w:rsid w:val="00C51DA9"/>
    <w:rsid w:val="00C57452"/>
    <w:rsid w:val="00C60E68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70A3"/>
    <w:rsid w:val="00C978F0"/>
    <w:rsid w:val="00CA58FE"/>
    <w:rsid w:val="00CB1CB1"/>
    <w:rsid w:val="00CB6BC1"/>
    <w:rsid w:val="00CB6CB8"/>
    <w:rsid w:val="00CC1A68"/>
    <w:rsid w:val="00CC2123"/>
    <w:rsid w:val="00CD2BFD"/>
    <w:rsid w:val="00CE5AD6"/>
    <w:rsid w:val="00CE617F"/>
    <w:rsid w:val="00CE78EF"/>
    <w:rsid w:val="00D00F35"/>
    <w:rsid w:val="00D048F7"/>
    <w:rsid w:val="00D0517E"/>
    <w:rsid w:val="00D140FC"/>
    <w:rsid w:val="00D21D8C"/>
    <w:rsid w:val="00D31357"/>
    <w:rsid w:val="00D33220"/>
    <w:rsid w:val="00D334D1"/>
    <w:rsid w:val="00D44C89"/>
    <w:rsid w:val="00D4521E"/>
    <w:rsid w:val="00D516CD"/>
    <w:rsid w:val="00D668E6"/>
    <w:rsid w:val="00D67AA4"/>
    <w:rsid w:val="00D70670"/>
    <w:rsid w:val="00D74D80"/>
    <w:rsid w:val="00D76624"/>
    <w:rsid w:val="00D87570"/>
    <w:rsid w:val="00D91CB9"/>
    <w:rsid w:val="00D97989"/>
    <w:rsid w:val="00D97D8D"/>
    <w:rsid w:val="00DA352E"/>
    <w:rsid w:val="00DC7694"/>
    <w:rsid w:val="00DD1BF6"/>
    <w:rsid w:val="00DD2F9B"/>
    <w:rsid w:val="00DE2513"/>
    <w:rsid w:val="00DE26E8"/>
    <w:rsid w:val="00DE5698"/>
    <w:rsid w:val="00DE7935"/>
    <w:rsid w:val="00DF6F36"/>
    <w:rsid w:val="00E0084C"/>
    <w:rsid w:val="00E025AB"/>
    <w:rsid w:val="00E02B23"/>
    <w:rsid w:val="00E06F40"/>
    <w:rsid w:val="00E07CE8"/>
    <w:rsid w:val="00E24180"/>
    <w:rsid w:val="00E26A07"/>
    <w:rsid w:val="00E32595"/>
    <w:rsid w:val="00E37CFD"/>
    <w:rsid w:val="00E41A26"/>
    <w:rsid w:val="00E46BCB"/>
    <w:rsid w:val="00E51CAF"/>
    <w:rsid w:val="00E60F04"/>
    <w:rsid w:val="00E62AAC"/>
    <w:rsid w:val="00E67C2F"/>
    <w:rsid w:val="00E67EF5"/>
    <w:rsid w:val="00E804EA"/>
    <w:rsid w:val="00E80A71"/>
    <w:rsid w:val="00E82337"/>
    <w:rsid w:val="00E92499"/>
    <w:rsid w:val="00E949AF"/>
    <w:rsid w:val="00E96077"/>
    <w:rsid w:val="00E97C90"/>
    <w:rsid w:val="00EA0A06"/>
    <w:rsid w:val="00EA6243"/>
    <w:rsid w:val="00EA74AB"/>
    <w:rsid w:val="00EB3D1B"/>
    <w:rsid w:val="00EC6779"/>
    <w:rsid w:val="00ED1D89"/>
    <w:rsid w:val="00ED57DA"/>
    <w:rsid w:val="00ED66BC"/>
    <w:rsid w:val="00EE6674"/>
    <w:rsid w:val="00EF233A"/>
    <w:rsid w:val="00EF26EB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43AD5"/>
    <w:rsid w:val="00F4402E"/>
    <w:rsid w:val="00F56DD0"/>
    <w:rsid w:val="00F615BD"/>
    <w:rsid w:val="00F63C69"/>
    <w:rsid w:val="00F6491C"/>
    <w:rsid w:val="00F67BBB"/>
    <w:rsid w:val="00F70038"/>
    <w:rsid w:val="00F87C17"/>
    <w:rsid w:val="00F87D92"/>
    <w:rsid w:val="00F90AA7"/>
    <w:rsid w:val="00F92498"/>
    <w:rsid w:val="00F9496B"/>
    <w:rsid w:val="00F970C9"/>
    <w:rsid w:val="00FA06A8"/>
    <w:rsid w:val="00FA3DF5"/>
    <w:rsid w:val="00FA741F"/>
    <w:rsid w:val="00FB3368"/>
    <w:rsid w:val="00FB4E07"/>
    <w:rsid w:val="00FB755A"/>
    <w:rsid w:val="00FC60A2"/>
    <w:rsid w:val="00FD1871"/>
    <w:rsid w:val="00FD3110"/>
    <w:rsid w:val="00FE05C7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."/>
  <w:listSeparator w:val=","/>
  <w14:docId w14:val="1F89FB26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table" w:styleId="LightShading-Accent2">
    <w:name w:val="Light Shading Accent 2"/>
    <w:aliases w:val="SWA Table Style"/>
    <w:basedOn w:val="TableNormal"/>
    <w:uiPriority w:val="60"/>
    <w:rsid w:val="008E4F1F"/>
    <w:pPr>
      <w:spacing w:before="120" w:after="120" w:line="240" w:lineRule="auto"/>
    </w:pPr>
    <w:rPr>
      <w:sz w:val="22"/>
    </w:rPr>
    <w:tblPr>
      <w:tblStyleRowBandSize w:val="1"/>
      <w:tblStyleColBandSize w:val="1"/>
      <w:tblBorders>
        <w:top w:val="dotted" w:sz="4" w:space="0" w:color="FFFFFF" w:themeColor="background1"/>
        <w:left w:val="dotted" w:sz="4" w:space="0" w:color="FFFFFF" w:themeColor="background1"/>
        <w:bottom w:val="dotted" w:sz="4" w:space="0" w:color="FFFFFF" w:themeColor="background1"/>
        <w:right w:val="dotted" w:sz="4" w:space="0" w:color="FFFFFF" w:themeColor="background1"/>
        <w:insideH w:val="dotted" w:sz="4" w:space="0" w:color="FFFFFF" w:themeColor="background1"/>
        <w:insideV w:val="dotted" w:sz="4" w:space="0" w:color="FFFFFF" w:themeColor="background1"/>
      </w:tblBorders>
    </w:tblPr>
    <w:tcPr>
      <w:shd w:val="clear" w:color="auto" w:fill="FFFFFF" w:themeFill="background1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color w:val="FFFFFF" w:themeColor="background1"/>
        <w:sz w:val="22"/>
      </w:rPr>
      <w:tblPr/>
      <w:tcPr>
        <w:shd w:val="clear" w:color="auto" w:fill="AF1E2D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 Bold" w:hAnsi="Arial Bold"/>
        <w:b/>
        <w:bCs/>
        <w:color w:val="F8F8F8"/>
        <w:sz w:val="20"/>
      </w:rPr>
      <w:tblPr/>
      <w:tcPr>
        <w:shd w:val="clear" w:color="auto" w:fill="808080" w:themeFill="background1" w:themeFillShade="80"/>
      </w:tcPr>
    </w:tblStylePr>
    <w:tblStylePr w:type="firstCol">
      <w:rPr>
        <w:rFonts w:ascii="Arial" w:hAnsi="Arial"/>
        <w:b/>
        <w:bCs/>
        <w:sz w:val="20"/>
      </w:rPr>
    </w:tblStylePr>
    <w:tblStylePr w:type="lastCol">
      <w:rPr>
        <w:rFonts w:ascii="Arial" w:hAnsi="Arial"/>
        <w:b/>
        <w:bCs/>
        <w:sz w:val="20"/>
      </w:rPr>
      <w:tblPr/>
      <w:tcPr>
        <w:shd w:val="clear" w:color="auto" w:fill="D9D9D9" w:themeFill="background1" w:themeFillShade="D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</w:tcPr>
    </w:tblStylePr>
  </w:style>
  <w:style w:type="paragraph" w:styleId="ListBullet">
    <w:name w:val="List Bullet"/>
    <w:basedOn w:val="Normal"/>
    <w:uiPriority w:val="99"/>
    <w:unhideWhenUsed/>
    <w:rsid w:val="00E97C90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C6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67D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67D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67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67D0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F6336CC4CFA040E9B9321C7AA2057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19917-9F2F-41AA-8318-9236D1AF6208}"/>
      </w:docPartPr>
      <w:docPartBody>
        <w:p w:rsidR="00CA72D3" w:rsidRDefault="00347D16" w:rsidP="00347D16">
          <w:pPr>
            <w:pStyle w:val="F6336CC4CFA040E9B9321C7AA205723D"/>
          </w:pPr>
          <w:r w:rsidRPr="00DA129F">
            <w:rPr>
              <w:color w:val="00B050"/>
            </w:rPr>
            <w:t>20</w:t>
          </w:r>
          <w:r>
            <w:rPr>
              <w:color w:val="00B050"/>
            </w:rPr>
            <w:t>02</w:t>
          </w:r>
        </w:p>
      </w:docPartBody>
    </w:docPart>
    <w:docPart>
      <w:docPartPr>
        <w:name w:val="FB0307FD2095404C9CFBE1E594ADF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5C447-0BA0-4090-95C6-CC9FF0695D56}"/>
      </w:docPartPr>
      <w:docPartBody>
        <w:p w:rsidR="00CA72D3" w:rsidRDefault="00347D16" w:rsidP="00347D16">
          <w:pPr>
            <w:pStyle w:val="FB0307FD2095404C9CFBE1E594ADF091"/>
          </w:pPr>
          <w:r w:rsidRPr="00262278">
            <w:rPr>
              <w:color w:val="00B050"/>
            </w:rPr>
            <w:t>1994</w:t>
          </w:r>
        </w:p>
      </w:docPartBody>
    </w:docPart>
    <w:docPart>
      <w:docPartPr>
        <w:name w:val="DA2FFE9CEF2D415F9F59B567F352E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881C5-42A4-4306-B55E-10EEC441C04B}"/>
      </w:docPartPr>
      <w:docPartBody>
        <w:p w:rsidR="00ED3DBD" w:rsidRDefault="00CA72D3" w:rsidP="00CA72D3">
          <w:pPr>
            <w:pStyle w:val="DA2FFE9CEF2D415F9F59B567F352ED2C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347D16"/>
    <w:rsid w:val="003E0149"/>
    <w:rsid w:val="004A4ACF"/>
    <w:rsid w:val="005052B9"/>
    <w:rsid w:val="00755FBF"/>
    <w:rsid w:val="00CA72D3"/>
    <w:rsid w:val="00D21A9F"/>
    <w:rsid w:val="00ED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72D3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B5CFDE21C857404F9FEFED685E085F4D">
    <w:name w:val="B5CFDE21C857404F9FEFED685E085F4D"/>
    <w:rsid w:val="00347D16"/>
    <w:rPr>
      <w:lang w:val="en-US" w:eastAsia="en-US"/>
    </w:rPr>
  </w:style>
  <w:style w:type="paragraph" w:customStyle="1" w:styleId="6BB57C39631949C4B4C47D3978D25A26">
    <w:name w:val="6BB57C39631949C4B4C47D3978D25A26"/>
    <w:rsid w:val="00347D16"/>
    <w:rPr>
      <w:lang w:val="en-US" w:eastAsia="en-US"/>
    </w:rPr>
  </w:style>
  <w:style w:type="paragraph" w:customStyle="1" w:styleId="F6336CC4CFA040E9B9321C7AA205723D">
    <w:name w:val="F6336CC4CFA040E9B9321C7AA205723D"/>
    <w:rsid w:val="00347D16"/>
    <w:rPr>
      <w:lang w:val="en-US" w:eastAsia="en-US"/>
    </w:rPr>
  </w:style>
  <w:style w:type="paragraph" w:customStyle="1" w:styleId="58AB8EB8E0694D709F78DDDDFF8053AF">
    <w:name w:val="58AB8EB8E0694D709F78DDDDFF8053AF"/>
    <w:rsid w:val="00347D16"/>
    <w:rPr>
      <w:lang w:val="en-US" w:eastAsia="en-US"/>
    </w:rPr>
  </w:style>
  <w:style w:type="paragraph" w:customStyle="1" w:styleId="D83A27157E294A98BF103E9BA5C24469">
    <w:name w:val="D83A27157E294A98BF103E9BA5C24469"/>
    <w:rsid w:val="00347D16"/>
    <w:rPr>
      <w:lang w:val="en-US" w:eastAsia="en-US"/>
    </w:rPr>
  </w:style>
  <w:style w:type="paragraph" w:customStyle="1" w:styleId="C02304FCE5E444CC91858DC7F6B36569">
    <w:name w:val="C02304FCE5E444CC91858DC7F6B36569"/>
    <w:rsid w:val="00347D16"/>
    <w:rPr>
      <w:lang w:val="en-US" w:eastAsia="en-US"/>
    </w:rPr>
  </w:style>
  <w:style w:type="paragraph" w:customStyle="1" w:styleId="0CA242CE4A894B91804C854EFF498506">
    <w:name w:val="0CA242CE4A894B91804C854EFF498506"/>
    <w:rsid w:val="00347D16"/>
    <w:rPr>
      <w:lang w:val="en-US" w:eastAsia="en-US"/>
    </w:rPr>
  </w:style>
  <w:style w:type="paragraph" w:customStyle="1" w:styleId="E4C65E42AA1B46E49036B1117E798206">
    <w:name w:val="E4C65E42AA1B46E49036B1117E798206"/>
    <w:rsid w:val="00347D16"/>
    <w:rPr>
      <w:lang w:val="en-US" w:eastAsia="en-US"/>
    </w:rPr>
  </w:style>
  <w:style w:type="paragraph" w:customStyle="1" w:styleId="765596AF291C401F8FF734B196C5B66D">
    <w:name w:val="765596AF291C401F8FF734B196C5B66D"/>
    <w:rsid w:val="00347D16"/>
    <w:rPr>
      <w:lang w:val="en-US" w:eastAsia="en-US"/>
    </w:rPr>
  </w:style>
  <w:style w:type="paragraph" w:customStyle="1" w:styleId="E1F508F611B14EAD81A9E7706A8B0D6B">
    <w:name w:val="E1F508F611B14EAD81A9E7706A8B0D6B"/>
    <w:rsid w:val="00347D16"/>
    <w:rPr>
      <w:lang w:val="en-US" w:eastAsia="en-US"/>
    </w:rPr>
  </w:style>
  <w:style w:type="paragraph" w:customStyle="1" w:styleId="34F7093F5FBF4BA8A1CB5E44087BC282">
    <w:name w:val="34F7093F5FBF4BA8A1CB5E44087BC282"/>
    <w:rsid w:val="00347D16"/>
    <w:rPr>
      <w:lang w:val="en-US" w:eastAsia="en-US"/>
    </w:rPr>
  </w:style>
  <w:style w:type="paragraph" w:customStyle="1" w:styleId="26FC8EB56520491CACA9FCEB0ECBEB87">
    <w:name w:val="26FC8EB56520491CACA9FCEB0ECBEB87"/>
    <w:rsid w:val="00347D16"/>
    <w:rPr>
      <w:lang w:val="en-US" w:eastAsia="en-US"/>
    </w:rPr>
  </w:style>
  <w:style w:type="paragraph" w:customStyle="1" w:styleId="BD790799C48E499DAA3B2110345ED3D6">
    <w:name w:val="BD790799C48E499DAA3B2110345ED3D6"/>
    <w:rsid w:val="00347D16"/>
    <w:rPr>
      <w:lang w:val="en-US" w:eastAsia="en-US"/>
    </w:rPr>
  </w:style>
  <w:style w:type="paragraph" w:customStyle="1" w:styleId="3449B0DC08A1430EB9AEF6ED75130148">
    <w:name w:val="3449B0DC08A1430EB9AEF6ED75130148"/>
    <w:rsid w:val="00347D16"/>
    <w:rPr>
      <w:lang w:val="en-US" w:eastAsia="en-US"/>
    </w:rPr>
  </w:style>
  <w:style w:type="paragraph" w:customStyle="1" w:styleId="D8858E08CDF0401CB750E98F7CA8DE9B">
    <w:name w:val="D8858E08CDF0401CB750E98F7CA8DE9B"/>
    <w:rsid w:val="00347D16"/>
    <w:rPr>
      <w:lang w:val="en-US" w:eastAsia="en-US"/>
    </w:rPr>
  </w:style>
  <w:style w:type="paragraph" w:customStyle="1" w:styleId="3E37342461F94466AC5FC31DE44A5773">
    <w:name w:val="3E37342461F94466AC5FC31DE44A5773"/>
    <w:rsid w:val="00347D16"/>
    <w:rPr>
      <w:lang w:val="en-US" w:eastAsia="en-US"/>
    </w:rPr>
  </w:style>
  <w:style w:type="paragraph" w:customStyle="1" w:styleId="FF4B5AA193D14B4CA9A1E95ECAB9F3C9">
    <w:name w:val="FF4B5AA193D14B4CA9A1E95ECAB9F3C9"/>
    <w:rsid w:val="00347D16"/>
    <w:rPr>
      <w:lang w:val="en-US" w:eastAsia="en-US"/>
    </w:rPr>
  </w:style>
  <w:style w:type="paragraph" w:customStyle="1" w:styleId="C0C66143CD704D439CDB5BE6C54F4B45">
    <w:name w:val="C0C66143CD704D439CDB5BE6C54F4B45"/>
    <w:rsid w:val="00347D16"/>
    <w:rPr>
      <w:lang w:val="en-US" w:eastAsia="en-US"/>
    </w:rPr>
  </w:style>
  <w:style w:type="paragraph" w:customStyle="1" w:styleId="E035055C98A7460090CF375CCF93B664">
    <w:name w:val="E035055C98A7460090CF375CCF93B664"/>
    <w:rsid w:val="00347D16"/>
    <w:rPr>
      <w:lang w:val="en-US" w:eastAsia="en-US"/>
    </w:rPr>
  </w:style>
  <w:style w:type="paragraph" w:customStyle="1" w:styleId="44ABE665556845C0BEFD555ED8765A6C">
    <w:name w:val="44ABE665556845C0BEFD555ED8765A6C"/>
    <w:rsid w:val="00347D16"/>
    <w:rPr>
      <w:lang w:val="en-US" w:eastAsia="en-US"/>
    </w:rPr>
  </w:style>
  <w:style w:type="paragraph" w:customStyle="1" w:styleId="4435E3CDB9FB44189EC6DC83A9A444D6">
    <w:name w:val="4435E3CDB9FB44189EC6DC83A9A444D6"/>
    <w:rsid w:val="00347D16"/>
    <w:rPr>
      <w:lang w:val="en-US" w:eastAsia="en-US"/>
    </w:rPr>
  </w:style>
  <w:style w:type="paragraph" w:customStyle="1" w:styleId="1CC15CBB93EB481CB8D82FFE5BFD2D9B">
    <w:name w:val="1CC15CBB93EB481CB8D82FFE5BFD2D9B"/>
    <w:rsid w:val="00347D16"/>
    <w:rPr>
      <w:lang w:val="en-US" w:eastAsia="en-US"/>
    </w:rPr>
  </w:style>
  <w:style w:type="paragraph" w:customStyle="1" w:styleId="E715A9059B4D4192BFF43F02640F6538">
    <w:name w:val="E715A9059B4D4192BFF43F02640F6538"/>
    <w:rsid w:val="00347D16"/>
    <w:rPr>
      <w:lang w:val="en-US" w:eastAsia="en-US"/>
    </w:rPr>
  </w:style>
  <w:style w:type="paragraph" w:customStyle="1" w:styleId="0BA82130F7D946FFA18908296418232F">
    <w:name w:val="0BA82130F7D946FFA18908296418232F"/>
    <w:rsid w:val="00347D16"/>
    <w:rPr>
      <w:lang w:val="en-US" w:eastAsia="en-US"/>
    </w:rPr>
  </w:style>
  <w:style w:type="paragraph" w:customStyle="1" w:styleId="29CEDC1DEFB64CBCB141AE461C60BD40">
    <w:name w:val="29CEDC1DEFB64CBCB141AE461C60BD40"/>
    <w:rsid w:val="00347D16"/>
    <w:rPr>
      <w:lang w:val="en-US" w:eastAsia="en-US"/>
    </w:rPr>
  </w:style>
  <w:style w:type="paragraph" w:customStyle="1" w:styleId="1FE3EE30DD3940DB82381ABC845380CB">
    <w:name w:val="1FE3EE30DD3940DB82381ABC845380CB"/>
    <w:rsid w:val="00347D16"/>
    <w:rPr>
      <w:lang w:val="en-US" w:eastAsia="en-US"/>
    </w:rPr>
  </w:style>
  <w:style w:type="paragraph" w:customStyle="1" w:styleId="6159E7D7E1784F989FAB17CA95A66931">
    <w:name w:val="6159E7D7E1784F989FAB17CA95A66931"/>
    <w:rsid w:val="00347D16"/>
    <w:rPr>
      <w:lang w:val="en-US" w:eastAsia="en-US"/>
    </w:rPr>
  </w:style>
  <w:style w:type="paragraph" w:customStyle="1" w:styleId="A7967B9552E94A109AFB97AE998EDBEC">
    <w:name w:val="A7967B9552E94A109AFB97AE998EDBEC"/>
    <w:rsid w:val="00347D16"/>
    <w:rPr>
      <w:lang w:val="en-US" w:eastAsia="en-US"/>
    </w:rPr>
  </w:style>
  <w:style w:type="paragraph" w:customStyle="1" w:styleId="85303D690FD640D08170C75075190C4B">
    <w:name w:val="85303D690FD640D08170C75075190C4B"/>
    <w:rsid w:val="00347D16"/>
    <w:rPr>
      <w:lang w:val="en-US" w:eastAsia="en-US"/>
    </w:rPr>
  </w:style>
  <w:style w:type="paragraph" w:customStyle="1" w:styleId="A070BFA618804340AABDA79FF681FE29">
    <w:name w:val="A070BFA618804340AABDA79FF681FE29"/>
    <w:rsid w:val="00347D16"/>
    <w:rPr>
      <w:lang w:val="en-US" w:eastAsia="en-US"/>
    </w:rPr>
  </w:style>
  <w:style w:type="paragraph" w:customStyle="1" w:styleId="364F05E0071B464399205E1EA7EF0B93">
    <w:name w:val="364F05E0071B464399205E1EA7EF0B93"/>
    <w:rsid w:val="00347D16"/>
    <w:rPr>
      <w:lang w:val="en-US" w:eastAsia="en-US"/>
    </w:rPr>
  </w:style>
  <w:style w:type="paragraph" w:customStyle="1" w:styleId="2CB4F544E2C14C8FA4754C0EF86EDCBB">
    <w:name w:val="2CB4F544E2C14C8FA4754C0EF86EDCBB"/>
    <w:rsid w:val="00347D16"/>
    <w:rPr>
      <w:lang w:val="en-US" w:eastAsia="en-US"/>
    </w:rPr>
  </w:style>
  <w:style w:type="paragraph" w:customStyle="1" w:styleId="FB0307FD2095404C9CFBE1E594ADF091">
    <w:name w:val="FB0307FD2095404C9CFBE1E594ADF091"/>
    <w:rsid w:val="00347D16"/>
    <w:rPr>
      <w:lang w:val="en-US" w:eastAsia="en-US"/>
    </w:rPr>
  </w:style>
  <w:style w:type="paragraph" w:customStyle="1" w:styleId="A076971D269D49F190680C4D26C5D6D6">
    <w:name w:val="A076971D269D49F190680C4D26C5D6D6"/>
    <w:rsid w:val="00347D16"/>
    <w:rPr>
      <w:lang w:val="en-US" w:eastAsia="en-US"/>
    </w:rPr>
  </w:style>
  <w:style w:type="paragraph" w:customStyle="1" w:styleId="DA2FFE9CEF2D415F9F59B567F352ED2C">
    <w:name w:val="DA2FFE9CEF2D415F9F59B567F352ED2C"/>
    <w:rsid w:val="00CA72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4" ma:contentTypeDescription="Create a new document." ma:contentTypeScope="" ma:versionID="064d7b978d02efd1e6483567367d0895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d17ff28f510e71dda79b4a1724ec235d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6FD3B4-E5FF-44D0-A85D-1656AEB7AF7B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bf54d604-3e62-4e70-ba33-9e9084b96a66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4085B5A-1FE1-4750-B8FD-EE5E3677A9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D92E79-61D2-4E17-9758-59F79ADA8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2490FE48.dotm</Template>
  <TotalTime>345</TotalTime>
  <Pages>6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WARING,Owen</cp:lastModifiedBy>
  <cp:revision>55</cp:revision>
  <cp:lastPrinted>2018-10-22T22:41:00Z</cp:lastPrinted>
  <dcterms:created xsi:type="dcterms:W3CDTF">2019-10-03T22:56:00Z</dcterms:created>
  <dcterms:modified xsi:type="dcterms:W3CDTF">2020-02-27T21:21:00Z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