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4A03CF0" w14:textId="156CD61C" w:rsidR="00BD499F" w:rsidRPr="004C23F4" w:rsidRDefault="0052789E" w:rsidP="0052789E">
          <w:pPr>
            <w:pStyle w:val="Heading1"/>
            <w:jc w:val="center"/>
            <w:rPr>
              <w:rFonts w:ascii="Arial" w:hAnsi="Arial" w:cs="Arial"/>
            </w:rPr>
          </w:pPr>
          <w:r w:rsidRPr="0052789E">
            <w:rPr>
              <w:rFonts w:ascii="Arial" w:hAnsi="Arial" w:cs="Arial"/>
            </w:rPr>
            <w:t>Perchloroethylene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6"/>
        <w:gridCol w:w="5050"/>
      </w:tblGrid>
      <w:tr w:rsidR="00F43AD5" w:rsidRPr="004C23F4" w14:paraId="7D1B1645" w14:textId="77777777" w:rsidTr="00B76A41">
        <w:trPr>
          <w:cantSplit/>
          <w:tblHeader/>
        </w:trPr>
        <w:tc>
          <w:tcPr>
            <w:tcW w:w="4077" w:type="dxa"/>
          </w:tcPr>
          <w:p w14:paraId="624E7816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7761C6F8" w14:textId="50A7C04D" w:rsidR="00F43AD5" w:rsidRPr="00717D45" w:rsidRDefault="0052789E" w:rsidP="00B76A41">
            <w:pPr>
              <w:pStyle w:val="Tablefont"/>
            </w:pPr>
            <w:r w:rsidRPr="0052789E">
              <w:t>127-18-4</w:t>
            </w:r>
          </w:p>
        </w:tc>
      </w:tr>
      <w:tr w:rsidR="00F43AD5" w:rsidRPr="004C23F4" w14:paraId="304A7F7B" w14:textId="77777777" w:rsidTr="00B76A41">
        <w:trPr>
          <w:cantSplit/>
        </w:trPr>
        <w:tc>
          <w:tcPr>
            <w:tcW w:w="4077" w:type="dxa"/>
          </w:tcPr>
          <w:p w14:paraId="133250C7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C519194" w14:textId="6D012D6C" w:rsidR="00F43AD5" w:rsidRPr="00717D45" w:rsidRDefault="00051FCA" w:rsidP="00B76A41">
            <w:pPr>
              <w:pStyle w:val="Tablefont"/>
            </w:pPr>
            <w:proofErr w:type="spellStart"/>
            <w:r>
              <w:t>Perchlor</w:t>
            </w:r>
            <w:proofErr w:type="spellEnd"/>
            <w:r>
              <w:t xml:space="preserve">, </w:t>
            </w:r>
            <w:proofErr w:type="spellStart"/>
            <w:r>
              <w:t>tetrachloroethene</w:t>
            </w:r>
            <w:proofErr w:type="spellEnd"/>
            <w:r w:rsidR="00675908">
              <w:t xml:space="preserve">, </w:t>
            </w:r>
            <w:r w:rsidR="009F1312">
              <w:br/>
            </w:r>
            <w:r w:rsidR="00675908">
              <w:t>1,1,2,2-Tetrachloroethylene</w:t>
            </w:r>
          </w:p>
        </w:tc>
      </w:tr>
      <w:tr w:rsidR="00F43AD5" w:rsidRPr="004C23F4" w14:paraId="2222BADE" w14:textId="77777777" w:rsidTr="00B76A41">
        <w:trPr>
          <w:cantSplit/>
        </w:trPr>
        <w:tc>
          <w:tcPr>
            <w:tcW w:w="4077" w:type="dxa"/>
          </w:tcPr>
          <w:p w14:paraId="35096BA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5748518" w14:textId="7207B5D6" w:rsidR="00F43AD5" w:rsidRPr="00717D45" w:rsidRDefault="00675908" w:rsidP="00B76A41">
            <w:pPr>
              <w:pStyle w:val="Tablefont"/>
            </w:pPr>
            <w:r>
              <w:t>C</w:t>
            </w:r>
            <w:r w:rsidRPr="00675908">
              <w:rPr>
                <w:vertAlign w:val="subscript"/>
              </w:rPr>
              <w:t>2</w:t>
            </w:r>
            <w:r>
              <w:t>Cl</w:t>
            </w:r>
            <w:r w:rsidRPr="00675908">
              <w:rPr>
                <w:vertAlign w:val="subscript"/>
              </w:rPr>
              <w:t>4</w:t>
            </w:r>
          </w:p>
        </w:tc>
      </w:tr>
      <w:tr w:rsidR="00F43AD5" w:rsidRPr="004C23F4" w14:paraId="0DEB6DE0" w14:textId="77777777" w:rsidTr="00B76A41">
        <w:trPr>
          <w:cantSplit/>
        </w:trPr>
        <w:tc>
          <w:tcPr>
            <w:tcW w:w="4077" w:type="dxa"/>
          </w:tcPr>
          <w:p w14:paraId="2967A5A0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0849AFD7" w14:textId="26B8699F" w:rsidR="00F43AD5" w:rsidRPr="00B40C60" w:rsidRDefault="00675908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1BE2E8A5" w14:textId="038F3A10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4148B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7"/>
        <w:gridCol w:w="5019"/>
      </w:tblGrid>
      <w:tr w:rsidR="002C7AFE" w:rsidRPr="004C23F4" w14:paraId="0C88FE22" w14:textId="77777777" w:rsidTr="007366A9">
        <w:trPr>
          <w:cantSplit/>
          <w:tblHeader/>
        </w:trPr>
        <w:tc>
          <w:tcPr>
            <w:tcW w:w="4007" w:type="dxa"/>
            <w:vAlign w:val="center"/>
          </w:tcPr>
          <w:p w14:paraId="6B03B33E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9" w:type="dxa"/>
          </w:tcPr>
          <w:p w14:paraId="08003F4C" w14:textId="293D593E" w:rsidR="002C7AFE" w:rsidRPr="00EB3D1B" w:rsidRDefault="0028226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20 ppm </w:t>
            </w:r>
            <w:r w:rsidRPr="00282264">
              <w:rPr>
                <w:b/>
              </w:rPr>
              <w:t>(138 mg/m3)</w:t>
            </w:r>
          </w:p>
        </w:tc>
      </w:tr>
      <w:tr w:rsidR="002C7AFE" w:rsidRPr="004C23F4" w14:paraId="7276390D" w14:textId="77777777" w:rsidTr="007366A9">
        <w:trPr>
          <w:cantSplit/>
        </w:trPr>
        <w:tc>
          <w:tcPr>
            <w:tcW w:w="4007" w:type="dxa"/>
            <w:vAlign w:val="center"/>
          </w:tcPr>
          <w:p w14:paraId="7E8A28AD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9" w:type="dxa"/>
          </w:tcPr>
          <w:p w14:paraId="15477C3F" w14:textId="323155EA" w:rsidR="002C7AFE" w:rsidRPr="00282264" w:rsidRDefault="00282264" w:rsidP="00017C82">
            <w:pPr>
              <w:pStyle w:val="Tablefont"/>
              <w:rPr>
                <w:b/>
              </w:rPr>
            </w:pPr>
            <w:r w:rsidRPr="00282264">
              <w:rPr>
                <w:b/>
              </w:rPr>
              <w:t>40 ppm (275 mg/m</w:t>
            </w:r>
            <w:r w:rsidRPr="00282264">
              <w:rPr>
                <w:b/>
                <w:vertAlign w:val="superscript"/>
              </w:rPr>
              <w:t>3</w:t>
            </w:r>
            <w:r w:rsidRPr="00282264">
              <w:rPr>
                <w:b/>
              </w:rPr>
              <w:t>)</w:t>
            </w:r>
          </w:p>
        </w:tc>
      </w:tr>
      <w:tr w:rsidR="002C7AFE" w:rsidRPr="004C23F4" w14:paraId="1F85ECAE" w14:textId="77777777" w:rsidTr="007366A9">
        <w:trPr>
          <w:cantSplit/>
        </w:trPr>
        <w:tc>
          <w:tcPr>
            <w:tcW w:w="4007" w:type="dxa"/>
            <w:vAlign w:val="center"/>
          </w:tcPr>
          <w:p w14:paraId="3C77A275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19" w:type="dxa"/>
          </w:tcPr>
          <w:p w14:paraId="54A02A5C" w14:textId="16714B98" w:rsidR="002C7AFE" w:rsidRPr="00EB3D1B" w:rsidRDefault="00282264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2C7AFE" w:rsidRPr="004C23F4" w14:paraId="6FA311FB" w14:textId="77777777" w:rsidTr="007366A9">
        <w:trPr>
          <w:cantSplit/>
        </w:trPr>
        <w:tc>
          <w:tcPr>
            <w:tcW w:w="4007" w:type="dxa"/>
          </w:tcPr>
          <w:p w14:paraId="6FD5A035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9" w:type="dxa"/>
          </w:tcPr>
          <w:p w14:paraId="716FF8A7" w14:textId="4D5F2DA6" w:rsidR="002C7AFE" w:rsidRPr="00EB3D1B" w:rsidRDefault="00282264" w:rsidP="008A36CF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Carc</w:t>
            </w:r>
            <w:proofErr w:type="spellEnd"/>
            <w:r>
              <w:rPr>
                <w:b/>
              </w:rPr>
              <w:t>. 2., Sk.</w:t>
            </w:r>
          </w:p>
        </w:tc>
      </w:tr>
      <w:tr w:rsidR="002C7AFE" w:rsidRPr="004C23F4" w14:paraId="114B74D8" w14:textId="77777777" w:rsidTr="007366A9">
        <w:trPr>
          <w:cantSplit/>
        </w:trPr>
        <w:tc>
          <w:tcPr>
            <w:tcW w:w="4007" w:type="dxa"/>
            <w:vAlign w:val="center"/>
          </w:tcPr>
          <w:p w14:paraId="5DF5B900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9" w:type="dxa"/>
          </w:tcPr>
          <w:p w14:paraId="36C727B7" w14:textId="6FC4E945" w:rsidR="002C7AFE" w:rsidRPr="00EB3D1B" w:rsidRDefault="0067590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150 ppm</w:t>
            </w:r>
          </w:p>
        </w:tc>
      </w:tr>
      <w:tr w:rsidR="007366A9" w:rsidRPr="004C23F4" w14:paraId="76C73BBB" w14:textId="77777777" w:rsidTr="006A2C14">
        <w:trPr>
          <w:cantSplit/>
        </w:trPr>
        <w:tc>
          <w:tcPr>
            <w:tcW w:w="9026" w:type="dxa"/>
            <w:gridSpan w:val="2"/>
            <w:vAlign w:val="center"/>
          </w:tcPr>
          <w:p w14:paraId="01D5811F" w14:textId="6A2A0E2B" w:rsidR="007366A9" w:rsidRPr="00EB3D1B" w:rsidRDefault="007366A9" w:rsidP="00017C8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496B67E43B8C4C50BA31C1F68DF1C5EF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282264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44B5AF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9EE7599" w14:textId="76DD948B" w:rsidR="006639B4" w:rsidRDefault="0000109C" w:rsidP="000C139A">
      <w:r>
        <w:rPr>
          <w:rFonts w:cs="Arial"/>
        </w:rPr>
        <w:t>A TWA of 20 ppm (138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>
        <w:t xml:space="preserve">adverse central nervous system (CNS) effects and irritation of the eyes and upper respiratory </w:t>
      </w:r>
      <w:r w:rsidR="009F1312">
        <w:t>tract</w:t>
      </w:r>
      <w:r>
        <w:t xml:space="preserve"> in exposed workers.</w:t>
      </w:r>
    </w:p>
    <w:p w14:paraId="28D51D37" w14:textId="0A91B464" w:rsidR="0000109C" w:rsidRPr="0000109C" w:rsidRDefault="0000109C" w:rsidP="000C139A">
      <w:pPr>
        <w:rPr>
          <w:rFonts w:cs="Arial"/>
        </w:rPr>
      </w:pPr>
      <w:r>
        <w:t>A STEL of 40 ppm (275 mg/m</w:t>
      </w:r>
      <w:r>
        <w:rPr>
          <w:vertAlign w:val="superscript"/>
        </w:rPr>
        <w:t>3</w:t>
      </w:r>
      <w:r>
        <w:t xml:space="preserve">) is recommended to protect for </w:t>
      </w:r>
      <w:r w:rsidR="002D1ECD">
        <w:t xml:space="preserve">acute </w:t>
      </w:r>
      <w:r>
        <w:t xml:space="preserve">irritation and CNS </w:t>
      </w:r>
      <w:r w:rsidR="009F1312">
        <w:t>effects</w:t>
      </w:r>
      <w:r w:rsidR="008300EB">
        <w:t xml:space="preserve"> </w:t>
      </w:r>
      <w:r w:rsidR="002D1ECD">
        <w:t>in exposed workers.</w:t>
      </w:r>
    </w:p>
    <w:p w14:paraId="7C2258AD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62A8CDC" w14:textId="3A7AECC3" w:rsidR="002D1ECD" w:rsidRDefault="002470C9" w:rsidP="006639B4">
      <w:proofErr w:type="spellStart"/>
      <w:r>
        <w:t>Perchloroethylene</w:t>
      </w:r>
      <w:proofErr w:type="spellEnd"/>
      <w:r>
        <w:t xml:space="preserve"> </w:t>
      </w:r>
      <w:r w:rsidR="009F1312">
        <w:t>is</w:t>
      </w:r>
      <w:r>
        <w:t xml:space="preserve"> widely used as a dry-cleaning agent and in metal degreasing. Minor uses include as a textile scouring solvent, fumigant, stain remover, paint remover and heat transfer media ingredient. </w:t>
      </w:r>
    </w:p>
    <w:p w14:paraId="7327BDFA" w14:textId="73BF4982" w:rsidR="00636156" w:rsidRDefault="002470C9" w:rsidP="006639B4">
      <w:r>
        <w:t>The critical effec</w:t>
      </w:r>
      <w:r w:rsidR="003725A9">
        <w:t xml:space="preserve">ts of </w:t>
      </w:r>
      <w:r w:rsidR="002D1ECD">
        <w:t>exposure</w:t>
      </w:r>
      <w:r w:rsidR="003725A9">
        <w:t xml:space="preserve"> are</w:t>
      </w:r>
      <w:r w:rsidR="006E69F7" w:rsidRPr="006E69F7">
        <w:t xml:space="preserve"> </w:t>
      </w:r>
      <w:r w:rsidR="003725A9">
        <w:t xml:space="preserve">adverse </w:t>
      </w:r>
      <w:r w:rsidR="009F1312">
        <w:t xml:space="preserve">effects on the </w:t>
      </w:r>
      <w:r w:rsidR="006E69F7">
        <w:t>CNS</w:t>
      </w:r>
      <w:r w:rsidR="003725A9">
        <w:t xml:space="preserve"> and irritation of the eyes and upper respiratory </w:t>
      </w:r>
      <w:r w:rsidR="009F1312">
        <w:t>tract</w:t>
      </w:r>
      <w:r w:rsidR="003725A9">
        <w:t>. Hepat</w:t>
      </w:r>
      <w:r w:rsidR="008300EB">
        <w:t>ot</w:t>
      </w:r>
      <w:r w:rsidR="003725A9">
        <w:t>oxic and nephrotoxic</w:t>
      </w:r>
      <w:r w:rsidR="009F1312">
        <w:t xml:space="preserve"> (liver and kidney toxicity)</w:t>
      </w:r>
      <w:r w:rsidR="003725A9">
        <w:t xml:space="preserve"> effects </w:t>
      </w:r>
      <w:r w:rsidR="009F1312">
        <w:t>are</w:t>
      </w:r>
      <w:r w:rsidR="003725A9">
        <w:t xml:space="preserve"> reported in animals</w:t>
      </w:r>
      <w:r w:rsidR="009F1312">
        <w:t>.</w:t>
      </w:r>
      <w:r w:rsidR="003725A9">
        <w:t xml:space="preserve"> </w:t>
      </w:r>
      <w:r w:rsidR="009F1312">
        <w:t>H</w:t>
      </w:r>
      <w:r w:rsidR="003725A9">
        <w:t>owever, th</w:t>
      </w:r>
      <w:r w:rsidR="009F1312">
        <w:t>e</w:t>
      </w:r>
      <w:r w:rsidR="003725A9">
        <w:t xml:space="preserve">se </w:t>
      </w:r>
      <w:r w:rsidR="0011471A">
        <w:t xml:space="preserve">kidney and liver </w:t>
      </w:r>
      <w:r w:rsidR="003725A9">
        <w:t xml:space="preserve">effects are likely not relevant to humans </w:t>
      </w:r>
      <w:r w:rsidR="003829F2">
        <w:t>due to biotransformation differences between humans and experimental animals (HCOTN, 2003; NICNAS, 2001).</w:t>
      </w:r>
    </w:p>
    <w:p w14:paraId="112CEC7D" w14:textId="0321A4EF" w:rsidR="003725A9" w:rsidRDefault="00282264" w:rsidP="006639B4">
      <w:r>
        <w:t>Volunteers exposed for seven</w:t>
      </w:r>
      <w:r w:rsidR="00E14295">
        <w:t xml:space="preserve"> hours at 101 ppm experienced eye irritation and subjective symptoms such as headache, drowsiness and sleepiness</w:t>
      </w:r>
      <w:r w:rsidR="00E14295">
        <w:rPr>
          <w:rFonts w:cs="Arial"/>
        </w:rPr>
        <w:t xml:space="preserve">. </w:t>
      </w:r>
      <w:r w:rsidR="0001008D">
        <w:rPr>
          <w:rFonts w:cs="Arial"/>
        </w:rPr>
        <w:t>Exposure</w:t>
      </w:r>
      <w:r w:rsidR="00E14295">
        <w:rPr>
          <w:rFonts w:cs="Arial"/>
        </w:rPr>
        <w:t>s</w:t>
      </w:r>
      <w:r w:rsidR="0001008D">
        <w:rPr>
          <w:rFonts w:cs="Arial"/>
        </w:rPr>
        <w:t xml:space="preserve"> at</w:t>
      </w:r>
      <w:r w:rsidR="00E14295">
        <w:rPr>
          <w:rFonts w:cs="Arial"/>
        </w:rPr>
        <w:t xml:space="preserve"> 280 </w:t>
      </w:r>
      <w:r w:rsidR="0001008D">
        <w:rPr>
          <w:rFonts w:cs="Arial"/>
        </w:rPr>
        <w:t xml:space="preserve">ppm </w:t>
      </w:r>
      <w:r>
        <w:rPr>
          <w:rFonts w:cs="Arial"/>
        </w:rPr>
        <w:t>for two</w:t>
      </w:r>
      <w:r w:rsidR="00E14295">
        <w:rPr>
          <w:rFonts w:cs="Arial"/>
        </w:rPr>
        <w:t xml:space="preserve"> hours and 600 ppm fo</w:t>
      </w:r>
      <w:r>
        <w:rPr>
          <w:rFonts w:cs="Arial"/>
        </w:rPr>
        <w:t xml:space="preserve">r </w:t>
      </w:r>
      <w:r w:rsidR="00AF407F">
        <w:rPr>
          <w:rFonts w:cs="Arial"/>
        </w:rPr>
        <w:t xml:space="preserve">10 </w:t>
      </w:r>
      <w:r w:rsidR="00E14295">
        <w:rPr>
          <w:rFonts w:cs="Arial"/>
        </w:rPr>
        <w:t>minutes is</w:t>
      </w:r>
      <w:r w:rsidR="0001008D">
        <w:rPr>
          <w:rFonts w:cs="Arial"/>
        </w:rPr>
        <w:t xml:space="preserve"> associated with </w:t>
      </w:r>
      <w:r w:rsidR="00E14295">
        <w:rPr>
          <w:rFonts w:cs="Arial"/>
        </w:rPr>
        <w:t>loss of motor coordination</w:t>
      </w:r>
      <w:r w:rsidR="00620F67">
        <w:rPr>
          <w:rFonts w:cs="Arial"/>
        </w:rPr>
        <w:t>. ACGIH (2018) report</w:t>
      </w:r>
      <w:r w:rsidR="00636156">
        <w:rPr>
          <w:rFonts w:cs="Arial"/>
        </w:rPr>
        <w:t>s</w:t>
      </w:r>
      <w:r w:rsidR="00620F67">
        <w:rPr>
          <w:rFonts w:cs="Arial"/>
        </w:rPr>
        <w:t xml:space="preserve"> a </w:t>
      </w:r>
      <w:r w:rsidR="00620F67">
        <w:t xml:space="preserve">threshold for effects such as dizziness, headache, sleepiness and incoordination in </w:t>
      </w:r>
      <w:r>
        <w:t>the range of 100</w:t>
      </w:r>
      <w:r w:rsidR="00AF407F">
        <w:t>–</w:t>
      </w:r>
      <w:r>
        <w:t>200 ppm for five and a half to seven hour</w:t>
      </w:r>
      <w:r w:rsidR="00636156">
        <w:t>s</w:t>
      </w:r>
      <w:r w:rsidR="00620F67">
        <w:t xml:space="preserve"> exposures</w:t>
      </w:r>
      <w:r w:rsidR="00A4490B">
        <w:t>. Volunteers exposed at 100 or 150 ppm experienced slightly impaired coordination</w:t>
      </w:r>
      <w:r w:rsidR="006E414A">
        <w:t xml:space="preserve"> with no</w:t>
      </w:r>
      <w:r w:rsidR="00A4490B">
        <w:t xml:space="preserve"> duration of exposure provided</w:t>
      </w:r>
      <w:r w:rsidR="00E14295">
        <w:rPr>
          <w:rFonts w:cs="Arial"/>
        </w:rPr>
        <w:t xml:space="preserve"> </w:t>
      </w:r>
      <w:r w:rsidR="0001008D">
        <w:rPr>
          <w:rFonts w:cs="Arial"/>
        </w:rPr>
        <w:t xml:space="preserve">(ACGIH, 2018). </w:t>
      </w:r>
      <w:r w:rsidR="00A4490B">
        <w:rPr>
          <w:rFonts w:cs="Arial"/>
        </w:rPr>
        <w:t>SCOEL (2009) report</w:t>
      </w:r>
      <w:r w:rsidR="00636156">
        <w:rPr>
          <w:rFonts w:cs="Arial"/>
        </w:rPr>
        <w:t>s</w:t>
      </w:r>
      <w:r w:rsidR="00A4490B">
        <w:rPr>
          <w:rFonts w:cs="Arial"/>
        </w:rPr>
        <w:t xml:space="preserve"> </w:t>
      </w:r>
      <w:r w:rsidR="00A4490B">
        <w:t xml:space="preserve">no clear evidence </w:t>
      </w:r>
      <w:r w:rsidR="0009169D">
        <w:t xml:space="preserve">of liver, kidney and CNS effects at exposure concentrations up to 25 ppm </w:t>
      </w:r>
      <w:r w:rsidR="00A4490B">
        <w:t>from studies in humans</w:t>
      </w:r>
      <w:r w:rsidR="0009169D">
        <w:t>. SCOEL (2009)</w:t>
      </w:r>
      <w:r w:rsidR="00A4490B">
        <w:t xml:space="preserve"> </w:t>
      </w:r>
      <w:r w:rsidR="00E47C95">
        <w:t xml:space="preserve">extrapolated </w:t>
      </w:r>
      <w:r w:rsidR="00A4490B">
        <w:t xml:space="preserve">a NOAEC </w:t>
      </w:r>
      <w:r w:rsidR="00E954E9">
        <w:t xml:space="preserve">of 20 ppm </w:t>
      </w:r>
      <w:r w:rsidR="00A4490B">
        <w:t xml:space="preserve">in humans for </w:t>
      </w:r>
      <w:r w:rsidR="0009169D">
        <w:t xml:space="preserve">CNS </w:t>
      </w:r>
      <w:r w:rsidR="00A4490B">
        <w:t xml:space="preserve">effects </w:t>
      </w:r>
      <w:r w:rsidR="00E47C95">
        <w:t>based on summarised review of multiple human volunteer studies</w:t>
      </w:r>
      <w:r w:rsidR="00A4490B">
        <w:t xml:space="preserve"> (SCOEL, 2009).</w:t>
      </w:r>
      <w:r w:rsidR="00BA50B0">
        <w:t xml:space="preserve"> </w:t>
      </w:r>
    </w:p>
    <w:p w14:paraId="332050F2" w14:textId="77777777" w:rsidR="009B6394" w:rsidRDefault="00511138" w:rsidP="006639B4">
      <w:pPr>
        <w:rPr>
          <w:rFonts w:cs="Arial"/>
        </w:rPr>
      </w:pPr>
      <w:r>
        <w:rPr>
          <w:rFonts w:cs="Arial"/>
        </w:rPr>
        <w:lastRenderedPageBreak/>
        <w:t>HCOTN (2003</w:t>
      </w:r>
      <w:r w:rsidRPr="00511138">
        <w:rPr>
          <w:rFonts w:cs="Arial"/>
        </w:rPr>
        <w:t xml:space="preserve">) </w:t>
      </w:r>
      <w:r>
        <w:rPr>
          <w:rFonts w:cs="Arial"/>
        </w:rPr>
        <w:t>recommend</w:t>
      </w:r>
      <w:r w:rsidR="00160246">
        <w:rPr>
          <w:rFonts w:cs="Arial"/>
        </w:rPr>
        <w:t>ed</w:t>
      </w:r>
      <w:r w:rsidRPr="00511138">
        <w:rPr>
          <w:rFonts w:cs="Arial"/>
        </w:rPr>
        <w:t xml:space="preserve"> a </w:t>
      </w:r>
      <w:r w:rsidR="00E033D6">
        <w:rPr>
          <w:rFonts w:cs="Arial"/>
        </w:rPr>
        <w:t xml:space="preserve">health-based </w:t>
      </w:r>
      <w:r w:rsidRPr="00511138">
        <w:rPr>
          <w:rFonts w:cs="Arial"/>
        </w:rPr>
        <w:t xml:space="preserve">TWA of </w:t>
      </w:r>
      <w:r w:rsidR="00F4148B">
        <w:rPr>
          <w:rFonts w:cs="Arial"/>
        </w:rPr>
        <w:t xml:space="preserve">20 ppm </w:t>
      </w:r>
      <w:r w:rsidR="00AC13F5">
        <w:rPr>
          <w:rFonts w:cs="Arial"/>
        </w:rPr>
        <w:t>(</w:t>
      </w:r>
      <w:r w:rsidR="00160246">
        <w:rPr>
          <w:rFonts w:cs="Arial"/>
        </w:rPr>
        <w:t xml:space="preserve">while the </w:t>
      </w:r>
      <w:r w:rsidR="00AC13F5">
        <w:rPr>
          <w:rFonts w:cs="Arial"/>
        </w:rPr>
        <w:t>administrative TWA of 35</w:t>
      </w:r>
      <w:r w:rsidR="00160246">
        <w:rPr>
          <w:rFonts w:cs="Arial"/>
        </w:rPr>
        <w:t> </w:t>
      </w:r>
      <w:r w:rsidR="00AC13F5">
        <w:rPr>
          <w:rFonts w:cs="Arial"/>
        </w:rPr>
        <w:t>ppm</w:t>
      </w:r>
      <w:r w:rsidR="00160246">
        <w:rPr>
          <w:rFonts w:cs="Arial"/>
        </w:rPr>
        <w:t xml:space="preserve"> is published</w:t>
      </w:r>
      <w:r w:rsidR="00AC13F5">
        <w:rPr>
          <w:rFonts w:cs="Arial"/>
        </w:rPr>
        <w:t xml:space="preserve">) </w:t>
      </w:r>
      <w:r w:rsidRPr="00511138">
        <w:rPr>
          <w:rFonts w:cs="Arial"/>
        </w:rPr>
        <w:t xml:space="preserve">to protect for </w:t>
      </w:r>
      <w:r>
        <w:rPr>
          <w:rFonts w:cs="Arial"/>
        </w:rPr>
        <w:t>effects on the CNS and eye irritation</w:t>
      </w:r>
      <w:r w:rsidRPr="00511138">
        <w:rPr>
          <w:rFonts w:cs="Arial"/>
        </w:rPr>
        <w:t xml:space="preserve"> in workers.</w:t>
      </w:r>
      <w:r w:rsidR="00E033D6">
        <w:rPr>
          <w:rFonts w:cs="Arial"/>
        </w:rPr>
        <w:t xml:space="preserve"> SCOEL</w:t>
      </w:r>
      <w:r w:rsidRPr="00511138">
        <w:rPr>
          <w:rFonts w:cs="Arial"/>
        </w:rPr>
        <w:t xml:space="preserve"> </w:t>
      </w:r>
      <w:r w:rsidR="00E033D6">
        <w:rPr>
          <w:rFonts w:cs="Arial"/>
        </w:rPr>
        <w:t>also derive</w:t>
      </w:r>
      <w:r w:rsidR="00160246">
        <w:rPr>
          <w:rFonts w:cs="Arial"/>
        </w:rPr>
        <w:t>d</w:t>
      </w:r>
      <w:r w:rsidR="00E033D6">
        <w:rPr>
          <w:rFonts w:cs="Arial"/>
        </w:rPr>
        <w:t xml:space="preserve"> a TWA of 20 pp</w:t>
      </w:r>
      <w:r w:rsidR="00160246">
        <w:rPr>
          <w:rFonts w:cs="Arial"/>
        </w:rPr>
        <w:t>m</w:t>
      </w:r>
      <w:r w:rsidR="00E033D6">
        <w:rPr>
          <w:rFonts w:cs="Arial"/>
        </w:rPr>
        <w:t xml:space="preserve"> and add</w:t>
      </w:r>
      <w:r w:rsidR="00160246">
        <w:rPr>
          <w:rFonts w:cs="Arial"/>
        </w:rPr>
        <w:t>ed</w:t>
      </w:r>
      <w:r w:rsidR="00E033D6">
        <w:rPr>
          <w:rFonts w:cs="Arial"/>
        </w:rPr>
        <w:t xml:space="preserve"> a STEL of 40 ppm </w:t>
      </w:r>
      <w:r w:rsidR="00AC13F5">
        <w:rPr>
          <w:rFonts w:cs="Arial"/>
        </w:rPr>
        <w:t xml:space="preserve">to protect for acute CNS effects. TWA by other primary sources ranged from 10 ppm to 50 ppm, with ACGIH (2018) providing a TLV-TWA </w:t>
      </w:r>
      <w:r w:rsidR="00160246">
        <w:rPr>
          <w:rFonts w:cs="Arial"/>
        </w:rPr>
        <w:t>of</w:t>
      </w:r>
      <w:r w:rsidR="00AC13F5">
        <w:rPr>
          <w:rFonts w:cs="Arial"/>
        </w:rPr>
        <w:t xml:space="preserve"> 25</w:t>
      </w:r>
      <w:r w:rsidR="0011471A">
        <w:rPr>
          <w:rFonts w:cs="Arial"/>
        </w:rPr>
        <w:t> </w:t>
      </w:r>
      <w:r w:rsidR="00AC13F5">
        <w:rPr>
          <w:rFonts w:cs="Arial"/>
        </w:rPr>
        <w:t>ppm and a STEL of 10 ppm</w:t>
      </w:r>
      <w:r w:rsidRPr="00511138">
        <w:rPr>
          <w:rFonts w:cs="Arial"/>
        </w:rPr>
        <w:t>.</w:t>
      </w:r>
      <w:r w:rsidR="009F1312">
        <w:rPr>
          <w:rFonts w:cs="Arial"/>
        </w:rPr>
        <w:t xml:space="preserve"> </w:t>
      </w:r>
    </w:p>
    <w:p w14:paraId="623A74CF" w14:textId="1F9438F4" w:rsidR="00BA50B0" w:rsidRPr="0000109C" w:rsidRDefault="00AC13F5" w:rsidP="006639B4">
      <w:pPr>
        <w:rPr>
          <w:rFonts w:cs="Arial"/>
        </w:rPr>
      </w:pPr>
      <w:r>
        <w:rPr>
          <w:rFonts w:cs="Arial"/>
        </w:rPr>
        <w:t>The</w:t>
      </w:r>
      <w:r w:rsidR="00282264">
        <w:rPr>
          <w:rFonts w:cs="Arial"/>
        </w:rPr>
        <w:t xml:space="preserve"> </w:t>
      </w:r>
      <w:r w:rsidR="00511138" w:rsidRPr="00282264">
        <w:rPr>
          <w:rFonts w:cs="Arial"/>
        </w:rPr>
        <w:t xml:space="preserve">TWA of 20 ppm </w:t>
      </w:r>
      <w:r w:rsidR="00282264" w:rsidRPr="00282264">
        <w:t>(138 mg/m</w:t>
      </w:r>
      <w:r w:rsidR="00282264" w:rsidRPr="009F1312">
        <w:rPr>
          <w:vertAlign w:val="superscript"/>
        </w:rPr>
        <w:t>3</w:t>
      </w:r>
      <w:r w:rsidR="00282264" w:rsidRPr="00282264">
        <w:t xml:space="preserve">) </w:t>
      </w:r>
      <w:r>
        <w:t>by HCOTN and SCOEL</w:t>
      </w:r>
      <w:r w:rsidR="00160246">
        <w:t xml:space="preserve"> </w:t>
      </w:r>
      <w:r w:rsidR="00160246" w:rsidRPr="00282264">
        <w:rPr>
          <w:rFonts w:cs="Arial"/>
        </w:rPr>
        <w:t>is</w:t>
      </w:r>
      <w:r w:rsidR="00160246" w:rsidRPr="00511138">
        <w:rPr>
          <w:rFonts w:cs="Arial"/>
        </w:rPr>
        <w:t xml:space="preserve"> recommended</w:t>
      </w:r>
      <w:r w:rsidR="00160246">
        <w:rPr>
          <w:rFonts w:cs="Arial"/>
        </w:rPr>
        <w:t xml:space="preserve"> </w:t>
      </w:r>
      <w:r w:rsidR="0011471A">
        <w:rPr>
          <w:rFonts w:cs="Arial"/>
        </w:rPr>
        <w:t xml:space="preserve">to </w:t>
      </w:r>
      <w:r w:rsidR="00160246">
        <w:rPr>
          <w:rFonts w:cs="Arial"/>
        </w:rPr>
        <w:t>be adopted</w:t>
      </w:r>
      <w:r w:rsidR="00160246">
        <w:t xml:space="preserve"> and</w:t>
      </w:r>
      <w:r w:rsidR="00DA7E34">
        <w:t xml:space="preserve"> </w:t>
      </w:r>
      <w:r w:rsidR="00160246">
        <w:t xml:space="preserve">is </w:t>
      </w:r>
      <w:r w:rsidR="00DA7E34">
        <w:t>supported by A</w:t>
      </w:r>
      <w:r w:rsidR="00160246">
        <w:t>C</w:t>
      </w:r>
      <w:r w:rsidR="00DA7E34">
        <w:t>GIH</w:t>
      </w:r>
      <w:r w:rsidR="0011471A">
        <w:t xml:space="preserve"> evaluation</w:t>
      </w:r>
      <w:r>
        <w:rPr>
          <w:rFonts w:cs="Arial"/>
        </w:rPr>
        <w:t>.</w:t>
      </w:r>
      <w:r w:rsidR="009B6394">
        <w:rPr>
          <w:rFonts w:cs="Arial"/>
        </w:rPr>
        <w:t xml:space="preserve"> </w:t>
      </w:r>
      <w:r>
        <w:rPr>
          <w:rFonts w:cs="Arial"/>
        </w:rPr>
        <w:t>The STEL of 40 ppm (275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by SCOEL is </w:t>
      </w:r>
      <w:r w:rsidR="00DA7E34">
        <w:rPr>
          <w:rFonts w:cs="Arial"/>
        </w:rPr>
        <w:t xml:space="preserve">also </w:t>
      </w:r>
      <w:r>
        <w:rPr>
          <w:rFonts w:cs="Arial"/>
        </w:rPr>
        <w:t>recommended to protect for a</w:t>
      </w:r>
      <w:r w:rsidR="0000109C">
        <w:rPr>
          <w:rFonts w:cs="Arial"/>
        </w:rPr>
        <w:t>cute effects</w:t>
      </w:r>
      <w:r w:rsidR="009F1312">
        <w:rPr>
          <w:rFonts w:cs="Arial"/>
        </w:rPr>
        <w:t xml:space="preserve"> on the CNS</w:t>
      </w:r>
      <w:r w:rsidR="0000109C">
        <w:rPr>
          <w:rFonts w:cs="Arial"/>
        </w:rPr>
        <w:t>.</w:t>
      </w:r>
    </w:p>
    <w:p w14:paraId="3A7AE805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36488E4" w14:textId="3CC2F178" w:rsidR="00675908" w:rsidRPr="0000109C" w:rsidRDefault="0000109C" w:rsidP="00675908">
      <w:pPr>
        <w:rPr>
          <w:rFonts w:cs="Arial"/>
        </w:rPr>
      </w:pPr>
      <w:r>
        <w:rPr>
          <w:rFonts w:cs="Arial"/>
        </w:rPr>
        <w:t>C</w:t>
      </w:r>
      <w:r w:rsidR="00675908" w:rsidRPr="0000109C">
        <w:rPr>
          <w:rFonts w:cs="Arial"/>
        </w:rPr>
        <w:t xml:space="preserve">lassified as a </w:t>
      </w:r>
      <w:r w:rsidR="00282264">
        <w:rPr>
          <w:rFonts w:cs="Arial"/>
        </w:rPr>
        <w:t xml:space="preserve">category 2 </w:t>
      </w:r>
      <w:r w:rsidR="00675908" w:rsidRPr="0000109C">
        <w:rPr>
          <w:rFonts w:cs="Arial"/>
        </w:rPr>
        <w:t>carcinogen according to the Globally Harmonized System of</w:t>
      </w:r>
      <w:r>
        <w:rPr>
          <w:rFonts w:cs="Arial"/>
        </w:rPr>
        <w:t xml:space="preserve"> Classification and Labelling of</w:t>
      </w:r>
      <w:r w:rsidR="00675908" w:rsidRPr="0000109C">
        <w:rPr>
          <w:rFonts w:cs="Arial"/>
        </w:rPr>
        <w:t xml:space="preserve"> Chemicals (GHS). </w:t>
      </w:r>
    </w:p>
    <w:p w14:paraId="22E49043" w14:textId="7A895FB3" w:rsidR="00675908" w:rsidRPr="0000109C" w:rsidRDefault="00675908" w:rsidP="00675908">
      <w:pPr>
        <w:rPr>
          <w:rFonts w:cs="Arial"/>
        </w:rPr>
      </w:pPr>
      <w:r w:rsidRPr="0000109C">
        <w:rPr>
          <w:rFonts w:cs="Arial"/>
        </w:rPr>
        <w:t>Not classified as a skin</w:t>
      </w:r>
      <w:r w:rsidR="0000109C">
        <w:rPr>
          <w:rFonts w:cs="Arial"/>
        </w:rPr>
        <w:t xml:space="preserve"> </w:t>
      </w:r>
      <w:r w:rsidR="0000109C" w:rsidRPr="0000109C">
        <w:rPr>
          <w:rFonts w:cs="Arial"/>
        </w:rPr>
        <w:t>sensitiser</w:t>
      </w:r>
      <w:r w:rsidRPr="0000109C">
        <w:rPr>
          <w:rFonts w:cs="Arial"/>
        </w:rPr>
        <w:t xml:space="preserve"> or respiratory sensitiser according to the GHS.</w:t>
      </w:r>
    </w:p>
    <w:p w14:paraId="357F105D" w14:textId="658FB6A6" w:rsidR="00675908" w:rsidRPr="004C23F4" w:rsidRDefault="0000109C" w:rsidP="00675908">
      <w:pPr>
        <w:rPr>
          <w:rFonts w:cs="Arial"/>
        </w:rPr>
      </w:pPr>
      <w:r>
        <w:rPr>
          <w:rFonts w:cs="Arial"/>
        </w:rPr>
        <w:t>A skin notation is recommended based on evidence of potential dermal uptake in humans contributing significantly to total body dose.</w:t>
      </w:r>
    </w:p>
    <w:p w14:paraId="3391DBD5" w14:textId="77777777" w:rsidR="0025734A" w:rsidRPr="004C23F4" w:rsidRDefault="0025734A">
      <w:pPr>
        <w:rPr>
          <w:rFonts w:cs="Arial"/>
        </w:rPr>
      </w:pPr>
    </w:p>
    <w:p w14:paraId="5BC12B77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CAD60A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261BA2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D51843D" w14:textId="77777777" w:rsidTr="008300EB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A2EB7E4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46F4477" w14:textId="77777777" w:rsidTr="008300EB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B4AECE8" w14:textId="56DA30EC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7590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75908">
                  <w:t>TWA: 50 ppm (340 mg/m</w:t>
                </w:r>
                <w:r w:rsidR="00675908" w:rsidRPr="00675908">
                  <w:rPr>
                    <w:vertAlign w:val="superscript"/>
                  </w:rPr>
                  <w:t>3</w:t>
                </w:r>
                <w:r w:rsidR="00675908">
                  <w:t>); STEL: 150 ppm (1</w:t>
                </w:r>
                <w:r w:rsidR="0050329A">
                  <w:t>,</w:t>
                </w:r>
                <w:r w:rsidR="00675908">
                  <w:t>020 mg/m</w:t>
                </w:r>
                <w:r w:rsidR="00675908" w:rsidRPr="00675908">
                  <w:rPr>
                    <w:vertAlign w:val="superscript"/>
                  </w:rPr>
                  <w:t>3</w:t>
                </w:r>
                <w:r w:rsidR="00675908">
                  <w:t>)</w:t>
                </w:r>
              </w:sdtContent>
            </w:sdt>
          </w:p>
        </w:tc>
      </w:tr>
      <w:tr w:rsidR="00C978F0" w:rsidRPr="00DA352E" w14:paraId="516EA7E3" w14:textId="77777777" w:rsidTr="008300EB">
        <w:trPr>
          <w:gridAfter w:val="1"/>
          <w:wAfter w:w="8" w:type="pct"/>
        </w:trPr>
        <w:tc>
          <w:tcPr>
            <w:tcW w:w="4992" w:type="pct"/>
          </w:tcPr>
          <w:p w14:paraId="6BA26E4E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A958321" w14:textId="77777777" w:rsidTr="008300EB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D2B8B8E" w14:textId="659BCB6E" w:rsidR="00C978F0" w:rsidRPr="00DA352E" w:rsidRDefault="00DA352E" w:rsidP="00785E5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852" w:hanging="2852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7590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75908">
                  <w:t>TLV-TWA: 25 ppm (170 mg/m</w:t>
                </w:r>
                <w:r w:rsidR="00675908" w:rsidRPr="00675908">
                  <w:rPr>
                    <w:vertAlign w:val="superscript"/>
                  </w:rPr>
                  <w:t>3</w:t>
                </w:r>
                <w:r w:rsidR="00675908">
                  <w:t>); TLV-STEL: 100 ppm</w:t>
                </w:r>
                <w:r w:rsidR="00AF407F">
                  <w:t xml:space="preserve"> </w:t>
                </w:r>
                <w:r w:rsidR="00675908">
                  <w:t>(685</w:t>
                </w:r>
                <w:r w:rsidR="00AF407F">
                  <w:t> </w:t>
                </w:r>
                <w:r w:rsidR="00675908">
                  <w:t>mg/m</w:t>
                </w:r>
                <w:r w:rsidR="00675908" w:rsidRPr="00675908">
                  <w:rPr>
                    <w:vertAlign w:val="superscript"/>
                  </w:rPr>
                  <w:t>3</w:t>
                </w:r>
                <w:r w:rsidR="00675908">
                  <w:t>)</w:t>
                </w:r>
              </w:sdtContent>
            </w:sdt>
          </w:p>
        </w:tc>
      </w:tr>
      <w:tr w:rsidR="00C978F0" w:rsidRPr="00DA352E" w14:paraId="21874035" w14:textId="77777777" w:rsidTr="008300EB">
        <w:trPr>
          <w:gridAfter w:val="1"/>
          <w:wAfter w:w="8" w:type="pct"/>
        </w:trPr>
        <w:tc>
          <w:tcPr>
            <w:tcW w:w="4992" w:type="pct"/>
          </w:tcPr>
          <w:p w14:paraId="2941A9CF" w14:textId="77777777" w:rsidR="009F1312" w:rsidRDefault="00B344A2" w:rsidP="003365A5">
            <w:pPr>
              <w:pStyle w:val="Tabletextprimarysource"/>
            </w:pPr>
            <w:r>
              <w:t xml:space="preserve">TLV-TWA and TLV-STEL recommended to minimise the potential for eye irritation, CNS symptoms and potential liver injury. </w:t>
            </w:r>
          </w:p>
          <w:p w14:paraId="03C51359" w14:textId="7BE55D85" w:rsidR="00C978F0" w:rsidRDefault="00B344A2" w:rsidP="003365A5">
            <w:pPr>
              <w:pStyle w:val="Tabletextprimarysource"/>
            </w:pPr>
            <w:r>
              <w:t>TLV-STEL recommended to minimise the risk of anaesthetic-like effects.</w:t>
            </w:r>
          </w:p>
          <w:p w14:paraId="556F53D5" w14:textId="51808005" w:rsidR="00B344A2" w:rsidRDefault="00B344A2" w:rsidP="003365A5">
            <w:pPr>
              <w:pStyle w:val="Tabletextprimarysource"/>
            </w:pPr>
            <w:r>
              <w:t>Summary of data:</w:t>
            </w:r>
          </w:p>
          <w:p w14:paraId="6983B0DE" w14:textId="0458373B" w:rsidR="00B344A2" w:rsidRDefault="00B344A2" w:rsidP="008300EB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Stated to provide a margin of safety in minimising potential discomfort and subjective complaints that may occur from prolonged exposure at 100</w:t>
            </w:r>
            <w:r w:rsidR="008B553D">
              <w:t>–</w:t>
            </w:r>
            <w:r>
              <w:t>200 ppm</w:t>
            </w:r>
            <w:r w:rsidR="00282264">
              <w:t>.</w:t>
            </w:r>
          </w:p>
          <w:p w14:paraId="6FE21FC5" w14:textId="197CD289" w:rsidR="00B344A2" w:rsidRDefault="00B344A2" w:rsidP="00B344A2">
            <w:pPr>
              <w:pStyle w:val="Tabletextprimarysource"/>
            </w:pPr>
            <w:r>
              <w:t>Human data:</w:t>
            </w:r>
          </w:p>
          <w:p w14:paraId="6790F9DC" w14:textId="474B774C" w:rsidR="00AF62D2" w:rsidRDefault="00AF62D2" w:rsidP="008300EB">
            <w:pPr>
              <w:pStyle w:val="ListBullet"/>
              <w:spacing w:before="60" w:after="60"/>
              <w:ind w:left="1080"/>
              <w:contextualSpacing w:val="0"/>
            </w:pPr>
            <w:r>
              <w:t>Reports cases of accidental, high-level exposure resulting in light-headedness, unconsciousness and injury to the liver and kidneys; no further details</w:t>
            </w:r>
          </w:p>
          <w:p w14:paraId="29184AE7" w14:textId="20B15814" w:rsidR="000A46B1" w:rsidRDefault="00AF62D2" w:rsidP="008300EB">
            <w:pPr>
              <w:pStyle w:val="ListBullet"/>
              <w:spacing w:before="60" w:after="60"/>
              <w:ind w:left="1080"/>
              <w:contextualSpacing w:val="0"/>
            </w:pPr>
            <w:r>
              <w:t>One study</w:t>
            </w:r>
            <w:r w:rsidR="000A46B1">
              <w:t xml:space="preserve"> detailed the following effects in exposed subjects; no further information provided:</w:t>
            </w:r>
          </w:p>
          <w:p w14:paraId="5D495BF0" w14:textId="450D7532" w:rsidR="00B344A2" w:rsidRDefault="000A46B1" w:rsidP="008300EB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216 ppm</w:t>
            </w:r>
            <w:r w:rsidR="00785E55">
              <w:t>:</w:t>
            </w:r>
            <w:r>
              <w:t xml:space="preserve"> dizziness and sleepiness </w:t>
            </w:r>
          </w:p>
          <w:p w14:paraId="612AB72D" w14:textId="3055E811" w:rsidR="000A46B1" w:rsidRDefault="00282264" w:rsidP="008300EB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280 ppm for 2 h</w:t>
            </w:r>
            <w:r w:rsidR="00785E55">
              <w:t>:</w:t>
            </w:r>
            <w:r w:rsidR="000A46B1">
              <w:t xml:space="preserve"> loss of motor coordination</w:t>
            </w:r>
          </w:p>
          <w:p w14:paraId="19EDFB24" w14:textId="6AB4930A" w:rsidR="000A46B1" w:rsidRDefault="000A46B1" w:rsidP="008300EB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600 ppm for 10 min</w:t>
            </w:r>
            <w:r w:rsidR="00785E55">
              <w:t>:</w:t>
            </w:r>
            <w:r>
              <w:t xml:space="preserve"> loss of motor coordination</w:t>
            </w:r>
          </w:p>
          <w:p w14:paraId="230C2A06" w14:textId="352C8689" w:rsidR="000A46B1" w:rsidRDefault="00282264" w:rsidP="008300EB">
            <w:pPr>
              <w:pStyle w:val="ListBullet"/>
              <w:spacing w:before="60" w:after="60"/>
              <w:ind w:left="1080"/>
              <w:contextualSpacing w:val="0"/>
            </w:pPr>
            <w:r>
              <w:t>Subjects exposed for 7 h</w:t>
            </w:r>
            <w:r w:rsidR="0082702B">
              <w:t xml:space="preserve"> at 101 ppm experienced eye irritation and subjective symptoms such as headache, drowsiness and sleepiness; no further details</w:t>
            </w:r>
          </w:p>
          <w:p w14:paraId="00296941" w14:textId="2F4BA55F" w:rsidR="0082702B" w:rsidRDefault="00005D67" w:rsidP="008300EB">
            <w:pPr>
              <w:pStyle w:val="ListBullet"/>
              <w:spacing w:before="60" w:after="60"/>
              <w:ind w:left="1080"/>
              <w:contextualSpacing w:val="0"/>
            </w:pPr>
            <w:r>
              <w:t>No consistent effects on behavioural tests in volunteers exp</w:t>
            </w:r>
            <w:r w:rsidR="00282264">
              <w:t>osed at 25 or 100 ppm for 5.5 h</w:t>
            </w:r>
            <w:r>
              <w:t xml:space="preserve"> intervals; no further details</w:t>
            </w:r>
          </w:p>
          <w:p w14:paraId="204D4352" w14:textId="07EA34F1" w:rsidR="00005D67" w:rsidRDefault="003C1CF0" w:rsidP="008300EB">
            <w:pPr>
              <w:pStyle w:val="ListBullet"/>
              <w:spacing w:before="60" w:after="60"/>
              <w:ind w:left="1080"/>
              <w:contextualSpacing w:val="0"/>
            </w:pPr>
            <w:r>
              <w:t>Volunteers exposed at 100 or 150 ppm experienced slightly impaired coordination; results of behavioural test were normal; no further details</w:t>
            </w:r>
          </w:p>
          <w:p w14:paraId="3EFDC73C" w14:textId="0D3BFED2" w:rsidR="003C1CF0" w:rsidRDefault="00AF62D2" w:rsidP="008300EB">
            <w:pPr>
              <w:pStyle w:val="ListBullet"/>
              <w:spacing w:before="60" w:after="60"/>
              <w:ind w:left="1080"/>
              <w:contextualSpacing w:val="0"/>
            </w:pPr>
            <w:r>
              <w:t>Based on the above evidence</w:t>
            </w:r>
            <w:r w:rsidR="00785E55">
              <w:t>,</w:t>
            </w:r>
            <w:r>
              <w:t xml:space="preserve"> </w:t>
            </w:r>
            <w:r w:rsidR="00785E55">
              <w:t xml:space="preserve">agency </w:t>
            </w:r>
            <w:r>
              <w:t>concludes a threshold for effects such as dizziness, headache, sleepiness and incoordination exists in the range of 100</w:t>
            </w:r>
            <w:r w:rsidR="008B553D">
              <w:t>–</w:t>
            </w:r>
            <w:r>
              <w:t>200 ppm for 5.5</w:t>
            </w:r>
            <w:r w:rsidR="00636156">
              <w:noBreakHyphen/>
            </w:r>
            <w:r>
              <w:t>7</w:t>
            </w:r>
            <w:r w:rsidR="002470C9">
              <w:t> </w:t>
            </w:r>
            <w:r w:rsidR="00282264">
              <w:t>h</w:t>
            </w:r>
            <w:r>
              <w:t xml:space="preserve"> exposures</w:t>
            </w:r>
          </w:p>
          <w:p w14:paraId="4C5904B4" w14:textId="26A52A80" w:rsidR="003C1CF0" w:rsidRDefault="00DA7076" w:rsidP="008300EB">
            <w:pPr>
              <w:pStyle w:val="ListBullet"/>
              <w:spacing w:before="60" w:after="60"/>
              <w:ind w:left="1080"/>
              <w:contextualSpacing w:val="0"/>
            </w:pPr>
            <w:r>
              <w:t xml:space="preserve">Inconclusive evidence regarding reproductive effects in several epidemiological studies; </w:t>
            </w:r>
            <w:r w:rsidR="00785E55">
              <w:t>inadequacies</w:t>
            </w:r>
            <w:r>
              <w:t xml:space="preserve"> in studies</w:t>
            </w:r>
          </w:p>
          <w:p w14:paraId="6FA33980" w14:textId="55EA305F" w:rsidR="00DA7076" w:rsidRDefault="00DA7076" w:rsidP="008300EB">
            <w:pPr>
              <w:pStyle w:val="ListBullet"/>
              <w:spacing w:before="60" w:after="60"/>
              <w:ind w:left="1080"/>
              <w:contextualSpacing w:val="0"/>
            </w:pPr>
            <w:r>
              <w:t>Available epidemiological studies do not confirm any increased risk of cancer in exposed humans</w:t>
            </w:r>
            <w:r w:rsidR="00282264">
              <w:t>.</w:t>
            </w:r>
          </w:p>
          <w:p w14:paraId="7C0D4C00" w14:textId="7E9CA856" w:rsidR="00DA7076" w:rsidRDefault="00DA7076" w:rsidP="00DA7076">
            <w:pPr>
              <w:pStyle w:val="Tabletextprimarysource"/>
            </w:pPr>
            <w:r>
              <w:t>Animal data:</w:t>
            </w:r>
          </w:p>
          <w:p w14:paraId="5AF2F02A" w14:textId="3D78CE6B" w:rsidR="00DA7076" w:rsidRDefault="00282264" w:rsidP="008300EB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4</w:t>
            </w:r>
            <w:r w:rsidR="00785E55">
              <w:t>-</w:t>
            </w:r>
            <w:r>
              <w:t>h</w:t>
            </w:r>
            <w:r w:rsidR="005B188A">
              <w:t xml:space="preserve"> LC</w:t>
            </w:r>
            <w:r w:rsidR="005B188A" w:rsidRPr="005B188A">
              <w:rPr>
                <w:vertAlign w:val="subscript"/>
              </w:rPr>
              <w:t>50</w:t>
            </w:r>
            <w:r w:rsidR="005B188A">
              <w:t xml:space="preserve"> of 5,200 ppm for mice and 4,000 ppm for rats</w:t>
            </w:r>
          </w:p>
          <w:p w14:paraId="1A6D153C" w14:textId="723585D0" w:rsidR="005B188A" w:rsidRDefault="006E69F7" w:rsidP="008300EB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Rats exposed at &gt;1,000 ppm 7</w:t>
            </w:r>
            <w:r w:rsidR="009F1312">
              <w:t xml:space="preserve"> </w:t>
            </w:r>
            <w:r>
              <w:t>h/d for 4 d showed CNS depression, including ataxia, somnolence and anaesthesia; effects diminished after repeated exposure suggesting tolerance development</w:t>
            </w:r>
          </w:p>
          <w:p w14:paraId="73F0E19F" w14:textId="72D6DCA2" w:rsidR="006E69F7" w:rsidRDefault="006E69F7" w:rsidP="008300EB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Fatty degeneration of the liver</w:t>
            </w:r>
            <w:r w:rsidR="00282264">
              <w:t xml:space="preserve"> in mice following a single 4</w:t>
            </w:r>
            <w:r w:rsidR="009F1312">
              <w:t xml:space="preserve"> </w:t>
            </w:r>
            <w:r w:rsidR="00282264">
              <w:t>h</w:t>
            </w:r>
            <w:r>
              <w:t xml:space="preserve"> exposure at 200, 400, 800 or 1,600 ppm</w:t>
            </w:r>
          </w:p>
          <w:p w14:paraId="34CE2876" w14:textId="37DB342E" w:rsidR="006E69F7" w:rsidRDefault="006E69F7" w:rsidP="008300EB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Fatty </w:t>
            </w:r>
            <w:r w:rsidR="00282264">
              <w:t xml:space="preserve">liver </w:t>
            </w:r>
            <w:r>
              <w:t>degeneration in mice exposed at 200 ppm 4 h/d, 6 d/</w:t>
            </w:r>
            <w:proofErr w:type="spellStart"/>
            <w:r>
              <w:t>wk</w:t>
            </w:r>
            <w:proofErr w:type="spellEnd"/>
            <w:r>
              <w:t xml:space="preserve"> for 1, 2, 4</w:t>
            </w:r>
            <w:r w:rsidR="00FC458D">
              <w:t xml:space="preserve"> </w:t>
            </w:r>
            <w:r>
              <w:t xml:space="preserve">or 8 </w:t>
            </w:r>
            <w:proofErr w:type="spellStart"/>
            <w:r>
              <w:t>wk</w:t>
            </w:r>
            <w:proofErr w:type="spellEnd"/>
          </w:p>
          <w:p w14:paraId="08FC60D6" w14:textId="6F6D8FF7" w:rsidR="006E69F7" w:rsidRDefault="00877ADA" w:rsidP="008300EB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Mice exposed at 9, 37, 75 or 150 ppm continuously for 30 d developed abnormal gross pathological appearance of the liver at all concentrations</w:t>
            </w:r>
          </w:p>
          <w:p w14:paraId="2ECBA8AC" w14:textId="1BA521B8" w:rsidR="007648EF" w:rsidRDefault="00B248F1" w:rsidP="008300EB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Some evidence of carcinogenicity in rats and mice</w:t>
            </w:r>
            <w:r w:rsidR="00787E9F">
              <w:t xml:space="preserve"> </w:t>
            </w:r>
            <w:r w:rsidR="00787E9F" w:rsidRPr="00785E55">
              <w:rPr>
                <w:i/>
              </w:rPr>
              <w:t>via</w:t>
            </w:r>
            <w:r w:rsidR="00787E9F">
              <w:t xml:space="preserve"> inhalation</w:t>
            </w:r>
            <w:r>
              <w:t>; disagreement in interpretation of the study; not considered relevant for human exposure</w:t>
            </w:r>
            <w:r w:rsidR="00282264">
              <w:t>.</w:t>
            </w:r>
          </w:p>
          <w:p w14:paraId="1DDADE9B" w14:textId="77777777" w:rsidR="00B344A2" w:rsidRDefault="00750BB0" w:rsidP="00B344A2">
            <w:pPr>
              <w:pStyle w:val="Tabletextprimarysource"/>
            </w:pPr>
            <w:r>
              <w:lastRenderedPageBreak/>
              <w:t>Insufficient evidence for a sensitiser or skin notation.</w:t>
            </w:r>
          </w:p>
          <w:p w14:paraId="44D459D6" w14:textId="714C796A" w:rsidR="009F1312" w:rsidRPr="00DA352E" w:rsidRDefault="009F1312" w:rsidP="00B344A2">
            <w:pPr>
              <w:pStyle w:val="Tabletextprimarysource"/>
            </w:pPr>
          </w:p>
        </w:tc>
      </w:tr>
      <w:tr w:rsidR="00C978F0" w:rsidRPr="00DA352E" w14:paraId="747F3168" w14:textId="77777777" w:rsidTr="008300EB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CB70672" w14:textId="25151E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75908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75908">
                  <w:t>MAK: 10 ppm (69 mg/m</w:t>
                </w:r>
                <w:r w:rsidR="00675908" w:rsidRPr="00675908">
                  <w:rPr>
                    <w:vertAlign w:val="superscript"/>
                  </w:rPr>
                  <w:t>3</w:t>
                </w:r>
                <w:r w:rsidR="00675908">
                  <w:t>)</w:t>
                </w:r>
              </w:sdtContent>
            </w:sdt>
          </w:p>
        </w:tc>
      </w:tr>
      <w:tr w:rsidR="00C978F0" w:rsidRPr="00DA352E" w14:paraId="1EB7C693" w14:textId="77777777" w:rsidTr="008300EB">
        <w:trPr>
          <w:gridAfter w:val="1"/>
          <w:wAfter w:w="8" w:type="pct"/>
        </w:trPr>
        <w:tc>
          <w:tcPr>
            <w:tcW w:w="4992" w:type="pct"/>
          </w:tcPr>
          <w:p w14:paraId="4DA0B20B" w14:textId="77777777" w:rsidR="002D6317" w:rsidRDefault="002D6317" w:rsidP="003365A5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>
              <w:t xml:space="preserve">MAK recommended to protect for 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neurotoxic, hepatotoxic and nephrotoxic effects. </w:t>
            </w:r>
          </w:p>
          <w:p w14:paraId="29EAFA48" w14:textId="5A4523DC" w:rsidR="00C978F0" w:rsidRDefault="002D6317" w:rsidP="003365A5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>
              <w:rPr>
                <w:rFonts w:cs="Arial"/>
                <w:color w:val="1C1D1E"/>
                <w:shd w:val="clear" w:color="auto" w:fill="FFFFFF"/>
              </w:rPr>
              <w:t>Carcinogenic effects observed in animal studies</w:t>
            </w:r>
            <w:r w:rsidR="00A577C2">
              <w:rPr>
                <w:rFonts w:cs="Arial"/>
                <w:color w:val="1C1D1E"/>
                <w:shd w:val="clear" w:color="auto" w:fill="FFFFFF"/>
              </w:rPr>
              <w:t>.</w:t>
            </w:r>
          </w:p>
          <w:p w14:paraId="4EE8F9DF" w14:textId="77777777" w:rsidR="002D6317" w:rsidRDefault="002D6317" w:rsidP="003365A5">
            <w:pPr>
              <w:pStyle w:val="Tabletextprimarysource"/>
              <w:rPr>
                <w:rFonts w:cs="Arial"/>
                <w:color w:val="1C1D1E"/>
                <w:shd w:val="clear" w:color="auto" w:fill="FFFFFF"/>
              </w:rPr>
            </w:pPr>
            <w:r>
              <w:rPr>
                <w:rFonts w:cs="Arial"/>
                <w:color w:val="1C1D1E"/>
                <w:shd w:val="clear" w:color="auto" w:fill="FFFFFF"/>
              </w:rPr>
              <w:t>Summary of additional data:</w:t>
            </w:r>
          </w:p>
          <w:p w14:paraId="449BD345" w14:textId="77777777" w:rsidR="002D6317" w:rsidRDefault="002D6317" w:rsidP="002D6317">
            <w:pPr>
              <w:pStyle w:val="Tabletextprimarysource"/>
            </w:pPr>
            <w:r>
              <w:t>Human data:</w:t>
            </w:r>
          </w:p>
          <w:p w14:paraId="2B390E28" w14:textId="1E3493D2" w:rsidR="00D84B1B" w:rsidRDefault="00D84B1B" w:rsidP="008300EB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MAK based on following:</w:t>
            </w:r>
          </w:p>
          <w:p w14:paraId="096C7333" w14:textId="26B93BD4" w:rsidR="002D6317" w:rsidRDefault="002D6317" w:rsidP="008300EB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NOAEC of 20 ppm for neurotoxicity; 4 males</w:t>
            </w:r>
            <w:r w:rsidR="00E64B90">
              <w:t>, 4 females</w:t>
            </w:r>
            <w:r>
              <w:t xml:space="preserve"> exposed at 0, 20</w:t>
            </w:r>
            <w:r w:rsidR="00E64B90">
              <w:t xml:space="preserve"> (males only)</w:t>
            </w:r>
            <w:r>
              <w:t>, 100 or 150 ppm</w:t>
            </w:r>
            <w:r w:rsidR="00E64B90">
              <w:t xml:space="preserve"> (males only) for 1, 3 or 7.5 h/d, 5 d/</w:t>
            </w:r>
            <w:proofErr w:type="spellStart"/>
            <w:r w:rsidR="00E64B90">
              <w:t>wk</w:t>
            </w:r>
            <w:proofErr w:type="spellEnd"/>
            <w:r w:rsidR="00E64B90">
              <w:t xml:space="preserve"> for 1 </w:t>
            </w:r>
            <w:proofErr w:type="spellStart"/>
            <w:r w:rsidR="00E64B90">
              <w:t>wk</w:t>
            </w:r>
            <w:proofErr w:type="spellEnd"/>
          </w:p>
          <w:p w14:paraId="04E7B090" w14:textId="77777777" w:rsidR="00C63229" w:rsidRPr="003E231A" w:rsidRDefault="007350BE" w:rsidP="008300EB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 xml:space="preserve">LOAEC of 50 ppm for </w:t>
            </w:r>
            <w:r w:rsidR="003E231A">
              <w:t xml:space="preserve">slight but 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significant effects on visually evoked potentials; 22 males exposed at 10 or 50 ppm for 4 h/d for 4 d; </w:t>
            </w:r>
            <w:r w:rsidR="003E231A">
              <w:rPr>
                <w:rFonts w:cs="Arial"/>
                <w:color w:val="1C1D1E"/>
                <w:shd w:val="clear" w:color="auto" w:fill="FFFFFF"/>
              </w:rPr>
              <w:t>10 ppm five times lower than LOAEC for only slight effects therefore not consider genuine NOAEC</w:t>
            </w:r>
          </w:p>
          <w:p w14:paraId="0CDE15C1" w14:textId="52733FD5" w:rsidR="003E231A" w:rsidRDefault="00D84B1B" w:rsidP="008300EB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no specific derivation of MAK of 10 ppm provided</w:t>
            </w:r>
          </w:p>
          <w:p w14:paraId="4C0A3A80" w14:textId="77777777" w:rsidR="00AE05E8" w:rsidRPr="00AE05E8" w:rsidRDefault="00AE05E8" w:rsidP="008300EB">
            <w:pPr>
              <w:pStyle w:val="ListBullet"/>
              <w:spacing w:before="60" w:after="60"/>
              <w:ind w:left="1080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Skin notation b</w:t>
            </w:r>
            <w:r w:rsidR="00C934C2">
              <w:rPr>
                <w:rFonts w:cs="Arial"/>
                <w:color w:val="1C1D1E"/>
                <w:shd w:val="clear" w:color="auto" w:fill="FFFFFF"/>
              </w:rPr>
              <w:t>ased on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following:</w:t>
            </w:r>
          </w:p>
          <w:p w14:paraId="0FA06CE1" w14:textId="479E0A25" w:rsidR="00C934C2" w:rsidRPr="008300EB" w:rsidRDefault="00C934C2" w:rsidP="008300EB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immersion of one thumb (</w:t>
            </w:r>
            <w:r w:rsidR="00BD0A9A">
              <w:rPr>
                <w:rFonts w:cs="Arial"/>
                <w:color w:val="1C1D1E"/>
                <w:shd w:val="clear" w:color="auto" w:fill="FFFFFF"/>
              </w:rPr>
              <w:t>≈</w:t>
            </w:r>
            <w:r>
              <w:rPr>
                <w:rFonts w:cs="Arial"/>
                <w:color w:val="1C1D1E"/>
                <w:shd w:val="clear" w:color="auto" w:fill="FFFFFF"/>
              </w:rPr>
              <w:t>20 cm</w:t>
            </w:r>
            <w:r>
              <w:rPr>
                <w:rFonts w:cs="Arial"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="00A577C2">
              <w:rPr>
                <w:rFonts w:cs="Arial"/>
                <w:color w:val="1C1D1E"/>
                <w:shd w:val="clear" w:color="auto" w:fill="FFFFFF"/>
              </w:rPr>
              <w:t>) for 30 min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, a concentration of 0.31 ppm was determined in exhaled air; </w:t>
            </w:r>
            <w:r w:rsidR="00AE05E8">
              <w:rPr>
                <w:rFonts w:cs="Arial"/>
                <w:color w:val="1C1D1E"/>
                <w:shd w:val="clear" w:color="auto" w:fill="FFFFFF"/>
              </w:rPr>
              <w:t>extrapolated to surface area of 2,000 cm</w:t>
            </w:r>
            <w:r w:rsidR="00AE05E8">
              <w:rPr>
                <w:rFonts w:cs="Arial"/>
                <w:color w:val="1C1D1E"/>
                <w:shd w:val="clear" w:color="auto" w:fill="FFFFFF"/>
                <w:vertAlign w:val="superscript"/>
              </w:rPr>
              <w:t>2</w:t>
            </w:r>
            <w:r w:rsidR="00AE05E8">
              <w:rPr>
                <w:rFonts w:cs="Arial"/>
                <w:color w:val="1C1D1E"/>
                <w:shd w:val="clear" w:color="auto" w:fill="FFFFFF"/>
              </w:rPr>
              <w:t xml:space="preserve"> (100 x more) results in 31 ppm exhaled; corresponding concentration in the air for absorption by inhalation only would be 60</w:t>
            </w:r>
            <w:r w:rsidR="00BD0A9A">
              <w:rPr>
                <w:rFonts w:cs="Arial"/>
                <w:color w:val="1C1D1E"/>
                <w:shd w:val="clear" w:color="auto" w:fill="FFFFFF"/>
              </w:rPr>
              <w:t>–</w:t>
            </w:r>
            <w:r w:rsidR="00AE05E8">
              <w:rPr>
                <w:rFonts w:cs="Arial"/>
                <w:color w:val="1C1D1E"/>
                <w:shd w:val="clear" w:color="auto" w:fill="FFFFFF"/>
              </w:rPr>
              <w:t>150 ppm</w:t>
            </w:r>
            <w:r w:rsidR="00F56228">
              <w:rPr>
                <w:rFonts w:cs="Arial"/>
                <w:color w:val="1C1D1E"/>
                <w:shd w:val="clear" w:color="auto" w:fill="FFFFFF"/>
              </w:rPr>
              <w:t xml:space="preserve"> (no derivation provided)</w:t>
            </w:r>
            <w:r w:rsidR="00A577C2">
              <w:rPr>
                <w:rFonts w:cs="Arial"/>
                <w:color w:val="1C1D1E"/>
                <w:shd w:val="clear" w:color="auto" w:fill="FFFFFF"/>
              </w:rPr>
              <w:t xml:space="preserve"> which is more than MAK.</w:t>
            </w:r>
          </w:p>
          <w:p w14:paraId="4E97557F" w14:textId="57D48934" w:rsidR="001641D8" w:rsidRPr="00DA352E" w:rsidRDefault="001641D8" w:rsidP="008300EB">
            <w:pPr>
              <w:pStyle w:val="ListBullet"/>
              <w:numPr>
                <w:ilvl w:val="0"/>
                <w:numId w:val="0"/>
              </w:numPr>
              <w:ind w:left="1440"/>
            </w:pPr>
          </w:p>
        </w:tc>
      </w:tr>
      <w:tr w:rsidR="00C978F0" w:rsidRPr="00DA352E" w14:paraId="26C90FEB" w14:textId="77777777" w:rsidTr="008300EB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B49BC4A" w14:textId="72A7109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675908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675908">
                  <w:t>TWA: 20 ppm (138 mg/m</w:t>
                </w:r>
                <w:r w:rsidR="00675908" w:rsidRPr="009639B7">
                  <w:rPr>
                    <w:vertAlign w:val="superscript"/>
                  </w:rPr>
                  <w:t>3</w:t>
                </w:r>
                <w:r w:rsidR="00675908">
                  <w:t xml:space="preserve">); </w:t>
                </w:r>
                <w:r w:rsidR="00A577C2">
                  <w:t>STEL</w:t>
                </w:r>
                <w:r w:rsidR="00675908">
                  <w:t>: 40 ppm (</w:t>
                </w:r>
                <w:r w:rsidR="009639B7">
                  <w:t>275 mg/m</w:t>
                </w:r>
                <w:r w:rsidR="009639B7" w:rsidRPr="009639B7">
                  <w:rPr>
                    <w:vertAlign w:val="superscript"/>
                  </w:rPr>
                  <w:t>3</w:t>
                </w:r>
                <w:r w:rsidR="009639B7">
                  <w:t>)</w:t>
                </w:r>
              </w:sdtContent>
            </w:sdt>
          </w:p>
        </w:tc>
      </w:tr>
      <w:tr w:rsidR="00C978F0" w:rsidRPr="00DA352E" w14:paraId="2E357483" w14:textId="77777777" w:rsidTr="008300EB">
        <w:trPr>
          <w:gridAfter w:val="1"/>
          <w:wAfter w:w="8" w:type="pct"/>
        </w:trPr>
        <w:tc>
          <w:tcPr>
            <w:tcW w:w="4992" w:type="pct"/>
          </w:tcPr>
          <w:p w14:paraId="720DF6F4" w14:textId="60E0129C" w:rsidR="00C978F0" w:rsidRDefault="0050329A" w:rsidP="003365A5">
            <w:pPr>
              <w:pStyle w:val="Tabletextprimarysource"/>
            </w:pPr>
            <w:r>
              <w:t>TWA recommended based on studies</w:t>
            </w:r>
            <w:r w:rsidR="00DC7885">
              <w:t xml:space="preserve"> in humans and animals involving liver, kidney, lung and CNS effects.</w:t>
            </w:r>
          </w:p>
          <w:p w14:paraId="2690B9AC" w14:textId="77777777" w:rsidR="00DC7885" w:rsidRDefault="00DC7885" w:rsidP="003365A5">
            <w:pPr>
              <w:pStyle w:val="Tabletextprimarysource"/>
            </w:pPr>
            <w:r>
              <w:t>STEL is recommended to protect for CNS effects from short-term exposures.</w:t>
            </w:r>
          </w:p>
          <w:p w14:paraId="319B0D46" w14:textId="77777777" w:rsidR="00DC7885" w:rsidRDefault="00DC7885" w:rsidP="003365A5">
            <w:pPr>
              <w:pStyle w:val="Tabletextprimarysource"/>
            </w:pPr>
            <w:r>
              <w:t>Summary of additional data:</w:t>
            </w:r>
          </w:p>
          <w:p w14:paraId="6FE62710" w14:textId="6BD8873A" w:rsidR="00DC7885" w:rsidRDefault="001D06AE" w:rsidP="003365A5">
            <w:pPr>
              <w:pStyle w:val="Tabletextprimarysource"/>
            </w:pPr>
            <w:r>
              <w:t>Basis for TWA</w:t>
            </w:r>
          </w:p>
          <w:p w14:paraId="46CAAB7B" w14:textId="461C5501" w:rsidR="00AC08EA" w:rsidRDefault="00AC08EA" w:rsidP="008300EB">
            <w:pPr>
              <w:pStyle w:val="ListBullet"/>
              <w:spacing w:before="60" w:after="60"/>
              <w:ind w:left="1080"/>
              <w:contextualSpacing w:val="0"/>
            </w:pPr>
            <w:r>
              <w:t>Considers the following human and animal evidence as</w:t>
            </w:r>
            <w:r w:rsidR="002E0421">
              <w:t xml:space="preserve"> </w:t>
            </w:r>
            <w:r w:rsidR="00E47C95">
              <w:t>enough</w:t>
            </w:r>
            <w:r w:rsidR="002E0421">
              <w:t xml:space="preserve"> to recommend a TWA of 20 ppm; no specific derivation provided</w:t>
            </w:r>
          </w:p>
          <w:p w14:paraId="2CFF755B" w14:textId="003F3506" w:rsidR="003F313E" w:rsidRDefault="003F313E" w:rsidP="008300EB">
            <w:pPr>
              <w:pStyle w:val="ListBullet"/>
              <w:spacing w:before="60" w:after="60"/>
              <w:ind w:left="1080"/>
              <w:contextualSpacing w:val="0"/>
            </w:pPr>
            <w:r>
              <w:t>No clear evidence from studies in humans for repeated dose effects</w:t>
            </w:r>
            <w:r w:rsidR="009632F9">
              <w:t xml:space="preserve"> (liver, kidney, CNS)</w:t>
            </w:r>
            <w:r>
              <w:t xml:space="preserve"> at exposure concentrations</w:t>
            </w:r>
            <w:r w:rsidR="00A64D6C">
              <w:t xml:space="preserve"> up to 25 ppm</w:t>
            </w:r>
            <w:r>
              <w:t xml:space="preserve">; </w:t>
            </w:r>
            <w:r w:rsidR="00A4490B">
              <w:t>taken as NOAEC</w:t>
            </w:r>
            <w:r>
              <w:t xml:space="preserve">; based on following: </w:t>
            </w:r>
          </w:p>
          <w:p w14:paraId="5DFFEA63" w14:textId="393B3584" w:rsidR="00DC7885" w:rsidRDefault="003F313E" w:rsidP="008300EB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study finding no effects on the frequency of subjective symptoms, psychomotor test results and markers of liver and kidney to</w:t>
            </w:r>
            <w:r w:rsidR="00A64D6C">
              <w:t>xicity in dry</w:t>
            </w:r>
            <w:r w:rsidR="00785E55">
              <w:t xml:space="preserve"> </w:t>
            </w:r>
            <w:r w:rsidR="00A64D6C">
              <w:t>cleaners with 6-y exposure at 21 ppm</w:t>
            </w:r>
            <w:r>
              <w:t xml:space="preserve"> (</w:t>
            </w:r>
            <w:r w:rsidR="00A64D6C">
              <w:t>mean 8-h</w:t>
            </w:r>
            <w:r w:rsidR="009632F9">
              <w:t xml:space="preserve"> </w:t>
            </w:r>
            <w:r>
              <w:t>TWA) compared with an unexposed control group</w:t>
            </w:r>
          </w:p>
          <w:p w14:paraId="3BBA240C" w14:textId="75297A94" w:rsidR="003F313E" w:rsidRDefault="00DD3122" w:rsidP="008300EB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No</w:t>
            </w:r>
            <w:r w:rsidR="009632F9">
              <w:t xml:space="preserve"> </w:t>
            </w:r>
            <w:r w:rsidR="003F313E">
              <w:t xml:space="preserve">clear evidence for liver toxicity at exposure concentrations </w:t>
            </w:r>
            <w:r w:rsidR="00A64D6C">
              <w:t xml:space="preserve">&lt;50 ppm </w:t>
            </w:r>
            <w:r w:rsidR="009632F9">
              <w:t>mean 8-h TWA</w:t>
            </w:r>
          </w:p>
          <w:p w14:paraId="37B59A0F" w14:textId="531075D7" w:rsidR="003F313E" w:rsidRDefault="009632F9" w:rsidP="008300EB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n</w:t>
            </w:r>
            <w:r w:rsidR="003F313E">
              <w:t>o convincing evidence for kidney toxicity at mean exposure levels in the range 1.2</w:t>
            </w:r>
            <w:r w:rsidR="00A64D6C">
              <w:t xml:space="preserve">–23 ppm </w:t>
            </w:r>
          </w:p>
          <w:p w14:paraId="034A08E3" w14:textId="199FA2EE" w:rsidR="003F313E" w:rsidRDefault="009632F9" w:rsidP="008300EB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no</w:t>
            </w:r>
            <w:r w:rsidR="003F313E">
              <w:t xml:space="preserve"> clear association between </w:t>
            </w:r>
            <w:proofErr w:type="spellStart"/>
            <w:r w:rsidR="003F313E">
              <w:t>neurobehavioural</w:t>
            </w:r>
            <w:proofErr w:type="spellEnd"/>
            <w:r w:rsidR="003F313E">
              <w:t>/neurological deficits and repeated exposure in the workplace (</w:t>
            </w:r>
            <w:r w:rsidR="00E47C95">
              <w:t>dry cleaners</w:t>
            </w:r>
            <w:r w:rsidR="003F313E">
              <w:t xml:space="preserve">) at </w:t>
            </w:r>
            <w:r>
              <w:rPr>
                <w:rFonts w:cs="Arial"/>
              </w:rPr>
              <w:t>≤</w:t>
            </w:r>
            <w:r w:rsidR="00A64D6C">
              <w:t xml:space="preserve">67 ppm for 10 </w:t>
            </w:r>
            <w:proofErr w:type="spellStart"/>
            <w:r w:rsidR="00E47C95">
              <w:t>yr</w:t>
            </w:r>
            <w:proofErr w:type="spellEnd"/>
            <w:r w:rsidR="00E47C95">
              <w:t xml:space="preserve"> </w:t>
            </w:r>
            <w:r w:rsidR="003F313E">
              <w:t xml:space="preserve">or in volunteers at concentrations </w:t>
            </w:r>
            <w:r>
              <w:rPr>
                <w:rFonts w:cs="Arial"/>
              </w:rPr>
              <w:t>≤</w:t>
            </w:r>
            <w:r w:rsidR="00A64D6C">
              <w:t>150 ppm</w:t>
            </w:r>
            <w:r>
              <w:t xml:space="preserve"> exposed for 7.5 h/d for 5</w:t>
            </w:r>
            <w:r w:rsidR="00243629">
              <w:t> </w:t>
            </w:r>
            <w:r>
              <w:t>d</w:t>
            </w:r>
          </w:p>
          <w:p w14:paraId="01AC9CFA" w14:textId="70C8A999" w:rsidR="00AC08EA" w:rsidRDefault="00AC08EA" w:rsidP="008300EB">
            <w:pPr>
              <w:pStyle w:val="ListBullet"/>
              <w:tabs>
                <w:tab w:val="clear" w:pos="360"/>
              </w:tabs>
              <w:spacing w:before="60" w:after="60"/>
              <w:ind w:left="1080" w:hanging="349"/>
              <w:contextualSpacing w:val="0"/>
            </w:pPr>
            <w:r>
              <w:t xml:space="preserve">NOAEC </w:t>
            </w:r>
            <w:r w:rsidR="00F02FC5">
              <w:t xml:space="preserve">of 20 ppm </w:t>
            </w:r>
            <w:r>
              <w:t>in humans for effects on the CNS; based on summarise</w:t>
            </w:r>
            <w:r w:rsidR="00A64D6C">
              <w:t>d</w:t>
            </w:r>
            <w:r>
              <w:t xml:space="preserve"> review of multiple human volunteer studies</w:t>
            </w:r>
          </w:p>
          <w:p w14:paraId="16E5D8CB" w14:textId="57B3196F" w:rsidR="00EB428B" w:rsidRDefault="00EB428B" w:rsidP="008300EB">
            <w:pPr>
              <w:pStyle w:val="ListBullet"/>
              <w:tabs>
                <w:tab w:val="clear" w:pos="360"/>
              </w:tabs>
              <w:spacing w:before="60" w:after="60"/>
              <w:ind w:left="1080" w:hanging="349"/>
              <w:contextualSpacing w:val="0"/>
            </w:pPr>
            <w:r>
              <w:t>In r</w:t>
            </w:r>
            <w:r w:rsidR="00A64D6C">
              <w:t>ats and mice: LOAEC of 100 ppm for kidney damage; 2</w:t>
            </w:r>
            <w:r w:rsidR="009F1312">
              <w:t xml:space="preserve"> </w:t>
            </w:r>
            <w:r w:rsidR="00A64D6C">
              <w:t>y</w:t>
            </w:r>
            <w:r>
              <w:t xml:space="preserve"> exposure 6</w:t>
            </w:r>
            <w:r w:rsidR="00243629">
              <w:t> </w:t>
            </w:r>
            <w:r>
              <w:t>h/d, 5 d/</w:t>
            </w:r>
            <w:proofErr w:type="spellStart"/>
            <w:r>
              <w:t>wk</w:t>
            </w:r>
            <w:proofErr w:type="spellEnd"/>
          </w:p>
          <w:p w14:paraId="49C1ECC3" w14:textId="12FC9625" w:rsidR="005A587F" w:rsidRDefault="00EB428B" w:rsidP="008300EB">
            <w:pPr>
              <w:pStyle w:val="ListBullet"/>
              <w:tabs>
                <w:tab w:val="clear" w:pos="360"/>
              </w:tabs>
              <w:spacing w:before="60" w:after="60"/>
              <w:ind w:left="1080" w:hanging="349"/>
              <w:contextualSpacing w:val="0"/>
            </w:pPr>
            <w:r>
              <w:t xml:space="preserve">Congestion of the lungs </w:t>
            </w:r>
            <w:r w:rsidR="00A64D6C">
              <w:t>in mice following 2</w:t>
            </w:r>
            <w:r w:rsidR="009F1312">
              <w:t xml:space="preserve"> </w:t>
            </w:r>
            <w:r w:rsidR="00A64D6C">
              <w:t>y</w:t>
            </w:r>
            <w:r w:rsidR="00A87741">
              <w:t xml:space="preserve"> </w:t>
            </w:r>
            <w:r>
              <w:t>ex</w:t>
            </w:r>
            <w:r w:rsidR="00A64D6C">
              <w:t>posure at ≥100 ppm</w:t>
            </w:r>
            <w:r w:rsidR="00A87741">
              <w:t>; consider</w:t>
            </w:r>
            <w:r w:rsidR="00AC08EA">
              <w:t>ed</w:t>
            </w:r>
            <w:r w:rsidR="00A87741">
              <w:t xml:space="preserve"> LOAEC for effects in lungs</w:t>
            </w:r>
            <w:r w:rsidR="00A64D6C">
              <w:t>.</w:t>
            </w:r>
            <w:r w:rsidR="005A587F">
              <w:t xml:space="preserve"> </w:t>
            </w:r>
          </w:p>
          <w:p w14:paraId="068B2C70" w14:textId="114C050A" w:rsidR="009632F9" w:rsidRDefault="005A587F" w:rsidP="008300EB">
            <w:pPr>
              <w:pStyle w:val="ListBullet"/>
              <w:tabs>
                <w:tab w:val="clear" w:pos="360"/>
              </w:tabs>
              <w:spacing w:before="60" w:after="60"/>
              <w:ind w:left="1080" w:hanging="349"/>
              <w:contextualSpacing w:val="0"/>
            </w:pPr>
            <w:r>
              <w:t>Dermal</w:t>
            </w:r>
            <w:r w:rsidRPr="00F4148B">
              <w:t xml:space="preserve"> exposure of both hands and lower arms (2</w:t>
            </w:r>
            <w:r>
              <w:t>,</w:t>
            </w:r>
            <w:r w:rsidRPr="00F4148B">
              <w:t>000 cm</w:t>
            </w:r>
            <w:r w:rsidRPr="005A587F">
              <w:rPr>
                <w:vertAlign w:val="superscript"/>
              </w:rPr>
              <w:t>2</w:t>
            </w:r>
            <w:r w:rsidRPr="00F4148B">
              <w:t xml:space="preserve">) for </w:t>
            </w:r>
            <w:r>
              <w:t>1 h</w:t>
            </w:r>
            <w:r w:rsidRPr="00F4148B">
              <w:t xml:space="preserve"> expected to contribute more than 10% to the systemic dos</w:t>
            </w:r>
            <w:r>
              <w:t>e, risk of exposure in common workplace activities basis for skin notation.</w:t>
            </w:r>
          </w:p>
          <w:p w14:paraId="2E54FE09" w14:textId="77777777" w:rsidR="003F313E" w:rsidRDefault="001D06AE" w:rsidP="001D06AE">
            <w:pPr>
              <w:pStyle w:val="Tabletextprimarysource"/>
            </w:pPr>
            <w:r>
              <w:lastRenderedPageBreak/>
              <w:t>Basis for STEL</w:t>
            </w:r>
          </w:p>
          <w:p w14:paraId="1749181B" w14:textId="77777777" w:rsidR="001D06AE" w:rsidRDefault="00A64D6C" w:rsidP="008300EB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Short-term LOAEC of 218 ppm and NOAEC of 109 ppm </w:t>
            </w:r>
            <w:r w:rsidR="001D06AE">
              <w:t>based on summarised short-term studies in volunteers; cited by ACGIH (2018)</w:t>
            </w:r>
            <w:r>
              <w:t xml:space="preserve"> as 216 ppm. </w:t>
            </w:r>
          </w:p>
          <w:p w14:paraId="0A746438" w14:textId="3D163056" w:rsidR="001641D8" w:rsidRPr="00DA352E" w:rsidRDefault="001641D8" w:rsidP="008300EB">
            <w:pPr>
              <w:pStyle w:val="ListBullet"/>
              <w:numPr>
                <w:ilvl w:val="0"/>
                <w:numId w:val="0"/>
              </w:numPr>
              <w:spacing w:before="60" w:after="60"/>
              <w:ind w:left="1077"/>
              <w:contextualSpacing w:val="0"/>
            </w:pPr>
          </w:p>
        </w:tc>
      </w:tr>
      <w:tr w:rsidR="00DA352E" w:rsidRPr="00DA352E" w14:paraId="11F63A14" w14:textId="77777777" w:rsidTr="008300EB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3C399F5" w14:textId="0CE4C3B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639B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9639B7">
                  <w:t>NA</w:t>
                </w:r>
                <w:proofErr w:type="spellEnd"/>
              </w:sdtContent>
            </w:sdt>
          </w:p>
        </w:tc>
      </w:tr>
      <w:tr w:rsidR="00DA352E" w:rsidRPr="00DA352E" w14:paraId="6C7469F2" w14:textId="77777777" w:rsidTr="008300EB">
        <w:trPr>
          <w:gridAfter w:val="1"/>
          <w:wAfter w:w="8" w:type="pct"/>
        </w:trPr>
        <w:tc>
          <w:tcPr>
            <w:tcW w:w="4992" w:type="pct"/>
          </w:tcPr>
          <w:p w14:paraId="2E1EBE39" w14:textId="0632DD14" w:rsidR="00DA352E" w:rsidRPr="00DA352E" w:rsidRDefault="009639B7" w:rsidP="003365A5">
            <w:pPr>
              <w:pStyle w:val="Tabletextprimarysource"/>
            </w:pPr>
            <w:r>
              <w:t>No report</w:t>
            </w:r>
            <w:r w:rsidR="00A64D6C">
              <w:t>.</w:t>
            </w:r>
          </w:p>
        </w:tc>
      </w:tr>
      <w:tr w:rsidR="00DA352E" w:rsidRPr="00DA352E" w14:paraId="382641D2" w14:textId="77777777" w:rsidTr="008300EB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9114F91" w14:textId="7B725D9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639B7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A64D6C">
                  <w:t>TWA</w:t>
                </w:r>
                <w:r w:rsidR="009639B7">
                  <w:t>: 35 ppm (240 mg/m</w:t>
                </w:r>
                <w:r w:rsidR="009639B7" w:rsidRPr="00514D6C">
                  <w:rPr>
                    <w:vertAlign w:val="superscript"/>
                  </w:rPr>
                  <w:t>3</w:t>
                </w:r>
                <w:r w:rsidR="009639B7">
                  <w:t>)</w:t>
                </w:r>
              </w:sdtContent>
            </w:sdt>
          </w:p>
        </w:tc>
      </w:tr>
      <w:tr w:rsidR="00DA352E" w:rsidRPr="00DA352E" w14:paraId="6143B7D3" w14:textId="77777777" w:rsidTr="008300EB">
        <w:trPr>
          <w:gridAfter w:val="1"/>
          <w:wAfter w:w="8" w:type="pct"/>
        </w:trPr>
        <w:tc>
          <w:tcPr>
            <w:tcW w:w="4992" w:type="pct"/>
          </w:tcPr>
          <w:p w14:paraId="459BB873" w14:textId="1A08AA46" w:rsidR="00DA352E" w:rsidRDefault="00514D6C" w:rsidP="003365A5">
            <w:pPr>
              <w:pStyle w:val="Tabletextprimarysource"/>
            </w:pPr>
            <w:r>
              <w:t>Recommends an updated health-based OEL of 20 ppm (138 mg/m</w:t>
            </w:r>
            <w:r>
              <w:rPr>
                <w:vertAlign w:val="superscript"/>
              </w:rPr>
              <w:t>3</w:t>
            </w:r>
            <w:r w:rsidR="00A64D6C">
              <w:t xml:space="preserve">) </w:t>
            </w:r>
            <w:r>
              <w:t>TWA</w:t>
            </w:r>
            <w:r w:rsidR="00A64D6C">
              <w:t>.</w:t>
            </w:r>
          </w:p>
          <w:p w14:paraId="0AE3CAFB" w14:textId="77777777" w:rsidR="00514D6C" w:rsidRDefault="00514D6C" w:rsidP="003365A5">
            <w:pPr>
              <w:pStyle w:val="Tabletextprimarysource"/>
            </w:pPr>
            <w:r>
              <w:t>Summary of additional data:</w:t>
            </w:r>
          </w:p>
          <w:p w14:paraId="6387EE99" w14:textId="409E1FAA" w:rsidR="00514D6C" w:rsidRDefault="00514D6C" w:rsidP="008300EB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Experimental animals (especially mice) have a specifically high sensitivity to the hepatotoxic effects following exposure; differences between humans and experimental animal regarding biotransformation in case of nephrotoxicity deem evidence in animals as inadequate; considers neurotoxicity most sensitive and relative effects to derive TWA</w:t>
            </w:r>
          </w:p>
          <w:p w14:paraId="5EE1487D" w14:textId="78C38F49" w:rsidR="00394C8A" w:rsidRDefault="00394C8A" w:rsidP="008300EB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Based on available human database</w:t>
            </w:r>
            <w:r w:rsidR="00A64D6C">
              <w:t xml:space="preserve"> concludes an LOAEC of 100 ppm</w:t>
            </w:r>
            <w:r>
              <w:t xml:space="preserve"> for neurotoxicity; no specific </w:t>
            </w:r>
            <w:r w:rsidR="00E47C95">
              <w:t xml:space="preserve">explanation </w:t>
            </w:r>
            <w:r>
              <w:t>provided</w:t>
            </w:r>
          </w:p>
          <w:p w14:paraId="0365B106" w14:textId="77777777" w:rsidR="00394C8A" w:rsidRDefault="00394C8A" w:rsidP="008300EB">
            <w:pPr>
              <w:pStyle w:val="ListBullet"/>
              <w:spacing w:before="60" w:after="60"/>
              <w:ind w:left="1080" w:hanging="357"/>
              <w:contextualSpacing w:val="0"/>
            </w:pPr>
            <w:r w:rsidRPr="00F02FC5">
              <w:t xml:space="preserve">Dismisses the LOAEC of 50 ppm for slight </w:t>
            </w:r>
            <w:r w:rsidRPr="00F02FC5">
              <w:rPr>
                <w:rFonts w:cs="Arial"/>
                <w:shd w:val="clear" w:color="auto" w:fill="FFFFFF"/>
              </w:rPr>
              <w:t xml:space="preserve">visually evoked potentials in humans (cited by DFG, 2017) </w:t>
            </w:r>
            <w:r>
              <w:t>due to methodological shortcomings in the study</w:t>
            </w:r>
          </w:p>
          <w:p w14:paraId="7B07B889" w14:textId="7509310A" w:rsidR="00394C8A" w:rsidRDefault="00394C8A" w:rsidP="008300EB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Transient eye, nose an</w:t>
            </w:r>
            <w:r w:rsidR="00A64D6C">
              <w:t xml:space="preserve">d throat irritation at 100 ppm </w:t>
            </w:r>
          </w:p>
          <w:p w14:paraId="683EC0C5" w14:textId="77777777" w:rsidR="00F015F7" w:rsidRDefault="00F015F7" w:rsidP="008300EB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Derivation of recommended OEL TWA</w:t>
            </w:r>
          </w:p>
          <w:p w14:paraId="0D589C78" w14:textId="77777777" w:rsidR="00394C8A" w:rsidRDefault="00A64D6C" w:rsidP="008300EB">
            <w:pPr>
              <w:pStyle w:val="ListBullet"/>
              <w:numPr>
                <w:ilvl w:val="0"/>
                <w:numId w:val="6"/>
              </w:numPr>
              <w:spacing w:before="60" w:after="60"/>
              <w:ind w:hanging="357"/>
              <w:contextualSpacing w:val="0"/>
            </w:pPr>
            <w:r>
              <w:t>a</w:t>
            </w:r>
            <w:r w:rsidR="00394C8A">
              <w:t>pplies a safety factor of 5 to the human LOAEC of 100 ppm for neurotoxicity to extrapolate from LOAEL</w:t>
            </w:r>
            <w:r w:rsidR="006166C3">
              <w:t xml:space="preserve"> and to account for inconclusive evidence for some minor neurological effects below LOAEL; no further information</w:t>
            </w:r>
            <w:r w:rsidR="00F015F7">
              <w:t>.</w:t>
            </w:r>
          </w:p>
          <w:p w14:paraId="2EB7EE75" w14:textId="29ADD888" w:rsidR="00BD0A9A" w:rsidRPr="00514D6C" w:rsidRDefault="00BD0A9A" w:rsidP="008300EB">
            <w:pPr>
              <w:pStyle w:val="ListBullet"/>
              <w:numPr>
                <w:ilvl w:val="0"/>
                <w:numId w:val="0"/>
              </w:numPr>
              <w:spacing w:before="60" w:after="60"/>
              <w:ind w:left="1440"/>
              <w:contextualSpacing w:val="0"/>
            </w:pPr>
          </w:p>
        </w:tc>
      </w:tr>
    </w:tbl>
    <w:p w14:paraId="7DEFF1C4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89"/>
        <w:gridCol w:w="423"/>
        <w:gridCol w:w="661"/>
        <w:gridCol w:w="6453"/>
      </w:tblGrid>
      <w:tr w:rsidR="004966BF" w:rsidRPr="00263255" w14:paraId="19579FE7" w14:textId="77777777" w:rsidTr="00F015F7">
        <w:trPr>
          <w:cantSplit/>
          <w:trHeight w:val="393"/>
          <w:tblHeader/>
        </w:trPr>
        <w:tc>
          <w:tcPr>
            <w:tcW w:w="1489" w:type="dxa"/>
            <w:shd w:val="clear" w:color="auto" w:fill="BFBFBF" w:themeFill="background1" w:themeFillShade="BF"/>
            <w:vAlign w:val="center"/>
          </w:tcPr>
          <w:p w14:paraId="791ADD6B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6AD3D65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F191859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3" w:type="dxa"/>
            <w:shd w:val="clear" w:color="auto" w:fill="BFBFBF" w:themeFill="background1" w:themeFillShade="BF"/>
            <w:vAlign w:val="center"/>
          </w:tcPr>
          <w:p w14:paraId="50C7BAD7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3D70BD5" w14:textId="77777777" w:rsidTr="00F015F7">
        <w:trPr>
          <w:cantSplit/>
        </w:trPr>
        <w:tc>
          <w:tcPr>
            <w:tcW w:w="1489" w:type="dxa"/>
          </w:tcPr>
          <w:p w14:paraId="0398B43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1445B677" w14:textId="53F93921" w:rsidR="004966BF" w:rsidRPr="00CE617F" w:rsidRDefault="0037735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466A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175A499" w14:textId="2FB17710" w:rsidR="004966BF" w:rsidRPr="004C23F4" w:rsidRDefault="003466A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2001</w:t>
            </w:r>
          </w:p>
        </w:tc>
        <w:tc>
          <w:tcPr>
            <w:tcW w:w="6453" w:type="dxa"/>
          </w:tcPr>
          <w:p w14:paraId="7DDAC48C" w14:textId="27D8CEC3" w:rsidR="00243629" w:rsidRDefault="00243629" w:rsidP="008300EB">
            <w:pPr>
              <w:pStyle w:val="ListBullet"/>
              <w:spacing w:before="60" w:after="60"/>
              <w:ind w:left="1077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Low acute toxicity in humans</w:t>
            </w:r>
          </w:p>
          <w:p w14:paraId="4380E5AF" w14:textId="36FA071D" w:rsidR="00F015F7" w:rsidRDefault="00F015F7" w:rsidP="008300EB">
            <w:pPr>
              <w:pStyle w:val="ListBullet"/>
              <w:spacing w:before="60" w:after="60"/>
              <w:ind w:left="107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>Acute exposure at &gt;2,000 ppm has resulted in collapse, coma and seizures</w:t>
            </w:r>
          </w:p>
          <w:p w14:paraId="39DBD88C" w14:textId="30EFBB0D" w:rsidR="00243629" w:rsidRPr="00243629" w:rsidRDefault="00243629" w:rsidP="008300EB">
            <w:pPr>
              <w:pStyle w:val="ListBullet"/>
              <w:spacing w:before="60" w:after="60"/>
              <w:ind w:left="1077" w:hanging="357"/>
              <w:contextualSpacing w:val="0"/>
              <w:rPr>
                <w:rFonts w:cs="Arial"/>
              </w:rPr>
            </w:pPr>
            <w:r>
              <w:t xml:space="preserve">Reports of dizziness, mood changes, faintness, headache or nausea reported at concentrations </w:t>
            </w:r>
            <w:r w:rsidR="00A64D6C">
              <w:t>&gt;</w:t>
            </w:r>
            <w:r>
              <w:t>100 ppm at various exposure durations; no further details</w:t>
            </w:r>
          </w:p>
          <w:p w14:paraId="5AF441C1" w14:textId="11FD442B" w:rsidR="00243629" w:rsidRDefault="00243629" w:rsidP="008300EB">
            <w:pPr>
              <w:pStyle w:val="ListBullet"/>
              <w:spacing w:before="60" w:after="60"/>
              <w:ind w:left="107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 xml:space="preserve">Respiratory irritation observed in </w:t>
            </w:r>
            <w:r w:rsidR="00A64D6C">
              <w:t>humans exposed at &gt;</w:t>
            </w:r>
            <w:r>
              <w:t>216 ppm</w:t>
            </w:r>
          </w:p>
          <w:p w14:paraId="29386713" w14:textId="67B3EAE2" w:rsidR="004966BF" w:rsidRPr="004C23F4" w:rsidRDefault="00BA50B0" w:rsidP="008300EB">
            <w:pPr>
              <w:pStyle w:val="ListBullet"/>
              <w:spacing w:before="60" w:after="60"/>
              <w:ind w:left="1077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Rodents</w:t>
            </w:r>
            <w:r w:rsidR="00243629" w:rsidRPr="00243629">
              <w:rPr>
                <w:rStyle w:val="checkbox"/>
                <w:rFonts w:ascii="Arial" w:hAnsi="Arial" w:cs="Arial"/>
              </w:rPr>
              <w:t xml:space="preserve"> not considered an appropriate model for humans because </w:t>
            </w:r>
            <w:r w:rsidR="00A64D6C">
              <w:rPr>
                <w:rStyle w:val="checkbox"/>
                <w:rFonts w:ascii="Arial" w:hAnsi="Arial" w:cs="Arial"/>
              </w:rPr>
              <w:t xml:space="preserve">of </w:t>
            </w:r>
            <w:r w:rsidR="00243629" w:rsidRPr="00243629">
              <w:rPr>
                <w:rStyle w:val="checkbox"/>
                <w:rFonts w:ascii="Arial" w:hAnsi="Arial" w:cs="Arial"/>
              </w:rPr>
              <w:t>dif</w:t>
            </w:r>
            <w:r w:rsidR="00A64D6C">
              <w:rPr>
                <w:rStyle w:val="checkbox"/>
                <w:rFonts w:ascii="Arial" w:hAnsi="Arial" w:cs="Arial"/>
              </w:rPr>
              <w:t>ferences in rates of metabolism.</w:t>
            </w:r>
          </w:p>
        </w:tc>
      </w:tr>
      <w:tr w:rsidR="004966BF" w:rsidRPr="004C23F4" w14:paraId="53BCE800" w14:textId="77777777" w:rsidTr="00F015F7">
        <w:trPr>
          <w:cantSplit/>
        </w:trPr>
        <w:tc>
          <w:tcPr>
            <w:tcW w:w="1489" w:type="dxa"/>
          </w:tcPr>
          <w:p w14:paraId="3DF9A220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2CCD7C2B" w14:textId="26B3A352" w:rsidR="004966BF" w:rsidRPr="00CE617F" w:rsidRDefault="0037735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015F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2214F97" w14:textId="77777777" w:rsidR="004966BF" w:rsidRPr="004C23F4" w:rsidRDefault="004966B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</w:p>
        </w:tc>
        <w:tc>
          <w:tcPr>
            <w:tcW w:w="6453" w:type="dxa"/>
          </w:tcPr>
          <w:p w14:paraId="32F7491F" w14:textId="5CF53BD5" w:rsidR="004966BF" w:rsidRPr="004C23F4" w:rsidRDefault="00F015F7" w:rsidP="008300EB">
            <w:pPr>
              <w:pStyle w:val="ListBullet"/>
              <w:spacing w:before="60" w:after="60"/>
              <w:ind w:left="1077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t>There is limited evidence in humans but sufficient evidence in experimental animals for the carcinogenicity</w:t>
            </w:r>
            <w:r w:rsidR="00A64D6C">
              <w:t>.</w:t>
            </w:r>
          </w:p>
        </w:tc>
      </w:tr>
    </w:tbl>
    <w:bookmarkEnd w:id="0"/>
    <w:p w14:paraId="6DFB669F" w14:textId="77777777" w:rsidR="007E2A4B" w:rsidRDefault="007E2A4B" w:rsidP="008300EB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550D2666" w14:textId="77777777" w:rsidTr="0000109C">
        <w:trPr>
          <w:trHeight w:val="454"/>
          <w:tblHeader/>
        </w:trPr>
        <w:tc>
          <w:tcPr>
            <w:tcW w:w="6603" w:type="dxa"/>
            <w:vAlign w:val="center"/>
          </w:tcPr>
          <w:p w14:paraId="609CCD82" w14:textId="77777777" w:rsidR="002E0D61" w:rsidRDefault="00B1422A" w:rsidP="008300EB">
            <w:pPr>
              <w:pStyle w:val="Tablefont"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A84D5DB" w14:textId="482293D0" w:rsidR="002E0D61" w:rsidRDefault="0000109C" w:rsidP="008300EB">
                <w:pPr>
                  <w:pStyle w:val="Tablefont"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27F623EA" w14:textId="77777777" w:rsidTr="0000109C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25AC53D" w14:textId="4CF28CFA" w:rsidR="008A36CF" w:rsidRPr="006901A2" w:rsidRDefault="0000109C" w:rsidP="008300EB">
                <w:pPr>
                  <w:pStyle w:val="Tablefont"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F4D6A5D" w14:textId="77777777" w:rsidR="008A36CF" w:rsidRDefault="008A36CF" w:rsidP="008300EB">
            <w:pPr>
              <w:pStyle w:val="Tablefont"/>
              <w:spacing w:before="40" w:after="40"/>
            </w:pPr>
          </w:p>
        </w:tc>
      </w:tr>
    </w:tbl>
    <w:bookmarkEnd w:id="1"/>
    <w:p w14:paraId="2922EA35" w14:textId="77777777" w:rsidR="00687890" w:rsidRPr="004C23F4" w:rsidRDefault="00B479A9" w:rsidP="00474E33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9517323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B7FC753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00E8D5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4D8546E" w14:textId="77777777" w:rsidTr="00812887">
        <w:trPr>
          <w:cantSplit/>
        </w:trPr>
        <w:tc>
          <w:tcPr>
            <w:tcW w:w="3227" w:type="dxa"/>
          </w:tcPr>
          <w:p w14:paraId="04BADD76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FCE9FE2" w14:textId="1190BF51" w:rsidR="00687890" w:rsidRPr="00DD2F9B" w:rsidRDefault="009639B7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0FDDE22A" w14:textId="77777777" w:rsidTr="00812887">
        <w:trPr>
          <w:cantSplit/>
        </w:trPr>
        <w:tc>
          <w:tcPr>
            <w:tcW w:w="3227" w:type="dxa"/>
          </w:tcPr>
          <w:p w14:paraId="7A2BC3B1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BFF654B" w14:textId="5D192136" w:rsidR="007925F0" w:rsidRPr="00DD2F9B" w:rsidRDefault="00636B93" w:rsidP="00DD2F9B">
            <w:pPr>
              <w:pStyle w:val="Tablefont"/>
            </w:pPr>
            <w:r w:rsidRPr="00636B93">
              <w:t>Carcinogenicity – category 2</w:t>
            </w:r>
          </w:p>
        </w:tc>
      </w:tr>
      <w:tr w:rsidR="00AF483F" w:rsidRPr="004C23F4" w14:paraId="45F8C47C" w14:textId="77777777" w:rsidTr="00812887">
        <w:trPr>
          <w:cantSplit/>
        </w:trPr>
        <w:tc>
          <w:tcPr>
            <w:tcW w:w="3227" w:type="dxa"/>
          </w:tcPr>
          <w:p w14:paraId="4E3A18BC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5D3B5F8" w14:textId="75D4A4D6" w:rsidR="00AF483F" w:rsidRPr="00DD2F9B" w:rsidRDefault="009639B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F16EB1F" w14:textId="77777777" w:rsidTr="00812887">
        <w:trPr>
          <w:cantSplit/>
        </w:trPr>
        <w:tc>
          <w:tcPr>
            <w:tcW w:w="3227" w:type="dxa"/>
          </w:tcPr>
          <w:p w14:paraId="7396974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336242E" w14:textId="4B4D8E9C" w:rsidR="00687890" w:rsidRPr="00DD2F9B" w:rsidRDefault="009639B7" w:rsidP="00DD2F9B">
            <w:pPr>
              <w:pStyle w:val="Tablefont"/>
            </w:pPr>
            <w:r w:rsidRPr="009639B7">
              <w:t>Carcinogenicity – category 2</w:t>
            </w:r>
          </w:p>
        </w:tc>
      </w:tr>
      <w:tr w:rsidR="00E41A26" w:rsidRPr="004C23F4" w14:paraId="74648C9F" w14:textId="77777777" w:rsidTr="00812887">
        <w:trPr>
          <w:cantSplit/>
        </w:trPr>
        <w:tc>
          <w:tcPr>
            <w:tcW w:w="3227" w:type="dxa"/>
          </w:tcPr>
          <w:p w14:paraId="2D47128D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A9F82AB" w14:textId="43AC7F1C" w:rsidR="00E41A26" w:rsidRPr="00DD2F9B" w:rsidRDefault="009639B7" w:rsidP="00DD2F9B">
            <w:pPr>
              <w:pStyle w:val="Tablefont"/>
            </w:pPr>
            <w:proofErr w:type="spellStart"/>
            <w:r w:rsidRPr="009639B7">
              <w:t>Carc</w:t>
            </w:r>
            <w:proofErr w:type="spellEnd"/>
            <w:r w:rsidRPr="009639B7">
              <w:t>. 2</w:t>
            </w:r>
          </w:p>
        </w:tc>
      </w:tr>
      <w:tr w:rsidR="002E0D61" w:rsidRPr="004C23F4" w14:paraId="610154D2" w14:textId="77777777" w:rsidTr="00812887">
        <w:trPr>
          <w:cantSplit/>
        </w:trPr>
        <w:tc>
          <w:tcPr>
            <w:tcW w:w="3227" w:type="dxa"/>
          </w:tcPr>
          <w:p w14:paraId="507399E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DE54E7F" w14:textId="43DBC616" w:rsidR="002E0D61" w:rsidRPr="00DD2F9B" w:rsidRDefault="009639B7" w:rsidP="00DD2F9B">
            <w:pPr>
              <w:pStyle w:val="Tablefont"/>
            </w:pPr>
            <w:r w:rsidRPr="009639B7">
              <w:t>Carcinogenicity – A3</w:t>
            </w:r>
          </w:p>
        </w:tc>
      </w:tr>
      <w:tr w:rsidR="002E0D61" w:rsidRPr="004C23F4" w14:paraId="7FC1418B" w14:textId="77777777" w:rsidTr="00812887">
        <w:trPr>
          <w:cantSplit/>
        </w:trPr>
        <w:tc>
          <w:tcPr>
            <w:tcW w:w="3227" w:type="dxa"/>
          </w:tcPr>
          <w:p w14:paraId="0B1FF1B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3885211" w14:textId="6B7FD7BE" w:rsidR="002E0D61" w:rsidRPr="00DD2F9B" w:rsidRDefault="009639B7" w:rsidP="00DD2F9B">
            <w:pPr>
              <w:pStyle w:val="Tablefont"/>
            </w:pPr>
            <w:r w:rsidRPr="009639B7">
              <w:t>Carcinogenicity – 3B</w:t>
            </w:r>
            <w:r>
              <w:t xml:space="preserve">, </w:t>
            </w:r>
            <w:r w:rsidRPr="009639B7">
              <w:t>H (skin)</w:t>
            </w:r>
          </w:p>
        </w:tc>
      </w:tr>
      <w:tr w:rsidR="002E0D61" w:rsidRPr="004C23F4" w14:paraId="09839B21" w14:textId="77777777" w:rsidTr="00812887">
        <w:trPr>
          <w:cantSplit/>
        </w:trPr>
        <w:tc>
          <w:tcPr>
            <w:tcW w:w="3227" w:type="dxa"/>
          </w:tcPr>
          <w:p w14:paraId="33FC7CD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84EFE6D" w14:textId="0C911AC1" w:rsidR="002E0D61" w:rsidRPr="00DD2F9B" w:rsidRDefault="009639B7" w:rsidP="00DD2F9B">
            <w:pPr>
              <w:pStyle w:val="Tablefont"/>
            </w:pPr>
            <w:r w:rsidRPr="009639B7">
              <w:t>Carcinogenicity – D</w:t>
            </w:r>
            <w:r>
              <w:t xml:space="preserve">, </w:t>
            </w:r>
            <w:r w:rsidRPr="009639B7">
              <w:t>Skin</w:t>
            </w:r>
          </w:p>
        </w:tc>
      </w:tr>
      <w:tr w:rsidR="002E0D61" w:rsidRPr="004C23F4" w14:paraId="1C4C7090" w14:textId="77777777" w:rsidTr="00812887">
        <w:trPr>
          <w:cantSplit/>
        </w:trPr>
        <w:tc>
          <w:tcPr>
            <w:tcW w:w="3227" w:type="dxa"/>
          </w:tcPr>
          <w:p w14:paraId="18E2FA7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6AF408E" w14:textId="10FD1710" w:rsidR="002E0D61" w:rsidRPr="00DD2F9B" w:rsidRDefault="009639B7" w:rsidP="00DD2F9B">
            <w:pPr>
              <w:pStyle w:val="Tablefont"/>
            </w:pPr>
            <w:r w:rsidRPr="009639B7">
              <w:t>Carcinogenicity – category 1A</w:t>
            </w:r>
          </w:p>
        </w:tc>
      </w:tr>
      <w:tr w:rsidR="00386093" w:rsidRPr="004C23F4" w14:paraId="12D693B1" w14:textId="77777777" w:rsidTr="00812887">
        <w:trPr>
          <w:cantSplit/>
        </w:trPr>
        <w:tc>
          <w:tcPr>
            <w:tcW w:w="3227" w:type="dxa"/>
          </w:tcPr>
          <w:p w14:paraId="3B870A25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69D125F" w14:textId="446AEDA6" w:rsidR="00386093" w:rsidRPr="00DD2F9B" w:rsidRDefault="009639B7" w:rsidP="00DD2F9B">
            <w:pPr>
              <w:pStyle w:val="Tablefont"/>
            </w:pPr>
            <w:r w:rsidRPr="009639B7">
              <w:t>Carcinogenicity – Group 2A</w:t>
            </w:r>
          </w:p>
        </w:tc>
      </w:tr>
      <w:tr w:rsidR="00386093" w:rsidRPr="004C23F4" w14:paraId="1671BB18" w14:textId="77777777" w:rsidTr="00812887">
        <w:trPr>
          <w:cantSplit/>
        </w:trPr>
        <w:tc>
          <w:tcPr>
            <w:tcW w:w="3227" w:type="dxa"/>
          </w:tcPr>
          <w:p w14:paraId="4CECA439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D64FE04" w14:textId="16718174" w:rsidR="00386093" w:rsidRPr="00DD2F9B" w:rsidRDefault="009677E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242340D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77A5522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AADF2C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B20F6EF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5641447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5004"/>
              <w:gridCol w:w="863"/>
              <w:gridCol w:w="863"/>
              <w:gridCol w:w="1040"/>
              <w:gridCol w:w="1040"/>
            </w:tblGrid>
            <w:tr w:rsidR="009F1312" w:rsidRPr="00F4148B" w14:paraId="06909401" w14:textId="77777777" w:rsidTr="00493751">
              <w:trPr>
                <w:trHeight w:val="342"/>
              </w:trPr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32907C" w14:textId="38BB6CF1" w:rsidR="009F1312" w:rsidRPr="00F4148B" w:rsidRDefault="009F1312" w:rsidP="009F13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CDDBE48" w14:textId="77777777" w:rsidR="009F1312" w:rsidRPr="00F4148B" w:rsidRDefault="009F1312" w:rsidP="00F4148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D9DD2B" w14:textId="77777777" w:rsidR="009F1312" w:rsidRPr="00F4148B" w:rsidRDefault="009F1312" w:rsidP="00F4148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06B520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5F8C27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F1312" w:rsidRPr="00F4148B" w14:paraId="08E5D66B" w14:textId="77777777" w:rsidTr="00255553">
              <w:trPr>
                <w:trHeight w:val="342"/>
              </w:trPr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70A1F0" w14:textId="0F6935AD" w:rsidR="009F1312" w:rsidRPr="00F4148B" w:rsidRDefault="009F1312" w:rsidP="009F13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Dermal LD</w:t>
                  </w: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0139B9" w14:textId="77777777" w:rsidR="009F1312" w:rsidRPr="00F4148B" w:rsidRDefault="009F1312" w:rsidP="00F4148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103743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24E301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2552C9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F1312" w:rsidRPr="00F4148B" w14:paraId="2EAA8C0B" w14:textId="77777777" w:rsidTr="006E579E">
              <w:trPr>
                <w:trHeight w:val="342"/>
              </w:trPr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07AEF8" w14:textId="7C6B5C34" w:rsidR="009F1312" w:rsidRPr="00F4148B" w:rsidRDefault="009F1312" w:rsidP="009F13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Dermal repeat-dose NOAEL ≤200 mg/kg: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D03B5C" w14:textId="77777777" w:rsidR="009F1312" w:rsidRPr="00F4148B" w:rsidRDefault="009F1312" w:rsidP="00F4148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81F50A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A25873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281496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F1312" w:rsidRPr="00F4148B" w14:paraId="6032633D" w14:textId="77777777" w:rsidTr="00227EE8">
              <w:trPr>
                <w:trHeight w:val="342"/>
              </w:trPr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B03C01" w14:textId="13E0FE58" w:rsidR="009F1312" w:rsidRPr="00F4148B" w:rsidRDefault="009F1312" w:rsidP="009F131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Dermal LD</w:t>
                  </w: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FAE694" w14:textId="77777777" w:rsidR="009F1312" w:rsidRPr="00F4148B" w:rsidRDefault="009F1312" w:rsidP="00F4148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6C8B1E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21BF16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AC89E1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F1312" w:rsidRPr="00F4148B" w14:paraId="0187CB57" w14:textId="77777777" w:rsidTr="0056163C">
              <w:trPr>
                <w:trHeight w:val="342"/>
              </w:trPr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297EC3" w14:textId="41996723" w:rsidR="009F1312" w:rsidRPr="00F4148B" w:rsidRDefault="009F1312" w:rsidP="009F1312">
                  <w:pPr>
                    <w:spacing w:after="0" w:line="240" w:lineRule="auto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  <w:r w:rsidRPr="00F4148B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F0B6E3" w14:textId="77777777" w:rsidR="009F1312" w:rsidRPr="00F4148B" w:rsidRDefault="009F1312" w:rsidP="00F4148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A4F736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AC96CE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221B8D" w14:textId="77777777" w:rsidR="009F1312" w:rsidRPr="00F4148B" w:rsidRDefault="009F1312" w:rsidP="00F4148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45E4E" w:rsidRPr="00F4148B" w14:paraId="0D13E7F1" w14:textId="77777777" w:rsidTr="00745E4E">
              <w:trPr>
                <w:trHeight w:val="342"/>
              </w:trPr>
              <w:tc>
                <w:tcPr>
                  <w:tcW w:w="5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F20CD2" w14:textId="6BACDADE" w:rsidR="00745E4E" w:rsidRPr="00F4148B" w:rsidRDefault="00745E4E" w:rsidP="00745E4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Estimated dermal exposure at WES &gt;10%: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F5C1"/>
                  <w:noWrap/>
                  <w:vAlign w:val="center"/>
                  <w:hideMark/>
                </w:tcPr>
                <w:p w14:paraId="3EE2CF3F" w14:textId="331F662B" w:rsidR="00745E4E" w:rsidRPr="00F4148B" w:rsidRDefault="00745E4E" w:rsidP="00745E4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358093" w14:textId="77777777" w:rsidR="00745E4E" w:rsidRPr="00F4148B" w:rsidRDefault="00745E4E" w:rsidP="00745E4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925555" w14:textId="77777777" w:rsidR="00745E4E" w:rsidRPr="00F4148B" w:rsidRDefault="00745E4E" w:rsidP="00745E4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E04DC2" w14:textId="77777777" w:rsidR="00745E4E" w:rsidRPr="00F4148B" w:rsidRDefault="00745E4E" w:rsidP="00745E4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F1312" w:rsidRPr="00F4148B" w14:paraId="74FAA05B" w14:textId="77777777" w:rsidTr="00A038E1">
              <w:trPr>
                <w:trHeight w:val="342"/>
              </w:trPr>
              <w:tc>
                <w:tcPr>
                  <w:tcW w:w="88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018290" w14:textId="534030AA" w:rsidR="009F1312" w:rsidRPr="00F4148B" w:rsidRDefault="009F1312" w:rsidP="009F131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4148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  <w:r w:rsidRPr="00F4148B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6E47D931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7B6ABBC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55CF23F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8B2FF9C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604EB9A" w14:textId="648EEE09" w:rsidR="00EB3D1B" w:rsidRDefault="009677E4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6A2F32E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4FAC5DB1" w14:textId="77777777" w:rsidTr="00377358">
        <w:trPr>
          <w:cantSplit/>
          <w:tblHeader/>
        </w:trPr>
        <w:tc>
          <w:tcPr>
            <w:tcW w:w="4077" w:type="dxa"/>
            <w:vAlign w:val="center"/>
          </w:tcPr>
          <w:p w14:paraId="3457CD4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76B0505" w14:textId="640A9E7C" w:rsidR="001B79E5" w:rsidRDefault="009677E4" w:rsidP="001B79E5">
                <w:pPr>
                  <w:pStyle w:val="Tablefont"/>
                </w:pPr>
                <w:r w:rsidRPr="009677E4">
                  <w:t>165.83</w:t>
                </w:r>
              </w:p>
            </w:tc>
          </w:sdtContent>
        </w:sdt>
      </w:tr>
      <w:tr w:rsidR="00A31D99" w:rsidRPr="004C23F4" w14:paraId="25C45DCE" w14:textId="77777777" w:rsidTr="008300EB">
        <w:trPr>
          <w:cantSplit/>
        </w:trPr>
        <w:tc>
          <w:tcPr>
            <w:tcW w:w="4077" w:type="dxa"/>
            <w:vAlign w:val="center"/>
          </w:tcPr>
          <w:p w14:paraId="2293371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04B4C3B3" w14:textId="15B73E13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9677E4">
                  <w:t>6.79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9677E4">
                  <w:t>0.15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6941802" w14:textId="77777777" w:rsidTr="008300EB">
        <w:trPr>
          <w:cantSplit/>
        </w:trPr>
        <w:tc>
          <w:tcPr>
            <w:tcW w:w="4077" w:type="dxa"/>
            <w:vAlign w:val="center"/>
          </w:tcPr>
          <w:p w14:paraId="794F6F04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762DBB8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5E3B48E" w14:textId="77777777" w:rsidTr="008300EB">
        <w:trPr>
          <w:cantSplit/>
        </w:trPr>
        <w:tc>
          <w:tcPr>
            <w:tcW w:w="4077" w:type="dxa"/>
            <w:vAlign w:val="center"/>
          </w:tcPr>
          <w:p w14:paraId="1A69C970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76196D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7B9C9A0" w14:textId="77777777" w:rsidTr="008300EB">
        <w:trPr>
          <w:cantSplit/>
        </w:trPr>
        <w:tc>
          <w:tcPr>
            <w:tcW w:w="4077" w:type="dxa"/>
            <w:vAlign w:val="center"/>
          </w:tcPr>
          <w:p w14:paraId="2B928341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EC21C05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77DF2A0" w14:textId="77777777" w:rsidTr="008300EB">
        <w:trPr>
          <w:cantSplit/>
        </w:trPr>
        <w:tc>
          <w:tcPr>
            <w:tcW w:w="4077" w:type="dxa"/>
            <w:vAlign w:val="center"/>
          </w:tcPr>
          <w:p w14:paraId="5D78E8D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289B1FD" w14:textId="57E8E379" w:rsidR="00E06F40" w:rsidRPr="00A006A0" w:rsidRDefault="0037735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45227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3773F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3773F">
                  <w:sym w:font="Wingdings" w:char="F0FC"/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  <w:bookmarkStart w:id="4" w:name="_GoBack"/>
        <w:bookmarkEnd w:id="4"/>
      </w:tr>
    </w:tbl>
    <w:p w14:paraId="35D1DB6A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3226F7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EDB42A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C98F601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ADDC153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B19E4D0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B6C0A8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84E81E4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6D9E1AB" w14:textId="0FAF52C3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406AED2" w14:textId="5E6A2EF7" w:rsidR="009677E4" w:rsidRDefault="009677E4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 (2016) </w:t>
      </w:r>
      <w:proofErr w:type="spellStart"/>
      <w:r w:rsidRPr="009677E4">
        <w:t>Tetrachlorethen</w:t>
      </w:r>
      <w:proofErr w:type="spellEnd"/>
      <w:r>
        <w:t xml:space="preserve"> – MAK value documentation.</w:t>
      </w:r>
    </w:p>
    <w:p w14:paraId="6ECF8387" w14:textId="2903579B" w:rsidR="009677E4" w:rsidRDefault="009677E4" w:rsidP="00084859">
      <w:r>
        <w:t xml:space="preserve">European Chemicals Agency (ECHA) (2019) </w:t>
      </w:r>
      <w:r w:rsidRPr="009677E4">
        <w:t>tetrachloroethylene</w:t>
      </w:r>
      <w:r>
        <w:t xml:space="preserve"> – REACH assessment.</w:t>
      </w:r>
    </w:p>
    <w:p w14:paraId="59AA5A52" w14:textId="77777777" w:rsidR="009677E4" w:rsidRDefault="009677E4" w:rsidP="009677E4">
      <w:r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2D91DC16" w14:textId="2600EA8D" w:rsidR="009677E4" w:rsidRDefault="009677E4" w:rsidP="00084859">
      <w:r>
        <w:t>EU Scientific Committee on Occupational Exposure Limits (SCOEL) (</w:t>
      </w:r>
      <w:r w:rsidRPr="009677E4">
        <w:t>2009</w:t>
      </w:r>
      <w:r>
        <w:t xml:space="preserve">) Recommendation from the Scientific Committee on Occupational Exposure Limits for </w:t>
      </w:r>
      <w:r w:rsidRPr="009677E4">
        <w:t>tetrachloroethylene (</w:t>
      </w:r>
      <w:proofErr w:type="spellStart"/>
      <w:r w:rsidRPr="009677E4">
        <w:t>perchloroethylene</w:t>
      </w:r>
      <w:proofErr w:type="spellEnd"/>
      <w:r w:rsidRPr="009677E4">
        <w:t>)</w:t>
      </w:r>
      <w:r>
        <w:t>. SCOEL/</w:t>
      </w:r>
      <w:r w:rsidRPr="009677E4">
        <w:t>SUM/133</w:t>
      </w:r>
      <w:r>
        <w:t>.</w:t>
      </w:r>
    </w:p>
    <w:p w14:paraId="593E39EC" w14:textId="4B75DFAF" w:rsidR="009677E4" w:rsidRDefault="009677E4" w:rsidP="00084859">
      <w:r>
        <w:t>Health Council of the Netherlands (HCOTN) (</w:t>
      </w:r>
      <w:r w:rsidRPr="009677E4">
        <w:t>2003</w:t>
      </w:r>
      <w:r>
        <w:t xml:space="preserve">) </w:t>
      </w:r>
      <w:r w:rsidRPr="009677E4">
        <w:t>Tetrachloroethylene (PER)</w:t>
      </w:r>
      <w:r>
        <w:t xml:space="preserve">. Health-based calculated occupational cancer risk values. The Hague: Health Council of the Netherlands; publication no. </w:t>
      </w:r>
      <w:r w:rsidRPr="009677E4">
        <w:t>2003/01OSH</w:t>
      </w:r>
      <w:r>
        <w:t>.</w:t>
      </w:r>
    </w:p>
    <w:p w14:paraId="47CA0AD5" w14:textId="0B940885" w:rsidR="009677E4" w:rsidRDefault="009677E4" w:rsidP="00084859">
      <w:r>
        <w:t>International Agency for Research on Cancer (IARC) (</w:t>
      </w:r>
      <w:r w:rsidRPr="009677E4">
        <w:t>2014</w:t>
      </w:r>
      <w:r>
        <w:t xml:space="preserve">) </w:t>
      </w:r>
      <w:r w:rsidRPr="009677E4">
        <w:t>Tetrachloroethylene (</w:t>
      </w:r>
      <w:proofErr w:type="spellStart"/>
      <w:r w:rsidRPr="009677E4">
        <w:t>Perchloroethylene</w:t>
      </w:r>
      <w:proofErr w:type="spellEnd"/>
      <w:r w:rsidRPr="009677E4">
        <w:t>)</w:t>
      </w:r>
      <w:r>
        <w:t>. IARC Monographs on the evaluation of the carcinogenic risk to humans.</w:t>
      </w:r>
    </w:p>
    <w:p w14:paraId="49179B66" w14:textId="3E6AB13E" w:rsidR="00F015F7" w:rsidRDefault="00F015F7" w:rsidP="00084859">
      <w:r w:rsidRPr="00F015F7">
        <w:t xml:space="preserve">National Industrial Chemicals Notification and </w:t>
      </w:r>
      <w:r>
        <w:t>Assessment Scheme (NICNAS) (2001</w:t>
      </w:r>
      <w:r w:rsidRPr="00F015F7">
        <w:t xml:space="preserve"> </w:t>
      </w:r>
      <w:r>
        <w:t>Priority Existing Chemical Report tetrachloroethylene (CAS No. 127-18-4)</w:t>
      </w:r>
    </w:p>
    <w:p w14:paraId="36EBBFAC" w14:textId="192A4A79" w:rsidR="009677E4" w:rsidRPr="00351FE0" w:rsidRDefault="009677E4" w:rsidP="00084859">
      <w:r>
        <w:t>US National Institute for Occupational Safety and Health (NIOSH) (</w:t>
      </w:r>
      <w:r w:rsidRPr="009677E4">
        <w:t>1994</w:t>
      </w:r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9677E4">
        <w:t>Tetrachloroethylene</w:t>
      </w:r>
      <w:r>
        <w:t>.</w:t>
      </w:r>
    </w:p>
    <w:sectPr w:rsidR="009677E4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7D260" w16cid:durableId="21F62E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D4D2F" w14:textId="77777777" w:rsidR="0015182B" w:rsidRDefault="0015182B" w:rsidP="00F43AD5">
      <w:pPr>
        <w:spacing w:after="0" w:line="240" w:lineRule="auto"/>
      </w:pPr>
      <w:r>
        <w:separator/>
      </w:r>
    </w:p>
  </w:endnote>
  <w:endnote w:type="continuationSeparator" w:id="0">
    <w:p w14:paraId="4CD5031A" w14:textId="77777777" w:rsidR="0015182B" w:rsidRDefault="0015182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F419A" w14:textId="77777777" w:rsidR="00377358" w:rsidRDefault="0037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017DA80" w14:textId="1A1C8DB0" w:rsidR="008A36CF" w:rsidRDefault="00675908" w:rsidP="0034744C">
        <w:pPr>
          <w:pStyle w:val="Footer"/>
          <w:rPr>
            <w:sz w:val="18"/>
            <w:szCs w:val="18"/>
          </w:rPr>
        </w:pPr>
        <w:proofErr w:type="spellStart"/>
        <w:r w:rsidRPr="00675908">
          <w:rPr>
            <w:b/>
            <w:sz w:val="18"/>
            <w:szCs w:val="18"/>
          </w:rPr>
          <w:t>Perchloroethylene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675908">
          <w:rPr>
            <w:b/>
            <w:sz w:val="18"/>
            <w:szCs w:val="18"/>
          </w:rPr>
          <w:t>127-18-4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282264">
          <w:rPr>
            <w:sz w:val="18"/>
            <w:szCs w:val="18"/>
          </w:rPr>
          <w:t>2020</w:t>
        </w:r>
      </w:p>
      <w:p w14:paraId="3E263B63" w14:textId="4D667845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675908">
          <w:rPr>
            <w:sz w:val="18"/>
            <w:szCs w:val="18"/>
          </w:rPr>
          <w:fldChar w:fldCharType="begin"/>
        </w:r>
        <w:r w:rsidRPr="00675908">
          <w:rPr>
            <w:sz w:val="18"/>
            <w:szCs w:val="18"/>
          </w:rPr>
          <w:instrText xml:space="preserve"> PAGE   \* MERGEFORMAT </w:instrText>
        </w:r>
        <w:r w:rsidRPr="00675908">
          <w:rPr>
            <w:sz w:val="18"/>
            <w:szCs w:val="18"/>
          </w:rPr>
          <w:fldChar w:fldCharType="separate"/>
        </w:r>
        <w:r w:rsidR="00377358">
          <w:rPr>
            <w:noProof/>
            <w:sz w:val="18"/>
            <w:szCs w:val="18"/>
          </w:rPr>
          <w:t>7</w:t>
        </w:r>
        <w:r w:rsidRPr="00675908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45E06" w14:textId="77777777" w:rsidR="00377358" w:rsidRDefault="00377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8C1B6" w14:textId="77777777" w:rsidR="0015182B" w:rsidRDefault="0015182B" w:rsidP="00F43AD5">
      <w:pPr>
        <w:spacing w:after="0" w:line="240" w:lineRule="auto"/>
      </w:pPr>
      <w:r>
        <w:separator/>
      </w:r>
    </w:p>
  </w:footnote>
  <w:footnote w:type="continuationSeparator" w:id="0">
    <w:p w14:paraId="7603463F" w14:textId="77777777" w:rsidR="0015182B" w:rsidRDefault="0015182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DE6B7" w14:textId="77777777" w:rsidR="00377358" w:rsidRDefault="00377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793AE" w14:textId="38FAE896" w:rsidR="008A36CF" w:rsidRDefault="00377358" w:rsidP="00F43AD5">
    <w:pPr>
      <w:pStyle w:val="Header"/>
      <w:jc w:val="right"/>
    </w:pPr>
    <w:sdt>
      <w:sdtPr>
        <w:id w:val="1895153368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2C649C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7B69" w14:textId="77777777" w:rsidR="00377358" w:rsidRDefault="003773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C69E0" w14:textId="77777777" w:rsidR="00377358" w:rsidRDefault="00377358" w:rsidP="00377358">
    <w:pPr>
      <w:pStyle w:val="Header"/>
      <w:jc w:val="right"/>
    </w:pPr>
    <w:sdt>
      <w:sdtPr>
        <w:id w:val="-1550989343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39F39C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D067E9B" wp14:editId="6D33DE0B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16FB23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0B29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F3E7D"/>
    <w:multiLevelType w:val="hybridMultilevel"/>
    <w:tmpl w:val="F34899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2432A2"/>
    <w:multiLevelType w:val="hybridMultilevel"/>
    <w:tmpl w:val="510E07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341E90"/>
    <w:multiLevelType w:val="hybridMultilevel"/>
    <w:tmpl w:val="4BBE1D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6C18E3"/>
    <w:multiLevelType w:val="hybridMultilevel"/>
    <w:tmpl w:val="F9F0F3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8F3DF4"/>
    <w:multiLevelType w:val="hybridMultilevel"/>
    <w:tmpl w:val="16982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109C"/>
    <w:rsid w:val="00005D67"/>
    <w:rsid w:val="00007B80"/>
    <w:rsid w:val="0001008D"/>
    <w:rsid w:val="00013A22"/>
    <w:rsid w:val="00014C3F"/>
    <w:rsid w:val="00017C82"/>
    <w:rsid w:val="00032B88"/>
    <w:rsid w:val="00046DF5"/>
    <w:rsid w:val="00051FCA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169D"/>
    <w:rsid w:val="00092D94"/>
    <w:rsid w:val="000A46B1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1471A"/>
    <w:rsid w:val="001269A7"/>
    <w:rsid w:val="00131092"/>
    <w:rsid w:val="00140E6A"/>
    <w:rsid w:val="00146545"/>
    <w:rsid w:val="00146B75"/>
    <w:rsid w:val="0015182B"/>
    <w:rsid w:val="0015266D"/>
    <w:rsid w:val="0015288A"/>
    <w:rsid w:val="00160246"/>
    <w:rsid w:val="00160F47"/>
    <w:rsid w:val="001641D8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06AE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3629"/>
    <w:rsid w:val="00244AD1"/>
    <w:rsid w:val="002463BC"/>
    <w:rsid w:val="002465CE"/>
    <w:rsid w:val="002470C9"/>
    <w:rsid w:val="0025734A"/>
    <w:rsid w:val="00263255"/>
    <w:rsid w:val="00276494"/>
    <w:rsid w:val="00277B0C"/>
    <w:rsid w:val="00282264"/>
    <w:rsid w:val="002B1A2C"/>
    <w:rsid w:val="002C34F2"/>
    <w:rsid w:val="002C58FF"/>
    <w:rsid w:val="002C7AFE"/>
    <w:rsid w:val="002D05D2"/>
    <w:rsid w:val="002D1ECD"/>
    <w:rsid w:val="002D6317"/>
    <w:rsid w:val="002E0421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66AE"/>
    <w:rsid w:val="00347192"/>
    <w:rsid w:val="0034744C"/>
    <w:rsid w:val="00351FE0"/>
    <w:rsid w:val="00352615"/>
    <w:rsid w:val="0035412B"/>
    <w:rsid w:val="003567A8"/>
    <w:rsid w:val="00362895"/>
    <w:rsid w:val="00370DBF"/>
    <w:rsid w:val="003725A9"/>
    <w:rsid w:val="00377358"/>
    <w:rsid w:val="003829F2"/>
    <w:rsid w:val="00386093"/>
    <w:rsid w:val="003904A4"/>
    <w:rsid w:val="00391841"/>
    <w:rsid w:val="00391B6D"/>
    <w:rsid w:val="00394922"/>
    <w:rsid w:val="00394C8A"/>
    <w:rsid w:val="003A0E32"/>
    <w:rsid w:val="003A2B94"/>
    <w:rsid w:val="003B387D"/>
    <w:rsid w:val="003C0D58"/>
    <w:rsid w:val="003C1CF0"/>
    <w:rsid w:val="003D4FA3"/>
    <w:rsid w:val="003E0807"/>
    <w:rsid w:val="003E231A"/>
    <w:rsid w:val="003E51FB"/>
    <w:rsid w:val="003E6B39"/>
    <w:rsid w:val="003F07E1"/>
    <w:rsid w:val="003F313E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63B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329A"/>
    <w:rsid w:val="00511138"/>
    <w:rsid w:val="005142C4"/>
    <w:rsid w:val="00514D6C"/>
    <w:rsid w:val="0051509C"/>
    <w:rsid w:val="005272E2"/>
    <w:rsid w:val="0052789E"/>
    <w:rsid w:val="0053108F"/>
    <w:rsid w:val="00532B56"/>
    <w:rsid w:val="00534B10"/>
    <w:rsid w:val="005446A2"/>
    <w:rsid w:val="00544D2F"/>
    <w:rsid w:val="00551BD8"/>
    <w:rsid w:val="00562581"/>
    <w:rsid w:val="00581055"/>
    <w:rsid w:val="00591E38"/>
    <w:rsid w:val="005A19C5"/>
    <w:rsid w:val="005A3034"/>
    <w:rsid w:val="005A462D"/>
    <w:rsid w:val="005A587F"/>
    <w:rsid w:val="005B188A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66C3"/>
    <w:rsid w:val="00620F67"/>
    <w:rsid w:val="00624C4E"/>
    <w:rsid w:val="00625200"/>
    <w:rsid w:val="00636156"/>
    <w:rsid w:val="006363A8"/>
    <w:rsid w:val="00636B93"/>
    <w:rsid w:val="00636DB7"/>
    <w:rsid w:val="00650905"/>
    <w:rsid w:val="006532ED"/>
    <w:rsid w:val="006549F2"/>
    <w:rsid w:val="006567B7"/>
    <w:rsid w:val="00657BFB"/>
    <w:rsid w:val="0066333C"/>
    <w:rsid w:val="006639B4"/>
    <w:rsid w:val="00664AA9"/>
    <w:rsid w:val="006650FE"/>
    <w:rsid w:val="0067305D"/>
    <w:rsid w:val="00675908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414A"/>
    <w:rsid w:val="006E5D05"/>
    <w:rsid w:val="006E69F7"/>
    <w:rsid w:val="00701053"/>
    <w:rsid w:val="00701507"/>
    <w:rsid w:val="00714021"/>
    <w:rsid w:val="00716A0F"/>
    <w:rsid w:val="00717D45"/>
    <w:rsid w:val="007208F7"/>
    <w:rsid w:val="007218AF"/>
    <w:rsid w:val="007350BE"/>
    <w:rsid w:val="007365D1"/>
    <w:rsid w:val="007366A9"/>
    <w:rsid w:val="00740E0E"/>
    <w:rsid w:val="00745227"/>
    <w:rsid w:val="00745E4E"/>
    <w:rsid w:val="00750212"/>
    <w:rsid w:val="00750BB0"/>
    <w:rsid w:val="00754779"/>
    <w:rsid w:val="0075716D"/>
    <w:rsid w:val="007648EF"/>
    <w:rsid w:val="00765F14"/>
    <w:rsid w:val="00770E31"/>
    <w:rsid w:val="007770F1"/>
    <w:rsid w:val="00783FB1"/>
    <w:rsid w:val="00785CDD"/>
    <w:rsid w:val="00785E55"/>
    <w:rsid w:val="00787367"/>
    <w:rsid w:val="00787E9F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3ACC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2702B"/>
    <w:rsid w:val="008300EB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0AF8"/>
    <w:rsid w:val="00871CD5"/>
    <w:rsid w:val="008745A2"/>
    <w:rsid w:val="008768A8"/>
    <w:rsid w:val="00877ADA"/>
    <w:rsid w:val="0088798F"/>
    <w:rsid w:val="00887E4B"/>
    <w:rsid w:val="008915C8"/>
    <w:rsid w:val="008A36CF"/>
    <w:rsid w:val="008A3BC4"/>
    <w:rsid w:val="008B403C"/>
    <w:rsid w:val="008B553D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37FC2"/>
    <w:rsid w:val="00946044"/>
    <w:rsid w:val="0094660B"/>
    <w:rsid w:val="00946A33"/>
    <w:rsid w:val="0095260E"/>
    <w:rsid w:val="009578DD"/>
    <w:rsid w:val="00961124"/>
    <w:rsid w:val="009621B6"/>
    <w:rsid w:val="009632F9"/>
    <w:rsid w:val="009639B7"/>
    <w:rsid w:val="009677E4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394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1312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490B"/>
    <w:rsid w:val="00A53681"/>
    <w:rsid w:val="00A577C2"/>
    <w:rsid w:val="00A633D4"/>
    <w:rsid w:val="00A6461A"/>
    <w:rsid w:val="00A64D6C"/>
    <w:rsid w:val="00A84504"/>
    <w:rsid w:val="00A8672F"/>
    <w:rsid w:val="00A87741"/>
    <w:rsid w:val="00A93057"/>
    <w:rsid w:val="00A968B0"/>
    <w:rsid w:val="00AB2672"/>
    <w:rsid w:val="00AB2817"/>
    <w:rsid w:val="00AB43C4"/>
    <w:rsid w:val="00AC08EA"/>
    <w:rsid w:val="00AC13F5"/>
    <w:rsid w:val="00AC32E7"/>
    <w:rsid w:val="00AC3A9F"/>
    <w:rsid w:val="00AC6D2F"/>
    <w:rsid w:val="00AE05E8"/>
    <w:rsid w:val="00AE2745"/>
    <w:rsid w:val="00AE2F64"/>
    <w:rsid w:val="00AF407F"/>
    <w:rsid w:val="00AF42CB"/>
    <w:rsid w:val="00AF483F"/>
    <w:rsid w:val="00AF5E07"/>
    <w:rsid w:val="00AF5F06"/>
    <w:rsid w:val="00AF62D2"/>
    <w:rsid w:val="00B00A25"/>
    <w:rsid w:val="00B1422A"/>
    <w:rsid w:val="00B1765C"/>
    <w:rsid w:val="00B213C4"/>
    <w:rsid w:val="00B248F1"/>
    <w:rsid w:val="00B344A2"/>
    <w:rsid w:val="00B3773F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0B0"/>
    <w:rsid w:val="00BA529A"/>
    <w:rsid w:val="00BB612A"/>
    <w:rsid w:val="00BD0A9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3229"/>
    <w:rsid w:val="00C6594B"/>
    <w:rsid w:val="00C67FFB"/>
    <w:rsid w:val="00C7155E"/>
    <w:rsid w:val="00C71D1E"/>
    <w:rsid w:val="00C71D7D"/>
    <w:rsid w:val="00C74833"/>
    <w:rsid w:val="00C758B8"/>
    <w:rsid w:val="00C850A0"/>
    <w:rsid w:val="00C85A86"/>
    <w:rsid w:val="00C86870"/>
    <w:rsid w:val="00C934C2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4B1B"/>
    <w:rsid w:val="00D87570"/>
    <w:rsid w:val="00D91CB9"/>
    <w:rsid w:val="00D97989"/>
    <w:rsid w:val="00D97D8D"/>
    <w:rsid w:val="00DA352E"/>
    <w:rsid w:val="00DA7076"/>
    <w:rsid w:val="00DA7E34"/>
    <w:rsid w:val="00DC7694"/>
    <w:rsid w:val="00DC7885"/>
    <w:rsid w:val="00DD1BF6"/>
    <w:rsid w:val="00DD2F9B"/>
    <w:rsid w:val="00DD3122"/>
    <w:rsid w:val="00DE2513"/>
    <w:rsid w:val="00DE26E8"/>
    <w:rsid w:val="00DF6F36"/>
    <w:rsid w:val="00E0084C"/>
    <w:rsid w:val="00E025AB"/>
    <w:rsid w:val="00E02B23"/>
    <w:rsid w:val="00E033D6"/>
    <w:rsid w:val="00E06F40"/>
    <w:rsid w:val="00E07CE8"/>
    <w:rsid w:val="00E14295"/>
    <w:rsid w:val="00E26A07"/>
    <w:rsid w:val="00E32595"/>
    <w:rsid w:val="00E37CFD"/>
    <w:rsid w:val="00E41A26"/>
    <w:rsid w:val="00E46BCB"/>
    <w:rsid w:val="00E47C95"/>
    <w:rsid w:val="00E51CAF"/>
    <w:rsid w:val="00E60F04"/>
    <w:rsid w:val="00E62AAC"/>
    <w:rsid w:val="00E64B90"/>
    <w:rsid w:val="00E67C2F"/>
    <w:rsid w:val="00E67EF5"/>
    <w:rsid w:val="00E804EA"/>
    <w:rsid w:val="00E80A71"/>
    <w:rsid w:val="00E82337"/>
    <w:rsid w:val="00E92499"/>
    <w:rsid w:val="00E949AF"/>
    <w:rsid w:val="00E954E9"/>
    <w:rsid w:val="00E96077"/>
    <w:rsid w:val="00E9788C"/>
    <w:rsid w:val="00EA0A06"/>
    <w:rsid w:val="00EA6243"/>
    <w:rsid w:val="00EA74AB"/>
    <w:rsid w:val="00EB3D1B"/>
    <w:rsid w:val="00EB428B"/>
    <w:rsid w:val="00ED1D89"/>
    <w:rsid w:val="00ED66BC"/>
    <w:rsid w:val="00EF233A"/>
    <w:rsid w:val="00EF303E"/>
    <w:rsid w:val="00EF3A40"/>
    <w:rsid w:val="00EF7F78"/>
    <w:rsid w:val="00F015F7"/>
    <w:rsid w:val="00F01B08"/>
    <w:rsid w:val="00F01C4D"/>
    <w:rsid w:val="00F02FC5"/>
    <w:rsid w:val="00F053FA"/>
    <w:rsid w:val="00F10C97"/>
    <w:rsid w:val="00F11C71"/>
    <w:rsid w:val="00F16019"/>
    <w:rsid w:val="00F20E68"/>
    <w:rsid w:val="00F22093"/>
    <w:rsid w:val="00F236DF"/>
    <w:rsid w:val="00F4148B"/>
    <w:rsid w:val="00F43AD5"/>
    <w:rsid w:val="00F4402E"/>
    <w:rsid w:val="00F56228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458D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B344A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31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31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31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496B67E43B8C4C50BA31C1F68DF1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B4F2-69BF-4E0F-A003-265139EB18F5}"/>
      </w:docPartPr>
      <w:docPartBody>
        <w:p w:rsidR="008336C4" w:rsidRDefault="00A7417A" w:rsidP="00A7417A">
          <w:pPr>
            <w:pStyle w:val="496B67E43B8C4C50BA31C1F68DF1C5EF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7D60FB"/>
    <w:rsid w:val="008336C4"/>
    <w:rsid w:val="00A7417A"/>
    <w:rsid w:val="00BE33E5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17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2292534C607B4CB99F490082AAB257E8">
    <w:name w:val="2292534C607B4CB99F490082AAB257E8"/>
    <w:rsid w:val="00BE33E5"/>
  </w:style>
  <w:style w:type="paragraph" w:customStyle="1" w:styleId="4C0E4DDC5FCA4159B5AE1F432216C717">
    <w:name w:val="4C0E4DDC5FCA4159B5AE1F432216C717"/>
    <w:rsid w:val="00BE33E5"/>
  </w:style>
  <w:style w:type="paragraph" w:customStyle="1" w:styleId="E4AF412D815B44E4B8D72D7A14896E1B">
    <w:name w:val="E4AF412D815B44E4B8D72D7A14896E1B"/>
    <w:rsid w:val="00BE33E5"/>
  </w:style>
  <w:style w:type="paragraph" w:customStyle="1" w:styleId="19DF2E4F7AD0474BAE9195E15BED167B">
    <w:name w:val="19DF2E4F7AD0474BAE9195E15BED167B"/>
    <w:rsid w:val="00BE33E5"/>
  </w:style>
  <w:style w:type="paragraph" w:customStyle="1" w:styleId="1C9475721FB442A685D286809CF92FB9">
    <w:name w:val="1C9475721FB442A685D286809CF92FB9"/>
    <w:rsid w:val="00BE33E5"/>
  </w:style>
  <w:style w:type="paragraph" w:customStyle="1" w:styleId="A046F798F8BC4183B8248CBEF5D295B7">
    <w:name w:val="A046F798F8BC4183B8248CBEF5D295B7"/>
    <w:rsid w:val="00BE33E5"/>
  </w:style>
  <w:style w:type="paragraph" w:customStyle="1" w:styleId="7F3BF885B7794CC28A47C0F4D0DEA362">
    <w:name w:val="7F3BF885B7794CC28A47C0F4D0DEA362"/>
    <w:rsid w:val="00BE33E5"/>
  </w:style>
  <w:style w:type="paragraph" w:customStyle="1" w:styleId="9E8E298768E843B4A437B4AA51CD31F3">
    <w:name w:val="9E8E298768E843B4A437B4AA51CD31F3"/>
    <w:rsid w:val="00BE33E5"/>
  </w:style>
  <w:style w:type="paragraph" w:customStyle="1" w:styleId="ECFF91CDA4014712B5150882316C6DB7">
    <w:name w:val="ECFF91CDA4014712B5150882316C6DB7"/>
    <w:rsid w:val="00BE33E5"/>
  </w:style>
  <w:style w:type="paragraph" w:customStyle="1" w:styleId="D8B04096DF6A4C44A91014B063F5C0BB">
    <w:name w:val="D8B04096DF6A4C44A91014B063F5C0BB"/>
    <w:rsid w:val="00BE33E5"/>
  </w:style>
  <w:style w:type="paragraph" w:customStyle="1" w:styleId="6D8285810A1C47ECAFE22CB554788762">
    <w:name w:val="6D8285810A1C47ECAFE22CB554788762"/>
    <w:rsid w:val="00BE33E5"/>
  </w:style>
  <w:style w:type="paragraph" w:customStyle="1" w:styleId="126F28C394984C4D839863D08756FD4D">
    <w:name w:val="126F28C394984C4D839863D08756FD4D"/>
    <w:rsid w:val="00BE33E5"/>
  </w:style>
  <w:style w:type="paragraph" w:customStyle="1" w:styleId="FB6BD771A0DE4F8BA5B8F4A27A555266">
    <w:name w:val="FB6BD771A0DE4F8BA5B8F4A27A555266"/>
    <w:rsid w:val="00BE33E5"/>
  </w:style>
  <w:style w:type="paragraph" w:customStyle="1" w:styleId="AE6823D54D2842F49045CA3310CA517B">
    <w:name w:val="AE6823D54D2842F49045CA3310CA517B"/>
    <w:rsid w:val="00BE33E5"/>
  </w:style>
  <w:style w:type="paragraph" w:customStyle="1" w:styleId="496B67E43B8C4C50BA31C1F68DF1C5EF">
    <w:name w:val="496B67E43B8C4C50BA31C1F68DF1C5EF"/>
    <w:rsid w:val="00A741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AD0BC2-9FD8-4B12-83B3-4D421EA4E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6D062-67DB-4A49-ABFA-1B391707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B5B1CC65.dotm</Template>
  <TotalTime>434</TotalTime>
  <Pages>7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25</cp:revision>
  <cp:lastPrinted>2018-10-22T22:41:00Z</cp:lastPrinted>
  <dcterms:created xsi:type="dcterms:W3CDTF">2020-01-06T21:29:00Z</dcterms:created>
  <dcterms:modified xsi:type="dcterms:W3CDTF">2020-02-27T22:44:00Z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