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6172D83" w14:textId="655DE4C6" w:rsidR="00BD499F" w:rsidRPr="004C23F4" w:rsidRDefault="005D6346" w:rsidP="00B40C60">
          <w:pPr>
            <w:pStyle w:val="Heading1"/>
            <w:jc w:val="center"/>
            <w:rPr>
              <w:rFonts w:ascii="Arial" w:hAnsi="Arial" w:cs="Arial"/>
            </w:rPr>
          </w:pPr>
          <w:r w:rsidRPr="005D6346">
            <w:rPr>
              <w:rFonts w:ascii="Arial" w:hAnsi="Arial" w:cs="Arial"/>
            </w:rPr>
            <w:t>Phenol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280AFCEF" w14:textId="77777777" w:rsidTr="00B76A41">
        <w:trPr>
          <w:cantSplit/>
          <w:tblHeader/>
        </w:trPr>
        <w:tc>
          <w:tcPr>
            <w:tcW w:w="4077" w:type="dxa"/>
          </w:tcPr>
          <w:p w14:paraId="0239DA2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071C7CF" w14:textId="0D114376" w:rsidR="00F43AD5" w:rsidRPr="00717D45" w:rsidRDefault="007128D0" w:rsidP="00B76A41">
            <w:pPr>
              <w:pStyle w:val="Tablefont"/>
            </w:pPr>
            <w:r w:rsidRPr="007128D0">
              <w:t>108-95-2</w:t>
            </w:r>
          </w:p>
        </w:tc>
      </w:tr>
      <w:tr w:rsidR="00F43AD5" w:rsidRPr="004C23F4" w14:paraId="69D91375" w14:textId="77777777" w:rsidTr="00B76A41">
        <w:trPr>
          <w:cantSplit/>
        </w:trPr>
        <w:tc>
          <w:tcPr>
            <w:tcW w:w="4077" w:type="dxa"/>
          </w:tcPr>
          <w:p w14:paraId="4896382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5F52D56" w14:textId="42CF3A74" w:rsidR="00F43AD5" w:rsidRPr="00717D45" w:rsidRDefault="007128D0" w:rsidP="00B76A41">
            <w:pPr>
              <w:pStyle w:val="Tablefont"/>
            </w:pPr>
            <w:r>
              <w:t xml:space="preserve">Carbolic acid, </w:t>
            </w:r>
            <w:proofErr w:type="spellStart"/>
            <w:r>
              <w:t>hydroxybenzene</w:t>
            </w:r>
            <w:proofErr w:type="spellEnd"/>
            <w:r>
              <w:t xml:space="preserve">, </w:t>
            </w:r>
            <w:proofErr w:type="spellStart"/>
            <w:r>
              <w:t>oxybenzene</w:t>
            </w:r>
            <w:proofErr w:type="spellEnd"/>
            <w:r>
              <w:t xml:space="preserve">, </w:t>
            </w:r>
            <w:r w:rsidR="00300C60">
              <w:br/>
            </w:r>
            <w:proofErr w:type="spellStart"/>
            <w:r>
              <w:t>phenic</w:t>
            </w:r>
            <w:proofErr w:type="spellEnd"/>
            <w:r>
              <w:t xml:space="preserve"> acid, </w:t>
            </w:r>
            <w:proofErr w:type="spellStart"/>
            <w:r>
              <w:t>phenylic</w:t>
            </w:r>
            <w:proofErr w:type="spellEnd"/>
            <w:r>
              <w:t xml:space="preserve"> acid, phenyl hydroxide</w:t>
            </w:r>
          </w:p>
        </w:tc>
      </w:tr>
      <w:tr w:rsidR="00F43AD5" w:rsidRPr="004C23F4" w14:paraId="3C8B1AEA" w14:textId="77777777" w:rsidTr="00B76A41">
        <w:trPr>
          <w:cantSplit/>
        </w:trPr>
        <w:tc>
          <w:tcPr>
            <w:tcW w:w="4077" w:type="dxa"/>
          </w:tcPr>
          <w:p w14:paraId="47CC59D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59EEA31" w14:textId="65F91615" w:rsidR="00F43AD5" w:rsidRPr="00717D45" w:rsidRDefault="007128D0" w:rsidP="00B76A41">
            <w:pPr>
              <w:pStyle w:val="Tablefont"/>
            </w:pPr>
            <w:r>
              <w:t>C</w:t>
            </w:r>
            <w:r w:rsidRPr="007128D0">
              <w:rPr>
                <w:vertAlign w:val="subscript"/>
              </w:rPr>
              <w:t>6</w:t>
            </w:r>
            <w:r>
              <w:t>H</w:t>
            </w:r>
            <w:r w:rsidRPr="007128D0">
              <w:rPr>
                <w:vertAlign w:val="subscript"/>
              </w:rPr>
              <w:t>6</w:t>
            </w:r>
            <w:r>
              <w:t>O</w:t>
            </w:r>
          </w:p>
        </w:tc>
      </w:tr>
      <w:tr w:rsidR="00F43AD5" w:rsidRPr="004C23F4" w14:paraId="4509FAE4" w14:textId="77777777" w:rsidTr="00B76A41">
        <w:trPr>
          <w:cantSplit/>
        </w:trPr>
        <w:tc>
          <w:tcPr>
            <w:tcW w:w="4077" w:type="dxa"/>
          </w:tcPr>
          <w:p w14:paraId="3F9456E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8D7ACB9" w14:textId="3197396D" w:rsidR="00F43AD5" w:rsidRPr="00B40C60" w:rsidRDefault="007128D0" w:rsidP="00B76A41">
            <w:pPr>
              <w:pStyle w:val="Tablerowheading"/>
              <w:rPr>
                <w:b w:val="0"/>
              </w:rPr>
            </w:pPr>
            <w:r w:rsidRPr="007128D0">
              <w:rPr>
                <w:b w:val="0"/>
              </w:rPr>
              <w:t>—</w:t>
            </w:r>
          </w:p>
        </w:tc>
      </w:tr>
    </w:tbl>
    <w:p w14:paraId="2AEAD3D2" w14:textId="4628653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F492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A161D3D" w14:textId="77777777" w:rsidTr="003F4929">
        <w:trPr>
          <w:cantSplit/>
          <w:tblHeader/>
        </w:trPr>
        <w:tc>
          <w:tcPr>
            <w:tcW w:w="4005" w:type="dxa"/>
            <w:vAlign w:val="center"/>
          </w:tcPr>
          <w:p w14:paraId="0DCCF4B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AD4A04B" w14:textId="61149FE7" w:rsidR="002C7AFE" w:rsidRPr="003F4929" w:rsidRDefault="003F492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3F4929" w:rsidRPr="004C23F4" w14:paraId="30EF6914" w14:textId="77777777" w:rsidTr="003F4929">
        <w:trPr>
          <w:cantSplit/>
        </w:trPr>
        <w:tc>
          <w:tcPr>
            <w:tcW w:w="4005" w:type="dxa"/>
            <w:vAlign w:val="center"/>
          </w:tcPr>
          <w:p w14:paraId="5D6C6548" w14:textId="77777777" w:rsidR="003F4929" w:rsidRPr="002C58FF" w:rsidRDefault="003F4929" w:rsidP="003F4929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227656DF" w14:textId="1A6AB7C6" w:rsidR="003F4929" w:rsidRPr="00772F6F" w:rsidRDefault="003F4929" w:rsidP="003F4929">
            <w:pPr>
              <w:pStyle w:val="Tablefont"/>
              <w:rPr>
                <w:b/>
              </w:rPr>
            </w:pPr>
            <w:r w:rsidRPr="00772F6F">
              <w:rPr>
                <w:b/>
              </w:rPr>
              <w:t>—</w:t>
            </w:r>
          </w:p>
        </w:tc>
      </w:tr>
      <w:tr w:rsidR="003F4929" w:rsidRPr="004C23F4" w14:paraId="0C37542F" w14:textId="77777777" w:rsidTr="003F4929">
        <w:trPr>
          <w:cantSplit/>
        </w:trPr>
        <w:tc>
          <w:tcPr>
            <w:tcW w:w="4005" w:type="dxa"/>
            <w:vAlign w:val="center"/>
          </w:tcPr>
          <w:p w14:paraId="6B9EE35A" w14:textId="77777777" w:rsidR="003F4929" w:rsidRPr="002C58FF" w:rsidRDefault="003F4929" w:rsidP="003F4929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984F1A6" w14:textId="0B18E679" w:rsidR="003F4929" w:rsidRPr="00772F6F" w:rsidRDefault="003F4929" w:rsidP="003F4929">
            <w:pPr>
              <w:pStyle w:val="Tablefont"/>
              <w:rPr>
                <w:b/>
              </w:rPr>
            </w:pPr>
            <w:r w:rsidRPr="00772F6F">
              <w:rPr>
                <w:b/>
              </w:rPr>
              <w:t>—</w:t>
            </w:r>
          </w:p>
        </w:tc>
      </w:tr>
      <w:tr w:rsidR="002C7AFE" w:rsidRPr="004C23F4" w14:paraId="60340A9A" w14:textId="77777777" w:rsidTr="003F4929">
        <w:trPr>
          <w:cantSplit/>
        </w:trPr>
        <w:tc>
          <w:tcPr>
            <w:tcW w:w="4005" w:type="dxa"/>
          </w:tcPr>
          <w:p w14:paraId="41A5519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E38B2E6" w14:textId="41276851" w:rsidR="002C7AFE" w:rsidRPr="00EB3D1B" w:rsidRDefault="003F492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3DE77984" w14:textId="77777777" w:rsidTr="003F4929">
        <w:trPr>
          <w:cantSplit/>
        </w:trPr>
        <w:tc>
          <w:tcPr>
            <w:tcW w:w="4005" w:type="dxa"/>
            <w:vAlign w:val="center"/>
          </w:tcPr>
          <w:p w14:paraId="4787A94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3A7537B9" w14:textId="1E23EA50" w:rsidR="002C7AFE" w:rsidRPr="00EB3D1B" w:rsidRDefault="007128D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250 ppm</w:t>
            </w:r>
          </w:p>
        </w:tc>
      </w:tr>
      <w:tr w:rsidR="00772F6F" w:rsidRPr="004C23F4" w14:paraId="0EE28A5B" w14:textId="77777777" w:rsidTr="00BD577A">
        <w:trPr>
          <w:cantSplit/>
        </w:trPr>
        <w:tc>
          <w:tcPr>
            <w:tcW w:w="9026" w:type="dxa"/>
            <w:gridSpan w:val="2"/>
            <w:vAlign w:val="center"/>
          </w:tcPr>
          <w:p w14:paraId="14189A42" w14:textId="2FCA09CA" w:rsidR="00772F6F" w:rsidRPr="00EB3D1B" w:rsidRDefault="00772F6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Sampling and </w:t>
            </w:r>
            <w:r w:rsidRPr="00772F6F">
              <w:rPr>
                <w:b/>
              </w:rPr>
              <w:t>analysis:</w:t>
            </w:r>
            <w:r w:rsidRPr="00772F6F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29CAF2909AF466EA5CC9ACEAECE5F85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B7109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3E2774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095C33E" w14:textId="248DC9FE" w:rsidR="003F4929" w:rsidRPr="00627CE0" w:rsidRDefault="003F4929" w:rsidP="003F4929">
      <w:pPr>
        <w:rPr>
          <w:rFonts w:cs="Arial"/>
        </w:rPr>
      </w:pPr>
      <w:r w:rsidRPr="003F4929">
        <w:rPr>
          <w:rFonts w:cs="Arial"/>
        </w:rPr>
        <w:t>A TWA of</w:t>
      </w:r>
      <w:r>
        <w:rPr>
          <w:rFonts w:cs="Arial"/>
        </w:rPr>
        <w:t xml:space="preserve"> 1</w:t>
      </w:r>
      <w:r w:rsidRPr="003F4929">
        <w:rPr>
          <w:rFonts w:cs="Arial"/>
        </w:rPr>
        <w:t xml:space="preserve"> ppm</w:t>
      </w:r>
      <w:r>
        <w:rPr>
          <w:rFonts w:cs="Arial"/>
        </w:rPr>
        <w:t xml:space="preserve"> (4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3F4929">
        <w:rPr>
          <w:rFonts w:cs="Arial"/>
        </w:rPr>
        <w:t xml:space="preserve"> is recommended to </w:t>
      </w:r>
      <w:r>
        <w:rPr>
          <w:rFonts w:cs="Arial"/>
        </w:rPr>
        <w:t>protect</w:t>
      </w:r>
      <w:r w:rsidRPr="003F4929">
        <w:rPr>
          <w:rFonts w:cs="Arial"/>
        </w:rPr>
        <w:t xml:space="preserve"> for irritation</w:t>
      </w:r>
      <w:r>
        <w:rPr>
          <w:rFonts w:cs="Arial"/>
        </w:rPr>
        <w:t xml:space="preserve"> and systemic toxicity</w:t>
      </w:r>
      <w:r w:rsidRPr="003F4929">
        <w:rPr>
          <w:rFonts w:cs="Arial"/>
        </w:rPr>
        <w:t xml:space="preserve"> </w:t>
      </w:r>
      <w:r>
        <w:rPr>
          <w:rFonts w:cs="Arial"/>
        </w:rPr>
        <w:t>in exposed workers.</w:t>
      </w:r>
    </w:p>
    <w:p w14:paraId="7E2C4D4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8C2588C" w14:textId="6EC6D1B7" w:rsidR="00F43C87" w:rsidRDefault="005D36BE" w:rsidP="006639B4">
      <w:pPr>
        <w:rPr>
          <w:rFonts w:cs="Arial"/>
        </w:rPr>
      </w:pPr>
      <w:r>
        <w:rPr>
          <w:rFonts w:cs="Arial"/>
        </w:rPr>
        <w:t xml:space="preserve">Phenol </w:t>
      </w:r>
      <w:r w:rsidR="0051230E">
        <w:rPr>
          <w:rFonts w:cs="Arial"/>
        </w:rPr>
        <w:t>is</w:t>
      </w:r>
      <w:r>
        <w:rPr>
          <w:rFonts w:cs="Arial"/>
        </w:rPr>
        <w:t xml:space="preserve"> used commercial</w:t>
      </w:r>
      <w:r w:rsidR="00FF5EEC">
        <w:rPr>
          <w:rFonts w:cs="Arial"/>
        </w:rPr>
        <w:t>ly</w:t>
      </w:r>
      <w:r>
        <w:rPr>
          <w:rFonts w:cs="Arial"/>
        </w:rPr>
        <w:t xml:space="preserve"> in adhesives</w:t>
      </w:r>
      <w:r w:rsidR="00772F6F">
        <w:rPr>
          <w:rFonts w:cs="Arial"/>
        </w:rPr>
        <w:t>,</w:t>
      </w:r>
      <w:r>
        <w:rPr>
          <w:rFonts w:cs="Arial"/>
        </w:rPr>
        <w:t xml:space="preserve"> plastics and surface coatings</w:t>
      </w:r>
      <w:r w:rsidR="00FF5EEC">
        <w:rPr>
          <w:rFonts w:cs="Arial"/>
        </w:rPr>
        <w:t xml:space="preserve"> and</w:t>
      </w:r>
      <w:r>
        <w:rPr>
          <w:rFonts w:cs="Arial"/>
        </w:rPr>
        <w:t xml:space="preserve"> </w:t>
      </w:r>
      <w:r w:rsidR="00300C60">
        <w:rPr>
          <w:rFonts w:cs="Arial"/>
        </w:rPr>
        <w:t xml:space="preserve">in the </w:t>
      </w:r>
      <w:r>
        <w:rPr>
          <w:rFonts w:cs="Arial"/>
        </w:rPr>
        <w:t>manufacturing of chemicals</w:t>
      </w:r>
      <w:r w:rsidR="00FF5EEC">
        <w:rPr>
          <w:rFonts w:cs="Arial"/>
        </w:rPr>
        <w:t xml:space="preserve"> and pharmaceuticals</w:t>
      </w:r>
      <w:r>
        <w:rPr>
          <w:rFonts w:cs="Arial"/>
        </w:rPr>
        <w:t xml:space="preserve">. </w:t>
      </w:r>
      <w:r w:rsidR="005A28AF">
        <w:rPr>
          <w:rFonts w:cs="Arial"/>
        </w:rPr>
        <w:tab/>
      </w:r>
    </w:p>
    <w:p w14:paraId="3224EB08" w14:textId="77777777" w:rsidR="001C70CF" w:rsidRDefault="005D36BE" w:rsidP="00627CE0">
      <w:pPr>
        <w:rPr>
          <w:rFonts w:cs="Arial"/>
        </w:rPr>
      </w:pPr>
      <w:r>
        <w:rPr>
          <w:rFonts w:cs="Arial"/>
        </w:rPr>
        <w:t xml:space="preserve">The critical effects </w:t>
      </w:r>
      <w:r w:rsidR="00F43C87">
        <w:rPr>
          <w:rFonts w:cs="Arial"/>
        </w:rPr>
        <w:t>of</w:t>
      </w:r>
      <w:r>
        <w:rPr>
          <w:rFonts w:cs="Arial"/>
        </w:rPr>
        <w:t xml:space="preserve"> exposure are </w:t>
      </w:r>
      <w:r>
        <w:t>eye and respiratory irritation, with some potential for systemic toxicity including cardiovascular, hepatic</w:t>
      </w:r>
      <w:r w:rsidR="00300C60">
        <w:t xml:space="preserve"> (liver)</w:t>
      </w:r>
      <w:r>
        <w:t>, renal</w:t>
      </w:r>
      <w:r w:rsidR="00300C60">
        <w:t xml:space="preserve"> (kidney)</w:t>
      </w:r>
      <w:r>
        <w:t xml:space="preserve"> and neurologic effects.</w:t>
      </w:r>
      <w:r>
        <w:rPr>
          <w:rFonts w:cs="Arial"/>
        </w:rPr>
        <w:t xml:space="preserve"> </w:t>
      </w:r>
    </w:p>
    <w:p w14:paraId="14FBC4CD" w14:textId="1BA34F6F" w:rsidR="00627CE0" w:rsidRDefault="005D36BE" w:rsidP="00627CE0">
      <w:r>
        <w:rPr>
          <w:rFonts w:cs="Arial"/>
        </w:rPr>
        <w:t xml:space="preserve">Phenol is an irritant </w:t>
      </w:r>
      <w:r w:rsidR="00772F6F">
        <w:rPr>
          <w:rFonts w:cs="Arial"/>
        </w:rPr>
        <w:t xml:space="preserve">to </w:t>
      </w:r>
      <w:r>
        <w:t>the eyes, mucous membranes and skin</w:t>
      </w:r>
      <w:r w:rsidR="00627CE0">
        <w:t xml:space="preserve">. It readily penetrates the skin with numerous reports of accidental skin exposure and absorption resulting in poisoning and adverse outcomes. </w:t>
      </w:r>
      <w:r w:rsidR="001C70CF">
        <w:t>N</w:t>
      </w:r>
      <w:r w:rsidR="00627CE0">
        <w:t xml:space="preserve">o ill effects </w:t>
      </w:r>
      <w:r w:rsidR="001C70CF">
        <w:t xml:space="preserve">reported </w:t>
      </w:r>
      <w:r w:rsidR="00627CE0">
        <w:t xml:space="preserve">after </w:t>
      </w:r>
      <w:r w:rsidR="001C70CF">
        <w:t xml:space="preserve">male and female volunteers </w:t>
      </w:r>
      <w:r w:rsidR="00627CE0">
        <w:t xml:space="preserve">were exposed multiple times at up to 5.2 ppm for </w:t>
      </w:r>
      <w:r w:rsidR="00CD5B97">
        <w:t>eight</w:t>
      </w:r>
      <w:r w:rsidR="00627CE0">
        <w:t xml:space="preserve"> hours </w:t>
      </w:r>
      <w:r w:rsidR="00627CE0" w:rsidRPr="00300C60">
        <w:rPr>
          <w:i/>
        </w:rPr>
        <w:t>via</w:t>
      </w:r>
      <w:r w:rsidR="00627CE0">
        <w:t xml:space="preserve"> inhalation only and at 6</w:t>
      </w:r>
      <w:r w:rsidR="00A451C4">
        <w:t xml:space="preserve">.8 ppm dermally </w:t>
      </w:r>
      <w:r w:rsidR="00A451C4" w:rsidRPr="00300C60">
        <w:rPr>
          <w:i/>
        </w:rPr>
        <w:t>via</w:t>
      </w:r>
      <w:r w:rsidR="00A451C4">
        <w:t xml:space="preserve"> whole-body chamber and a fresh air mask. </w:t>
      </w:r>
      <w:r w:rsidR="0069550C">
        <w:t>In a separate study,</w:t>
      </w:r>
      <w:r w:rsidR="0069550C" w:rsidDel="001C70CF">
        <w:t xml:space="preserve"> </w:t>
      </w:r>
      <w:r w:rsidR="0069550C">
        <w:t>w</w:t>
      </w:r>
      <w:r w:rsidR="00A451C4">
        <w:t xml:space="preserve">orkers exposed </w:t>
      </w:r>
      <w:r w:rsidR="00300C60">
        <w:t>up to</w:t>
      </w:r>
      <w:r w:rsidR="001058F2">
        <w:t xml:space="preserve"> </w:t>
      </w:r>
      <w:r w:rsidR="00A451C4">
        <w:t>3.3</w:t>
      </w:r>
      <w:r w:rsidR="00CD5B97">
        <w:t> </w:t>
      </w:r>
      <w:r w:rsidR="00A451C4">
        <w:t>ppm (12.5 mg/</w:t>
      </w:r>
      <w:r w:rsidR="00A451C4" w:rsidRPr="00E56CA3">
        <w:t>m</w:t>
      </w:r>
      <w:r w:rsidR="00A451C4">
        <w:rPr>
          <w:vertAlign w:val="superscript"/>
        </w:rPr>
        <w:t>3</w:t>
      </w:r>
      <w:r w:rsidR="00A451C4">
        <w:t>) experienced no ill effects</w:t>
      </w:r>
      <w:r w:rsidR="00DD70DA">
        <w:t>; n</w:t>
      </w:r>
      <w:r w:rsidR="00A451C4">
        <w:t xml:space="preserve">o further details are provided. Animals exposed at 26 ppm for 28 to 88 days suffered adverse respiratory, cardiovascular, hepatic, renal and neurologic effects (ACGIH, 2018). A NOAEC of 5 ppm </w:t>
      </w:r>
      <w:r w:rsidR="00300C60">
        <w:t>i</w:t>
      </w:r>
      <w:r w:rsidR="00A451C4">
        <w:t xml:space="preserve">s determined in monkeys, rats and </w:t>
      </w:r>
      <w:r w:rsidR="003F4929">
        <w:t>mice for systemic toxicity (</w:t>
      </w:r>
      <w:r w:rsidR="00F43C87">
        <w:t xml:space="preserve">NICNAS 2014; </w:t>
      </w:r>
      <w:r w:rsidR="003F4929">
        <w:t>SCOEL, 2003).</w:t>
      </w:r>
    </w:p>
    <w:p w14:paraId="108E76DD" w14:textId="200D611F" w:rsidR="00300C60" w:rsidRDefault="00DD70DA" w:rsidP="00627CE0">
      <w:pPr>
        <w:rPr>
          <w:rFonts w:cs="Arial"/>
        </w:rPr>
      </w:pPr>
      <w:r>
        <w:rPr>
          <w:rFonts w:cs="Arial"/>
        </w:rPr>
        <w:t>Based on the available data, t</w:t>
      </w:r>
      <w:r w:rsidR="001C70CF">
        <w:rPr>
          <w:rFonts w:cs="Arial"/>
        </w:rPr>
        <w:t xml:space="preserve">he </w:t>
      </w:r>
      <w:r w:rsidR="003F4929" w:rsidRPr="003F4929">
        <w:rPr>
          <w:rFonts w:cs="Arial"/>
        </w:rPr>
        <w:t>TWA of</w:t>
      </w:r>
      <w:r w:rsidR="003F4929">
        <w:rPr>
          <w:rFonts w:cs="Arial"/>
        </w:rPr>
        <w:t xml:space="preserve"> 1</w:t>
      </w:r>
      <w:r w:rsidR="003F4929" w:rsidRPr="003F4929">
        <w:rPr>
          <w:rFonts w:cs="Arial"/>
        </w:rPr>
        <w:t xml:space="preserve"> ppm</w:t>
      </w:r>
      <w:r w:rsidR="003F4929">
        <w:rPr>
          <w:rFonts w:cs="Arial"/>
        </w:rPr>
        <w:t xml:space="preserve"> (4 mg/m</w:t>
      </w:r>
      <w:r w:rsidR="003F4929">
        <w:rPr>
          <w:rFonts w:cs="Arial"/>
          <w:vertAlign w:val="superscript"/>
        </w:rPr>
        <w:t>3</w:t>
      </w:r>
      <w:r w:rsidR="003F4929">
        <w:rPr>
          <w:rFonts w:cs="Arial"/>
        </w:rPr>
        <w:t>)</w:t>
      </w:r>
      <w:r w:rsidR="003F4929" w:rsidRPr="003F4929">
        <w:rPr>
          <w:rFonts w:cs="Arial"/>
        </w:rPr>
        <w:t xml:space="preserve"> is recommended</w:t>
      </w:r>
      <w:r w:rsidR="001C70CF">
        <w:rPr>
          <w:rFonts w:cs="Arial"/>
        </w:rPr>
        <w:t xml:space="preserve"> </w:t>
      </w:r>
      <w:r w:rsidR="0069550C">
        <w:rPr>
          <w:rFonts w:cs="Arial"/>
        </w:rPr>
        <w:t xml:space="preserve">to </w:t>
      </w:r>
      <w:r w:rsidR="001C70CF">
        <w:rPr>
          <w:rFonts w:cs="Arial"/>
        </w:rPr>
        <w:t>be retained</w:t>
      </w:r>
      <w:r w:rsidR="003F4929" w:rsidRPr="003F4929">
        <w:rPr>
          <w:rFonts w:cs="Arial"/>
        </w:rPr>
        <w:t xml:space="preserve"> </w:t>
      </w:r>
      <w:r w:rsidR="001C70CF">
        <w:rPr>
          <w:rFonts w:cs="Arial"/>
        </w:rPr>
        <w:t xml:space="preserve">and </w:t>
      </w:r>
      <w:r w:rsidR="003F4929" w:rsidRPr="003F4929">
        <w:rPr>
          <w:rFonts w:cs="Arial"/>
        </w:rPr>
        <w:t>is considered protective for irritation effects</w:t>
      </w:r>
      <w:r w:rsidR="003F4929">
        <w:rPr>
          <w:rFonts w:cs="Arial"/>
        </w:rPr>
        <w:t xml:space="preserve"> and systemic toxicity</w:t>
      </w:r>
      <w:r w:rsidR="003F4929" w:rsidRPr="003F4929">
        <w:rPr>
          <w:rFonts w:cs="Arial"/>
        </w:rPr>
        <w:t xml:space="preserve"> reported in animals.</w:t>
      </w:r>
      <w:r w:rsidR="000C3B27">
        <w:rPr>
          <w:rFonts w:cs="Arial"/>
        </w:rPr>
        <w:t xml:space="preserve"> </w:t>
      </w:r>
    </w:p>
    <w:p w14:paraId="4BE75289" w14:textId="1C976A1C" w:rsidR="003F4929" w:rsidRPr="00627CE0" w:rsidRDefault="000C3B27" w:rsidP="00627CE0">
      <w:pPr>
        <w:rPr>
          <w:rFonts w:cs="Arial"/>
        </w:rPr>
      </w:pPr>
      <w:r>
        <w:rPr>
          <w:rFonts w:cs="Arial"/>
        </w:rPr>
        <w:t xml:space="preserve">Insufficient evidence </w:t>
      </w:r>
      <w:r w:rsidR="0069550C">
        <w:rPr>
          <w:rFonts w:cs="Arial"/>
        </w:rPr>
        <w:t xml:space="preserve">is available </w:t>
      </w:r>
      <w:r>
        <w:rPr>
          <w:rFonts w:cs="Arial"/>
        </w:rPr>
        <w:t>to recommend a STEL.</w:t>
      </w:r>
    </w:p>
    <w:p w14:paraId="47A98859" w14:textId="77777777" w:rsidR="004529F0" w:rsidRPr="004C23F4" w:rsidRDefault="004529F0" w:rsidP="00772F6F">
      <w:pPr>
        <w:pStyle w:val="Heading2"/>
      </w:pPr>
      <w:r>
        <w:lastRenderedPageBreak/>
        <w:t>Recommendation for notations</w:t>
      </w:r>
    </w:p>
    <w:p w14:paraId="1786DB89" w14:textId="6B877A19" w:rsidR="007128D0" w:rsidRPr="00265858" w:rsidRDefault="007128D0" w:rsidP="0024764C">
      <w:pPr>
        <w:keepNext/>
        <w:rPr>
          <w:rFonts w:cs="Arial"/>
        </w:rPr>
      </w:pPr>
      <w:r w:rsidRPr="00265858">
        <w:rPr>
          <w:rFonts w:cs="Arial"/>
        </w:rPr>
        <w:t>Not classified as a carcinogen according to the Globally Harmonized System of</w:t>
      </w:r>
      <w:r w:rsidR="003F4929">
        <w:rPr>
          <w:rFonts w:cs="Arial"/>
        </w:rPr>
        <w:t xml:space="preserve"> Classification and Labelling of</w:t>
      </w:r>
      <w:r w:rsidRPr="00265858">
        <w:rPr>
          <w:rFonts w:cs="Arial"/>
        </w:rPr>
        <w:t xml:space="preserve"> Chemicals (GHS). </w:t>
      </w:r>
    </w:p>
    <w:p w14:paraId="2BA0D530" w14:textId="39E542C5" w:rsidR="007128D0" w:rsidRPr="00265858" w:rsidRDefault="007128D0" w:rsidP="0024764C">
      <w:pPr>
        <w:keepNext/>
        <w:rPr>
          <w:rFonts w:cs="Arial"/>
        </w:rPr>
      </w:pPr>
      <w:r w:rsidRPr="00265858">
        <w:rPr>
          <w:rFonts w:cs="Arial"/>
        </w:rPr>
        <w:t>Not classified as a skin</w:t>
      </w:r>
      <w:r w:rsidR="003F4929">
        <w:rPr>
          <w:rFonts w:cs="Arial"/>
        </w:rPr>
        <w:t xml:space="preserve"> sensitiser</w:t>
      </w:r>
      <w:r w:rsidRPr="00265858">
        <w:rPr>
          <w:rFonts w:cs="Arial"/>
        </w:rPr>
        <w:t xml:space="preserve"> or respiratory sensitiser according to the GHS.</w:t>
      </w:r>
    </w:p>
    <w:p w14:paraId="541F51AD" w14:textId="48B3D807" w:rsidR="007128D0" w:rsidRPr="004C23F4" w:rsidRDefault="003F4929" w:rsidP="007128D0">
      <w:pPr>
        <w:rPr>
          <w:rFonts w:cs="Arial"/>
        </w:rPr>
      </w:pPr>
      <w:r>
        <w:rPr>
          <w:rFonts w:cs="Arial"/>
        </w:rPr>
        <w:t>A</w:t>
      </w:r>
      <w:r w:rsidR="007128D0" w:rsidRPr="00265858">
        <w:rPr>
          <w:rFonts w:cs="Arial"/>
        </w:rPr>
        <w:t xml:space="preserve"> skin not</w:t>
      </w:r>
      <w:r>
        <w:rPr>
          <w:rFonts w:cs="Arial"/>
        </w:rPr>
        <w:t>ation is recommended based on evidence of dermal uptake and systemic effects in humans and animals</w:t>
      </w:r>
      <w:r w:rsidR="00FF5EEC">
        <w:rPr>
          <w:rFonts w:cs="Arial"/>
        </w:rPr>
        <w:t>.</w:t>
      </w:r>
    </w:p>
    <w:p w14:paraId="3BF2C4E4" w14:textId="77777777" w:rsidR="0025734A" w:rsidRPr="004C23F4" w:rsidRDefault="0025734A">
      <w:pPr>
        <w:rPr>
          <w:rFonts w:cs="Arial"/>
        </w:rPr>
      </w:pPr>
    </w:p>
    <w:p w14:paraId="4B5D142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CDC0E7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123B85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B144097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2636B3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7436BD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2FEE27B" w14:textId="45FDB1F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930B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930B7">
                  <w:t>TWA: 1 ppm (4 mg/m</w:t>
                </w:r>
                <w:r w:rsidR="00B930B7" w:rsidRPr="00B930B7">
                  <w:rPr>
                    <w:vertAlign w:val="superscript"/>
                  </w:rPr>
                  <w:t>3</w:t>
                </w:r>
                <w:r w:rsidR="00B930B7">
                  <w:t>)</w:t>
                </w:r>
              </w:sdtContent>
            </w:sdt>
          </w:p>
        </w:tc>
      </w:tr>
      <w:tr w:rsidR="00C978F0" w:rsidRPr="00DA352E" w14:paraId="638F208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8BF05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4A3F9D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DFB15D" w14:textId="26B463F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930B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930B7">
                  <w:t>TLV-TWA: 5 ppm (19 mg/m</w:t>
                </w:r>
                <w:r w:rsidR="00B930B7" w:rsidRPr="00B930B7">
                  <w:rPr>
                    <w:vertAlign w:val="superscript"/>
                  </w:rPr>
                  <w:t>3</w:t>
                </w:r>
                <w:r w:rsidR="00B930B7">
                  <w:t>)</w:t>
                </w:r>
              </w:sdtContent>
            </w:sdt>
          </w:p>
        </w:tc>
      </w:tr>
      <w:tr w:rsidR="00C978F0" w:rsidRPr="00DA352E" w14:paraId="471F9A7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E57065" w14:textId="50A6913D" w:rsidR="00C978F0" w:rsidRDefault="0037740F" w:rsidP="00CD5B97">
            <w:pPr>
              <w:pStyle w:val="Tabletextprimarysource"/>
            </w:pPr>
            <w:r>
              <w:t xml:space="preserve">TLV-TWA recommended to minimise the potential for eye </w:t>
            </w:r>
            <w:r w:rsidR="00E56CA3">
              <w:t xml:space="preserve">and respiratory irritation and </w:t>
            </w:r>
            <w:r>
              <w:t>cardiovascular, hepatic, renal and neurologic toxicity.</w:t>
            </w:r>
          </w:p>
          <w:p w14:paraId="4D76DC97" w14:textId="338093C1" w:rsidR="0037740F" w:rsidRDefault="0037740F" w:rsidP="00CD5B97">
            <w:pPr>
              <w:pStyle w:val="Tabletextprimarysource"/>
            </w:pPr>
            <w:r>
              <w:t>Summary of data:</w:t>
            </w:r>
          </w:p>
          <w:p w14:paraId="66B11712" w14:textId="7EBFBBF5" w:rsidR="00A54AAC" w:rsidRDefault="00A54AAC" w:rsidP="00CD5B97">
            <w:pPr>
              <w:pStyle w:val="Tabletextprimarysource"/>
            </w:pPr>
            <w:r>
              <w:t xml:space="preserve">TLV-TWA based on evidence of workers and volunteers exposed </w:t>
            </w:r>
            <w:r>
              <w:rPr>
                <w:rFonts w:cs="Arial"/>
              </w:rPr>
              <w:t>≤</w:t>
            </w:r>
            <w:r>
              <w:t>5.2 ppm experiencing no ill effects.</w:t>
            </w:r>
          </w:p>
          <w:p w14:paraId="7B1903BA" w14:textId="77777777" w:rsidR="0037740F" w:rsidRDefault="0037740F" w:rsidP="00CD5B97">
            <w:pPr>
              <w:pStyle w:val="Tabletextprimarysource"/>
            </w:pPr>
            <w:r>
              <w:t>Human data:</w:t>
            </w:r>
          </w:p>
          <w:p w14:paraId="47F6A77A" w14:textId="211EC1EE" w:rsidR="0037740F" w:rsidRDefault="0037740F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Irritant of the eyes, mucous membranes and skin</w:t>
            </w:r>
          </w:p>
          <w:p w14:paraId="68045EE2" w14:textId="04D3AF3F" w:rsidR="0037740F" w:rsidRDefault="0037740F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Numerous reports of accidental skin exposure and absorption resulting in clinical and pathological outcomes and death</w:t>
            </w:r>
          </w:p>
          <w:p w14:paraId="4CC8E2EC" w14:textId="7DB1F82E" w:rsidR="0037740F" w:rsidRDefault="0037740F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Readily penetrates skin with absorption efficiency </w:t>
            </w:r>
            <w:r w:rsidR="00FF5EEC">
              <w:rPr>
                <w:rFonts w:cs="Arial"/>
              </w:rPr>
              <w:t>≈</w:t>
            </w:r>
            <w:r w:rsidR="00FF5EEC">
              <w:t xml:space="preserve"> </w:t>
            </w:r>
            <w:r>
              <w:t>inhalation</w:t>
            </w:r>
            <w:r w:rsidR="00FF5EEC">
              <w:t xml:space="preserve"> rate</w:t>
            </w:r>
          </w:p>
          <w:p w14:paraId="2E046C88" w14:textId="6DDD9807" w:rsidR="00353A26" w:rsidRDefault="0037740F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7 males and1 female</w:t>
            </w:r>
            <w:r w:rsidR="00353A26">
              <w:t xml:space="preserve"> exposed either </w:t>
            </w:r>
            <w:r w:rsidR="00353A26" w:rsidRPr="00300C60">
              <w:rPr>
                <w:i/>
              </w:rPr>
              <w:t>via</w:t>
            </w:r>
            <w:r w:rsidR="00353A26">
              <w:t xml:space="preserve"> inhalation or dermally:</w:t>
            </w:r>
          </w:p>
          <w:p w14:paraId="61686BC5" w14:textId="34028919" w:rsidR="0037740F" w:rsidRDefault="00353A26" w:rsidP="0024764C">
            <w:pPr>
              <w:pStyle w:val="ListBullet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 xml:space="preserve">exposed </w:t>
            </w:r>
            <w:r w:rsidRPr="00300C60">
              <w:rPr>
                <w:i/>
              </w:rPr>
              <w:t>via</w:t>
            </w:r>
            <w:r>
              <w:t xml:space="preserve"> a closed mask at 1.5</w:t>
            </w:r>
            <w:r w:rsidR="00CD5B97">
              <w:t>–</w:t>
            </w:r>
            <w:r>
              <w:t>5.22 ppm (6</w:t>
            </w:r>
            <w:r w:rsidR="00CD5B97">
              <w:t>–</w:t>
            </w:r>
            <w:r>
              <w:t>20 mg/m</w:t>
            </w:r>
            <w:r>
              <w:rPr>
                <w:vertAlign w:val="superscript"/>
              </w:rPr>
              <w:t>3</w:t>
            </w:r>
            <w:r w:rsidR="00FF5EEC">
              <w:t>) 11 times for 8 h with 2 x 0.2</w:t>
            </w:r>
            <w:r w:rsidR="003E6ED2">
              <w:t> </w:t>
            </w:r>
            <w:r w:rsidR="00FF5EEC">
              <w:t>h</w:t>
            </w:r>
            <w:r>
              <w:t xml:space="preserve"> breaks; </w:t>
            </w:r>
          </w:p>
          <w:p w14:paraId="3204373F" w14:textId="77777777" w:rsidR="003E6ED2" w:rsidRDefault="00353A26" w:rsidP="0024764C">
            <w:pPr>
              <w:pStyle w:val="ListBullet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dermally exposed</w:t>
            </w:r>
            <w:r w:rsidR="00E56CA3">
              <w:t xml:space="preserve"> </w:t>
            </w:r>
            <w:r w:rsidR="00CD5B97">
              <w:t>(</w:t>
            </w:r>
            <w:r w:rsidR="00E56CA3">
              <w:t>3 x clothed and 1 x unclothed</w:t>
            </w:r>
            <w:r w:rsidR="00CD5B97">
              <w:t>)</w:t>
            </w:r>
            <w:r>
              <w:t xml:space="preserve"> to airborne concentrations of</w:t>
            </w:r>
            <w:r w:rsidR="00E56CA3">
              <w:t xml:space="preserve"> </w:t>
            </w:r>
          </w:p>
          <w:p w14:paraId="555F7237" w14:textId="67F4B658" w:rsidR="00353A26" w:rsidRDefault="00E56CA3" w:rsidP="00300C60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  <w:r>
              <w:t>1.3</w:t>
            </w:r>
            <w:r w:rsidR="00CD5B97">
              <w:t>–</w:t>
            </w:r>
            <w:r w:rsidR="00FF5EEC">
              <w:t>6.8 </w:t>
            </w:r>
            <w:r>
              <w:t>ppm (5</w:t>
            </w:r>
            <w:r w:rsidR="00CD5B97">
              <w:t>–</w:t>
            </w:r>
            <w:r>
              <w:t>26 mg/m</w:t>
            </w:r>
            <w:r>
              <w:rPr>
                <w:vertAlign w:val="superscript"/>
              </w:rPr>
              <w:t>3</w:t>
            </w:r>
            <w:r>
              <w:t>) in a whole-body chamber with fresh air supplied by a face mask to prevent inhalation of pheno</w:t>
            </w:r>
            <w:r w:rsidR="00FF5EEC">
              <w:t>l; exposure duration was 6 h</w:t>
            </w:r>
            <w:r>
              <w:t xml:space="preserve"> with 1 short break</w:t>
            </w:r>
          </w:p>
          <w:p w14:paraId="02940193" w14:textId="5BE9F70A" w:rsidR="00E56CA3" w:rsidRDefault="00E56CA3" w:rsidP="0024764C">
            <w:pPr>
              <w:pStyle w:val="ListBullet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 xml:space="preserve">rates of excretion </w:t>
            </w:r>
            <w:r w:rsidRPr="00300C60">
              <w:rPr>
                <w:i/>
              </w:rPr>
              <w:t>via</w:t>
            </w:r>
            <w:r>
              <w:t xml:space="preserve"> urine similar </w:t>
            </w:r>
            <w:r w:rsidRPr="00300C60">
              <w:rPr>
                <w:i/>
              </w:rPr>
              <w:t>via</w:t>
            </w:r>
            <w:r>
              <w:t xml:space="preserve"> both routes of exposure</w:t>
            </w:r>
          </w:p>
          <w:p w14:paraId="75971A09" w14:textId="0900CAFD" w:rsidR="00E56CA3" w:rsidRDefault="00E56CA3" w:rsidP="0024764C">
            <w:pPr>
              <w:pStyle w:val="ListBullet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no signs or symptoms of intoxication</w:t>
            </w:r>
          </w:p>
          <w:p w14:paraId="60E65E27" w14:textId="2225D303" w:rsidR="0037740F" w:rsidRDefault="0037740F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Workers </w:t>
            </w:r>
            <w:r w:rsidR="00E56CA3">
              <w:t>exposed at a range of 0</w:t>
            </w:r>
            <w:r w:rsidR="00CD5B97">
              <w:t>–</w:t>
            </w:r>
            <w:r w:rsidR="00E56CA3">
              <w:t>3.3 ppm (12.5 mg/</w:t>
            </w:r>
            <w:r w:rsidR="00E56CA3" w:rsidRPr="00E56CA3">
              <w:t>m</w:t>
            </w:r>
            <w:r w:rsidR="00E56CA3">
              <w:rPr>
                <w:vertAlign w:val="superscript"/>
              </w:rPr>
              <w:t>3</w:t>
            </w:r>
            <w:r w:rsidR="00E56CA3">
              <w:t>)</w:t>
            </w:r>
            <w:r>
              <w:t xml:space="preserve"> experienced no ill effects</w:t>
            </w:r>
            <w:r w:rsidR="00E56CA3">
              <w:t>; no further details</w:t>
            </w:r>
            <w:r w:rsidR="00CD5B97">
              <w:t>.</w:t>
            </w:r>
          </w:p>
          <w:p w14:paraId="2AF0887E" w14:textId="77777777" w:rsidR="00E56CA3" w:rsidRDefault="00E56CA3" w:rsidP="00CD5B97">
            <w:pPr>
              <w:pStyle w:val="Tabletextprimarysource"/>
            </w:pPr>
            <w:r>
              <w:t>Animal data:</w:t>
            </w:r>
          </w:p>
          <w:p w14:paraId="166E9B83" w14:textId="6B2CBDF8" w:rsidR="00300C60" w:rsidRDefault="00E56CA3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Guinea pigs, rabbits and rats 26</w:t>
            </w:r>
            <w:r w:rsidR="00CD5B97">
              <w:t>–</w:t>
            </w:r>
            <w:r>
              <w:t>52 ppm 7 h/d, 5 d/</w:t>
            </w:r>
            <w:proofErr w:type="spellStart"/>
            <w:r>
              <w:t>wk</w:t>
            </w:r>
            <w:proofErr w:type="spellEnd"/>
            <w:r>
              <w:t xml:space="preserve"> for 28</w:t>
            </w:r>
            <w:r w:rsidR="00CD5B97">
              <w:t>–</w:t>
            </w:r>
            <w:r>
              <w:t>88 d; respiratory, cardiovascular, hepatic, renal and neurologic toxicity</w:t>
            </w:r>
            <w:r w:rsidR="002518E2">
              <w:t xml:space="preserve"> observed in all species</w:t>
            </w:r>
            <w:r w:rsidR="00DD70DA">
              <w:t>:</w:t>
            </w:r>
          </w:p>
          <w:p w14:paraId="26C754FE" w14:textId="50903D60" w:rsidR="00E56CA3" w:rsidRDefault="00FF5EEC" w:rsidP="00300C60">
            <w:pPr>
              <w:pStyle w:val="ListBullet"/>
              <w:numPr>
                <w:ilvl w:val="0"/>
                <w:numId w:val="2"/>
              </w:numPr>
              <w:spacing w:before="60" w:after="60"/>
              <w:ind w:left="1080"/>
              <w:contextualSpacing w:val="0"/>
            </w:pPr>
            <w:r>
              <w:t>5/</w:t>
            </w:r>
            <w:r w:rsidR="002518E2">
              <w:t>12 guinea pigs died</w:t>
            </w:r>
          </w:p>
          <w:p w14:paraId="495967DA" w14:textId="4CC386E5" w:rsidR="00A54AAC" w:rsidRDefault="00A54AAC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Evidence of carcinogenicity in animal studies determined to be negative or inadequate</w:t>
            </w:r>
            <w:r w:rsidR="00CD5B97">
              <w:t>.</w:t>
            </w:r>
          </w:p>
          <w:p w14:paraId="71B4FB75" w14:textId="47169B87" w:rsidR="00F43C87" w:rsidRPr="00DA352E" w:rsidRDefault="00F43C87" w:rsidP="00300C60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  <w:tr w:rsidR="00C978F0" w:rsidRPr="00DA352E" w14:paraId="3224F98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2765EF1" w14:textId="37C557D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930B7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930B7">
                  <w:t>Not assigned</w:t>
                </w:r>
              </w:sdtContent>
            </w:sdt>
          </w:p>
        </w:tc>
      </w:tr>
      <w:tr w:rsidR="00C978F0" w:rsidRPr="00DA352E" w14:paraId="278752C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287545" w14:textId="7ADBDCFE" w:rsidR="00C978F0" w:rsidRDefault="00E76008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 xml:space="preserve">Due to potential </w:t>
            </w:r>
            <w:proofErr w:type="spellStart"/>
            <w:r>
              <w:rPr>
                <w:rFonts w:cs="Arial"/>
                <w:color w:val="1C1D1E"/>
                <w:shd w:val="clear" w:color="auto" w:fill="FFFFFF"/>
              </w:rPr>
              <w:t>clastogenic</w:t>
            </w:r>
            <w:proofErr w:type="spellEnd"/>
            <w:r>
              <w:rPr>
                <w:rFonts w:cs="Arial"/>
                <w:color w:val="1C1D1E"/>
                <w:shd w:val="clear" w:color="auto" w:fill="FFFFFF"/>
              </w:rPr>
              <w:t xml:space="preserve"> and tumour-promoting effects and close metabolic linkage with benzene and hydroquinone, phenol is classified </w:t>
            </w:r>
            <w:r w:rsidR="00300C60">
              <w:rPr>
                <w:rFonts w:cs="Arial"/>
                <w:color w:val="1C1D1E"/>
                <w:shd w:val="clear" w:color="auto" w:fill="FFFFFF"/>
              </w:rPr>
              <w:t>as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carcinogenic and a MAK is not recommended.</w:t>
            </w:r>
          </w:p>
          <w:p w14:paraId="14244983" w14:textId="77777777" w:rsidR="00E76008" w:rsidRDefault="00E76008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Summary of additional data:</w:t>
            </w:r>
          </w:p>
          <w:p w14:paraId="58D991DD" w14:textId="77777777" w:rsidR="00E76008" w:rsidRDefault="00E76008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No suitable human studies available for assessment</w:t>
            </w:r>
          </w:p>
          <w:p w14:paraId="558A16C4" w14:textId="70AB3303" w:rsidR="00E76008" w:rsidRDefault="00E76008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 inhalation studies in animals </w:t>
            </w:r>
            <w:r w:rsidR="00DD70DA">
              <w:t>reported</w:t>
            </w:r>
          </w:p>
          <w:p w14:paraId="7F6A2DF2" w14:textId="77777777" w:rsidR="007B0BF7" w:rsidRPr="00DD70DA" w:rsidRDefault="00E76008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 LOAEL of 1.8 mg/kg/d reported in a 4 </w:t>
            </w:r>
            <w:proofErr w:type="spellStart"/>
            <w:r>
              <w:t>wk</w:t>
            </w:r>
            <w:proofErr w:type="spellEnd"/>
            <w:r>
              <w:t xml:space="preserve"> drinking water study in mice for </w:t>
            </w:r>
            <w:r>
              <w:rPr>
                <w:rFonts w:cs="Arial"/>
                <w:color w:val="1C1D1E"/>
                <w:shd w:val="clear" w:color="auto" w:fill="FFFFFF"/>
              </w:rPr>
              <w:t>neurochemical and haematological effects;</w:t>
            </w:r>
            <w:r w:rsidR="00CD5B97">
              <w:rPr>
                <w:rFonts w:cs="Arial"/>
                <w:color w:val="1C1D1E"/>
                <w:shd w:val="clear" w:color="auto" w:fill="FFFFFF"/>
              </w:rPr>
              <w:t xml:space="preserve"> </w:t>
            </w:r>
            <w:r>
              <w:rPr>
                <w:rFonts w:cs="Arial"/>
                <w:color w:val="1C1D1E"/>
                <w:shd w:val="clear" w:color="auto" w:fill="FFFFFF"/>
              </w:rPr>
              <w:t>lower doses were not examined</w:t>
            </w:r>
            <w:r w:rsidR="00CD5B97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4F8474F2" w14:textId="6E5CF685" w:rsidR="00DD70DA" w:rsidRPr="00DA352E" w:rsidRDefault="00DD70DA" w:rsidP="00DD70DA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  <w:tr w:rsidR="00C978F0" w:rsidRPr="00DA352E" w14:paraId="57018F9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7EDD6E" w14:textId="7350CEF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930B7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930B7" w:rsidRPr="00B930B7">
                  <w:t>TWA:</w:t>
                </w:r>
                <w:r w:rsidR="00B930B7">
                  <w:t xml:space="preserve"> 2 ppm (8 mg/m</w:t>
                </w:r>
                <w:r w:rsidR="00B930B7" w:rsidRPr="00B930B7">
                  <w:rPr>
                    <w:vertAlign w:val="superscript"/>
                  </w:rPr>
                  <w:t>3</w:t>
                </w:r>
                <w:r w:rsidR="00B930B7">
                  <w:t xml:space="preserve">); </w:t>
                </w:r>
                <w:r w:rsidR="00FF5EEC">
                  <w:t>STEL</w:t>
                </w:r>
                <w:r w:rsidR="00B930B7" w:rsidRPr="00B930B7">
                  <w:t>:</w:t>
                </w:r>
                <w:r w:rsidR="00B930B7">
                  <w:t xml:space="preserve"> 4 ppm (16 mg/m</w:t>
                </w:r>
                <w:r w:rsidR="00B930B7" w:rsidRPr="00B930B7">
                  <w:rPr>
                    <w:vertAlign w:val="superscript"/>
                  </w:rPr>
                  <w:t>3</w:t>
                </w:r>
                <w:r w:rsidR="00B930B7">
                  <w:t>)</w:t>
                </w:r>
              </w:sdtContent>
            </w:sdt>
          </w:p>
        </w:tc>
      </w:tr>
      <w:tr w:rsidR="00C978F0" w:rsidRPr="00DA352E" w14:paraId="62749D0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CC8A01C" w14:textId="3225E490" w:rsidR="00C978F0" w:rsidRDefault="007B0BF7" w:rsidP="003365A5">
            <w:pPr>
              <w:pStyle w:val="Tabletextprimarysource"/>
            </w:pPr>
            <w:r>
              <w:t>TWA recommended to protect for systemic toxicity ad potential upper respiratory tract irritation.</w:t>
            </w:r>
          </w:p>
          <w:p w14:paraId="72BE48AB" w14:textId="20A15223" w:rsidR="007F3E9A" w:rsidRDefault="007F3E9A" w:rsidP="003365A5">
            <w:pPr>
              <w:pStyle w:val="Tabletextprimarysource"/>
            </w:pPr>
            <w:r>
              <w:t xml:space="preserve">STEL recommended to protect for upper respiratory irritation. </w:t>
            </w:r>
          </w:p>
          <w:p w14:paraId="7FB53935" w14:textId="77777777" w:rsidR="007B0BF7" w:rsidRDefault="007B0BF7" w:rsidP="003365A5">
            <w:pPr>
              <w:pStyle w:val="Tabletextprimarysource"/>
            </w:pPr>
            <w:r>
              <w:t>Summary of additional data:</w:t>
            </w:r>
          </w:p>
          <w:p w14:paraId="409B5EA0" w14:textId="1B991A8A" w:rsidR="007F3E9A" w:rsidRDefault="007F3E9A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RD</w:t>
            </w:r>
            <w:r w:rsidR="00FF5EEC">
              <w:rPr>
                <w:vertAlign w:val="subscript"/>
              </w:rPr>
              <w:t>50</w:t>
            </w:r>
            <w:r w:rsidR="00FF5EEC">
              <w:t>:</w:t>
            </w:r>
            <w:r w:rsidR="00F43C87">
              <w:t xml:space="preserve"> </w:t>
            </w:r>
            <w:r w:rsidR="00FF5EEC">
              <w:t>166 ppm</w:t>
            </w:r>
            <w:r>
              <w:t xml:space="preserve"> </w:t>
            </w:r>
            <w:r w:rsidR="00FF5EEC">
              <w:t>(</w:t>
            </w:r>
            <w:r>
              <w:t>mice</w:t>
            </w:r>
            <w:r w:rsidR="00FF5EEC">
              <w:t>)</w:t>
            </w:r>
          </w:p>
          <w:p w14:paraId="38B0E564" w14:textId="4FE72B56" w:rsidR="007B0BF7" w:rsidRDefault="007B0BF7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Exposure of rhesus m</w:t>
            </w:r>
            <w:r w:rsidR="00FF5EEC">
              <w:t xml:space="preserve">onkeys, rats and mice at 5 ppm </w:t>
            </w:r>
            <w:r>
              <w:t>for 90 d resulted in no significant pathological effects; no significant systemic toxicity; no further details</w:t>
            </w:r>
          </w:p>
          <w:p w14:paraId="177CFA26" w14:textId="0E02A466" w:rsidR="007B0BF7" w:rsidRDefault="007B0BF7" w:rsidP="00300C60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  <w:r>
              <w:t>Exposure of rabbits, guinea pigs and rats for 7 h/d, 5 d/</w:t>
            </w:r>
            <w:proofErr w:type="spellStart"/>
            <w:r>
              <w:t>w</w:t>
            </w:r>
            <w:r w:rsidR="00062F36">
              <w:t>k</w:t>
            </w:r>
            <w:proofErr w:type="spellEnd"/>
            <w:r w:rsidR="00062F36">
              <w:t xml:space="preserve"> for 74 d</w:t>
            </w:r>
            <w:r>
              <w:t xml:space="preserve"> at 26–52 ppm</w:t>
            </w:r>
            <w:r w:rsidR="00300C60">
              <w:t xml:space="preserve"> </w:t>
            </w:r>
            <w:r w:rsidR="00300C60">
              <w:br/>
            </w:r>
            <w:r>
              <w:t>(100–200 mg/m</w:t>
            </w:r>
            <w:r w:rsidRPr="00300C60">
              <w:rPr>
                <w:vertAlign w:val="superscript"/>
              </w:rPr>
              <w:t>3</w:t>
            </w:r>
            <w:r>
              <w:t>) resulted in severe degeneration and necrosis in lung, liver, kidney and heart in rabbits after 63 exposures and guinea pigs after 29 exposures; no effects seen in rats after 53 exposures</w:t>
            </w:r>
          </w:p>
          <w:p w14:paraId="191A2F93" w14:textId="4078E117" w:rsidR="007B0BF7" w:rsidRDefault="00FF5EEC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TWA of 2 ppm based </w:t>
            </w:r>
            <w:r w:rsidR="007F3E9A">
              <w:t>o</w:t>
            </w:r>
            <w:r>
              <w:t>n</w:t>
            </w:r>
            <w:r w:rsidR="007F3E9A">
              <w:t xml:space="preserve"> effects in monkeys, rats and mice at 5</w:t>
            </w:r>
            <w:r w:rsidR="00CD08BD">
              <w:t xml:space="preserve"> </w:t>
            </w:r>
            <w:r w:rsidR="007F3E9A">
              <w:t xml:space="preserve">ppm; </w:t>
            </w:r>
            <w:r>
              <w:t>UF</w:t>
            </w:r>
            <w:r w:rsidR="007F3E9A">
              <w:t xml:space="preserve"> of 2 applied to account for absence of human data and </w:t>
            </w:r>
            <w:r w:rsidR="0069550C">
              <w:t xml:space="preserve">rounding according to SCOEL methodology </w:t>
            </w:r>
          </w:p>
          <w:p w14:paraId="4B4C1235" w14:textId="77777777" w:rsidR="007F3E9A" w:rsidRDefault="007F3E9A" w:rsidP="0024764C">
            <w:pPr>
              <w:pStyle w:val="ListBullet"/>
              <w:spacing w:before="60" w:after="60"/>
              <w:ind w:left="720"/>
              <w:contextualSpacing w:val="0"/>
            </w:pPr>
            <w:r>
              <w:t>No derivation of STEL at 4 ppm provided; reported to be based on animal data; no further details.</w:t>
            </w:r>
          </w:p>
          <w:p w14:paraId="71EE6A65" w14:textId="350CE8CF" w:rsidR="00F43C87" w:rsidRPr="00DA352E" w:rsidRDefault="00F43C87" w:rsidP="00300C60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  <w:tr w:rsidR="00DA352E" w:rsidRPr="00DA352E" w14:paraId="062666E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B8E498" w14:textId="2DF861E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930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930B7">
                  <w:t>NA</w:t>
                </w:r>
                <w:proofErr w:type="spellEnd"/>
              </w:sdtContent>
            </w:sdt>
          </w:p>
        </w:tc>
      </w:tr>
      <w:tr w:rsidR="00DA352E" w:rsidRPr="00DA352E" w14:paraId="45A75B5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A464A91" w14:textId="3D828DBE" w:rsidR="00DA352E" w:rsidRPr="00DA352E" w:rsidRDefault="00B930B7" w:rsidP="003365A5">
            <w:pPr>
              <w:pStyle w:val="Tabletextprimarysource"/>
            </w:pPr>
            <w:r>
              <w:t>No report</w:t>
            </w:r>
            <w:r w:rsidR="00CD5B97">
              <w:t>.</w:t>
            </w:r>
          </w:p>
        </w:tc>
      </w:tr>
      <w:tr w:rsidR="00DA352E" w:rsidRPr="00DA352E" w14:paraId="4B73E83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670692" w14:textId="538AEFB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930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930B7">
                  <w:t>NA</w:t>
                </w:r>
                <w:proofErr w:type="spellEnd"/>
              </w:sdtContent>
            </w:sdt>
          </w:p>
        </w:tc>
      </w:tr>
      <w:tr w:rsidR="00DA352E" w:rsidRPr="00DA352E" w14:paraId="6B29C98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9FF293" w14:textId="54847EC0" w:rsidR="00DA352E" w:rsidRPr="00DA352E" w:rsidRDefault="00B930B7" w:rsidP="003365A5">
            <w:pPr>
              <w:pStyle w:val="Tabletextprimarysource"/>
            </w:pPr>
            <w:r>
              <w:t>No report</w:t>
            </w:r>
            <w:r w:rsidR="00CD5B97">
              <w:t>.</w:t>
            </w:r>
          </w:p>
        </w:tc>
      </w:tr>
    </w:tbl>
    <w:p w14:paraId="3D24BE2C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4966BF" w:rsidRPr="00263255" w14:paraId="0F03D51F" w14:textId="77777777" w:rsidTr="00CD08BD">
        <w:trPr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45A06325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084F0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ACC3EB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288EF2C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D43E1DD" w14:textId="77777777" w:rsidTr="00CD08BD">
        <w:trPr>
          <w:cantSplit/>
        </w:trPr>
        <w:tc>
          <w:tcPr>
            <w:tcW w:w="1490" w:type="dxa"/>
          </w:tcPr>
          <w:p w14:paraId="3304AAFC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55204250" w14:textId="1AA9BC53" w:rsidR="004966BF" w:rsidRPr="00CE617F" w:rsidRDefault="0013193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62F3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19CDCD0" w14:textId="753DCD93" w:rsidR="004966BF" w:rsidRPr="004C23F4" w:rsidRDefault="00062F3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2" w:type="dxa"/>
          </w:tcPr>
          <w:p w14:paraId="0F6BBDCB" w14:textId="083E9420" w:rsidR="004966BF" w:rsidRDefault="00062F36" w:rsidP="0024764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24764C">
              <w:t>Well</w:t>
            </w:r>
            <w:r w:rsidRPr="00062F36">
              <w:rPr>
                <w:rStyle w:val="checkbox"/>
                <w:rFonts w:ascii="Arial" w:hAnsi="Arial" w:cs="Arial"/>
              </w:rPr>
              <w:t xml:space="preserve"> absorbed in animals and humans following oral, dermal and inhalation exposur</w:t>
            </w:r>
            <w:r>
              <w:rPr>
                <w:rStyle w:val="checkbox"/>
                <w:rFonts w:ascii="Arial" w:hAnsi="Arial" w:cs="Arial"/>
              </w:rPr>
              <w:t>e</w:t>
            </w:r>
          </w:p>
          <w:p w14:paraId="5C0C1CA6" w14:textId="5BBFC199" w:rsidR="00062F36" w:rsidRDefault="00062F36" w:rsidP="0024764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 w:rsidRPr="00FF5EEC">
              <w:rPr>
                <w:rStyle w:val="checkbox"/>
                <w:rFonts w:ascii="Arial" w:hAnsi="Arial" w:cs="Arial"/>
              </w:rPr>
              <w:t>LD</w:t>
            </w:r>
            <w:r w:rsidR="00FF5EEC" w:rsidRPr="00FF5EEC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FF5EEC"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Style w:val="checkbox"/>
                <w:rFonts w:ascii="Arial" w:hAnsi="Arial" w:cs="Arial"/>
              </w:rPr>
              <w:t>660</w:t>
            </w:r>
            <w:r w:rsidR="00CD5B97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707 mg/kg</w:t>
            </w:r>
            <w:r w:rsidR="00FF5EEC" w:rsidRPr="0024764C">
              <w:t xml:space="preserve"> </w:t>
            </w:r>
            <w:r w:rsidR="00FF5EEC">
              <w:t>(d</w:t>
            </w:r>
            <w:r w:rsidR="00FF5EEC" w:rsidRPr="0024764C">
              <w:t>ermal</w:t>
            </w:r>
            <w:r w:rsidR="00FF5EEC">
              <w:t>)</w:t>
            </w:r>
          </w:p>
          <w:p w14:paraId="09D00B08" w14:textId="1A3839A1" w:rsidR="00062F36" w:rsidRPr="004C23F4" w:rsidRDefault="00062F36" w:rsidP="0024764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Rats exposed by 10 nose-only exposures for 5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>, 6 h/d at concentrations up to 25 ppm (96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); local and </w:t>
            </w:r>
            <w:r w:rsidRPr="0024764C">
              <w:t>systemic</w:t>
            </w:r>
            <w:r>
              <w:rPr>
                <w:rStyle w:val="checkbox"/>
                <w:rFonts w:ascii="Arial" w:hAnsi="Arial" w:cs="Arial"/>
              </w:rPr>
              <w:t xml:space="preserve"> NOAEC of 25 ppm determined</w:t>
            </w:r>
            <w:r w:rsidR="00CD5B97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3E0E8FB" w14:textId="77777777" w:rsidTr="00CD08BD">
        <w:trPr>
          <w:cantSplit/>
        </w:trPr>
        <w:tc>
          <w:tcPr>
            <w:tcW w:w="1490" w:type="dxa"/>
          </w:tcPr>
          <w:p w14:paraId="7CC1C9FE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316F1879" w14:textId="5680FDD9" w:rsidR="004966BF" w:rsidRPr="00CE617F" w:rsidRDefault="0013193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D08B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E0AB5E6" w14:textId="63E587F8" w:rsidR="004966BF" w:rsidRPr="004C23F4" w:rsidRDefault="00CD08B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2" w:type="dxa"/>
          </w:tcPr>
          <w:p w14:paraId="4BF0E729" w14:textId="7A0787FD" w:rsidR="004966BF" w:rsidRPr="004C23F4" w:rsidRDefault="00CD08BD" w:rsidP="0024764C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NOAEC of 5 ppm (20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) in monkeys (cited by </w:t>
            </w:r>
            <w:r w:rsidRPr="0024764C">
              <w:t>SCOEL</w:t>
            </w:r>
            <w:r>
              <w:rPr>
                <w:rStyle w:val="checkbox"/>
                <w:rFonts w:ascii="Arial" w:hAnsi="Arial" w:cs="Arial"/>
              </w:rPr>
              <w:t>, 2003)</w:t>
            </w:r>
            <w:r w:rsidR="00CD5B97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3E949FE7" w14:textId="77777777" w:rsidR="007E2A4B" w:rsidRDefault="007E2A4B" w:rsidP="0024764C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9BD2943" w14:textId="77777777" w:rsidTr="003F4929">
        <w:trPr>
          <w:trHeight w:val="454"/>
          <w:tblHeader/>
        </w:trPr>
        <w:tc>
          <w:tcPr>
            <w:tcW w:w="6597" w:type="dxa"/>
            <w:vAlign w:val="center"/>
          </w:tcPr>
          <w:p w14:paraId="66C72626" w14:textId="77777777" w:rsidR="002E0D61" w:rsidRDefault="00B1422A" w:rsidP="0024764C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10F79B8" w14:textId="42593476" w:rsidR="002E0D61" w:rsidRDefault="003F4929" w:rsidP="0024764C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0ADBFA0" w14:textId="77777777" w:rsidTr="003F4929">
        <w:trPr>
          <w:trHeight w:val="454"/>
        </w:trPr>
        <w:tc>
          <w:tcPr>
            <w:tcW w:w="6597" w:type="dxa"/>
            <w:vAlign w:val="center"/>
          </w:tcPr>
          <w:p w14:paraId="78E4C9A0" w14:textId="77777777" w:rsidR="008A36CF" w:rsidRDefault="008A36CF" w:rsidP="0024764C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C180611" w14:textId="1922B00B" w:rsidR="008A36CF" w:rsidRDefault="003F4929" w:rsidP="0024764C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244FF94" w14:textId="77777777" w:rsidTr="003F492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649D23EE" w14:textId="018CB5DB" w:rsidR="008A36CF" w:rsidRPr="006901A2" w:rsidRDefault="003F4929" w:rsidP="0024764C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7B78543F" w14:textId="77777777" w:rsidR="008A36CF" w:rsidRDefault="008A36CF" w:rsidP="0024764C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09C20E04" w14:textId="77777777" w:rsidR="00687890" w:rsidRPr="004C23F4" w:rsidRDefault="00B479A9" w:rsidP="00300C60">
      <w:pPr>
        <w:pStyle w:val="Heading2"/>
        <w:keepNext w:val="0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91BE42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4A057B0" w14:textId="77777777" w:rsidR="00687890" w:rsidRPr="004C23F4" w:rsidRDefault="00687890" w:rsidP="00300C60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650E988" w14:textId="77777777" w:rsidR="00687890" w:rsidRPr="004C23F4" w:rsidRDefault="00687890" w:rsidP="00300C60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E571F5F" w14:textId="77777777" w:rsidTr="00812887">
        <w:trPr>
          <w:cantSplit/>
        </w:trPr>
        <w:tc>
          <w:tcPr>
            <w:tcW w:w="3227" w:type="dxa"/>
          </w:tcPr>
          <w:p w14:paraId="2E0C1BD6" w14:textId="77777777" w:rsidR="004079B4" w:rsidRPr="004C23F4" w:rsidRDefault="00084513" w:rsidP="00300C60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194A3A8" w14:textId="169342E2" w:rsidR="00687890" w:rsidRPr="00DD2F9B" w:rsidRDefault="00B930B7" w:rsidP="00300C60">
            <w:pPr>
              <w:pStyle w:val="Tablefont"/>
            </w:pPr>
            <w:r>
              <w:t>Skin</w:t>
            </w:r>
          </w:p>
        </w:tc>
      </w:tr>
      <w:tr w:rsidR="007925F0" w:rsidRPr="004C23F4" w14:paraId="0AB1266F" w14:textId="77777777" w:rsidTr="00812887">
        <w:trPr>
          <w:cantSplit/>
        </w:trPr>
        <w:tc>
          <w:tcPr>
            <w:tcW w:w="3227" w:type="dxa"/>
          </w:tcPr>
          <w:p w14:paraId="4F5B7A52" w14:textId="77777777" w:rsidR="004079B4" w:rsidRPr="004C23F4" w:rsidRDefault="007925F0" w:rsidP="00300C60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3706A78" w14:textId="4B21DDEC" w:rsidR="007925F0" w:rsidRPr="00DD2F9B" w:rsidRDefault="00B930B7" w:rsidP="00300C60">
            <w:pPr>
              <w:pStyle w:val="Tablefont"/>
            </w:pPr>
            <w:r>
              <w:t>—</w:t>
            </w:r>
          </w:p>
        </w:tc>
      </w:tr>
      <w:tr w:rsidR="00AF483F" w:rsidRPr="004C23F4" w14:paraId="6F7AC428" w14:textId="77777777" w:rsidTr="00812887">
        <w:trPr>
          <w:cantSplit/>
        </w:trPr>
        <w:tc>
          <w:tcPr>
            <w:tcW w:w="3227" w:type="dxa"/>
          </w:tcPr>
          <w:p w14:paraId="491C2393" w14:textId="77777777" w:rsidR="00AF483F" w:rsidRPr="004C23F4" w:rsidRDefault="00AF483F" w:rsidP="00300C60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6015" w:type="dxa"/>
          </w:tcPr>
          <w:p w14:paraId="578DA188" w14:textId="4A566605" w:rsidR="00AF483F" w:rsidRPr="00DD2F9B" w:rsidRDefault="00B930B7" w:rsidP="00300C60">
            <w:pPr>
              <w:pStyle w:val="Tablefont"/>
            </w:pPr>
            <w:r>
              <w:t>—</w:t>
            </w:r>
          </w:p>
        </w:tc>
      </w:tr>
      <w:tr w:rsidR="00687890" w:rsidRPr="004C23F4" w14:paraId="3FD9BCF1" w14:textId="77777777" w:rsidTr="00812887">
        <w:trPr>
          <w:cantSplit/>
        </w:trPr>
        <w:tc>
          <w:tcPr>
            <w:tcW w:w="3227" w:type="dxa"/>
          </w:tcPr>
          <w:p w14:paraId="53C425FF" w14:textId="77777777" w:rsidR="004079B4" w:rsidRPr="004C23F4" w:rsidRDefault="00687890" w:rsidP="00300C60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6F27E08" w14:textId="6CB5E9AF" w:rsidR="00687890" w:rsidRPr="00DD2F9B" w:rsidRDefault="00B930B7" w:rsidP="00300C60">
            <w:pPr>
              <w:pStyle w:val="Tablefont"/>
            </w:pPr>
            <w:r>
              <w:t>NA</w:t>
            </w:r>
          </w:p>
        </w:tc>
      </w:tr>
      <w:tr w:rsidR="00E41A26" w:rsidRPr="004C23F4" w14:paraId="29C16654" w14:textId="77777777" w:rsidTr="00812887">
        <w:trPr>
          <w:cantSplit/>
        </w:trPr>
        <w:tc>
          <w:tcPr>
            <w:tcW w:w="3227" w:type="dxa"/>
          </w:tcPr>
          <w:p w14:paraId="1F3240B2" w14:textId="77777777" w:rsidR="00E41A26" w:rsidRDefault="00E41A26" w:rsidP="00300C60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5E8A9A7" w14:textId="7D325464" w:rsidR="00E41A26" w:rsidRPr="00DD2F9B" w:rsidRDefault="00B930B7" w:rsidP="00300C60">
            <w:pPr>
              <w:pStyle w:val="Tablefont"/>
            </w:pPr>
            <w:r>
              <w:t>—</w:t>
            </w:r>
          </w:p>
        </w:tc>
      </w:tr>
      <w:tr w:rsidR="002E0D61" w:rsidRPr="004C23F4" w14:paraId="2BF86007" w14:textId="77777777" w:rsidTr="00812887">
        <w:trPr>
          <w:cantSplit/>
        </w:trPr>
        <w:tc>
          <w:tcPr>
            <w:tcW w:w="3227" w:type="dxa"/>
          </w:tcPr>
          <w:p w14:paraId="7B7F6540" w14:textId="77777777" w:rsidR="004079B4" w:rsidRPr="004C23F4" w:rsidRDefault="002E0D61" w:rsidP="00300C60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15C460E" w14:textId="00A2C472" w:rsidR="002E0D61" w:rsidRPr="00DD2F9B" w:rsidRDefault="00B930B7" w:rsidP="00300C60">
            <w:pPr>
              <w:pStyle w:val="Tablefont"/>
            </w:pPr>
            <w:r w:rsidRPr="00B930B7">
              <w:t>Carcinogenicity – A4</w:t>
            </w:r>
            <w:r>
              <w:t>, Skin</w:t>
            </w:r>
          </w:p>
        </w:tc>
      </w:tr>
      <w:tr w:rsidR="002E0D61" w:rsidRPr="004C23F4" w14:paraId="158385E0" w14:textId="77777777" w:rsidTr="00812887">
        <w:trPr>
          <w:cantSplit/>
        </w:trPr>
        <w:tc>
          <w:tcPr>
            <w:tcW w:w="3227" w:type="dxa"/>
          </w:tcPr>
          <w:p w14:paraId="7288B752" w14:textId="77777777" w:rsidR="004079B4" w:rsidRPr="004C23F4" w:rsidRDefault="002E0D61" w:rsidP="00300C60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1EDA946" w14:textId="6D0FF7AC" w:rsidR="002E0D61" w:rsidRPr="00DD2F9B" w:rsidRDefault="00B930B7" w:rsidP="00300C60">
            <w:r>
              <w:t>Carcinogenicity – 3B, H(Skin)</w:t>
            </w:r>
          </w:p>
        </w:tc>
      </w:tr>
      <w:tr w:rsidR="002E0D61" w:rsidRPr="004C23F4" w14:paraId="3EBBD630" w14:textId="77777777" w:rsidTr="00812887">
        <w:trPr>
          <w:cantSplit/>
        </w:trPr>
        <w:tc>
          <w:tcPr>
            <w:tcW w:w="3227" w:type="dxa"/>
          </w:tcPr>
          <w:p w14:paraId="71B392A1" w14:textId="77777777" w:rsidR="004079B4" w:rsidRPr="004C23F4" w:rsidRDefault="002E0D61" w:rsidP="00300C60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10D1A6F" w14:textId="269699CE" w:rsidR="002E0D61" w:rsidRPr="00DD2F9B" w:rsidRDefault="00B930B7" w:rsidP="00300C60">
            <w:pPr>
              <w:pStyle w:val="Tablefont"/>
            </w:pPr>
            <w:r>
              <w:t>Skin</w:t>
            </w:r>
          </w:p>
        </w:tc>
      </w:tr>
      <w:tr w:rsidR="002E0D61" w:rsidRPr="004C23F4" w14:paraId="0723718A" w14:textId="77777777" w:rsidTr="00812887">
        <w:trPr>
          <w:cantSplit/>
        </w:trPr>
        <w:tc>
          <w:tcPr>
            <w:tcW w:w="3227" w:type="dxa"/>
          </w:tcPr>
          <w:p w14:paraId="4714BC50" w14:textId="77777777" w:rsidR="004079B4" w:rsidRDefault="002E0D61" w:rsidP="00300C60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18930D8" w14:textId="4BCCB966" w:rsidR="002E0D61" w:rsidRPr="00DD2F9B" w:rsidRDefault="00B930B7" w:rsidP="00300C60">
            <w:pPr>
              <w:pStyle w:val="Tablefont"/>
            </w:pPr>
            <w:r>
              <w:t>NA</w:t>
            </w:r>
          </w:p>
        </w:tc>
      </w:tr>
      <w:tr w:rsidR="00386093" w:rsidRPr="004C23F4" w14:paraId="594A751B" w14:textId="77777777" w:rsidTr="00812887">
        <w:trPr>
          <w:cantSplit/>
        </w:trPr>
        <w:tc>
          <w:tcPr>
            <w:tcW w:w="3227" w:type="dxa"/>
          </w:tcPr>
          <w:p w14:paraId="75C76EE8" w14:textId="77777777" w:rsidR="004079B4" w:rsidRDefault="00386093" w:rsidP="00300C60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EF6B353" w14:textId="724690E4" w:rsidR="00386093" w:rsidRPr="00DD2F9B" w:rsidRDefault="00B930B7" w:rsidP="00300C60">
            <w:pPr>
              <w:pStyle w:val="Tablefont"/>
            </w:pPr>
            <w:r w:rsidRPr="00B930B7">
              <w:t>Carcinogenicity – Group 3</w:t>
            </w:r>
          </w:p>
        </w:tc>
      </w:tr>
      <w:tr w:rsidR="00386093" w:rsidRPr="004C23F4" w14:paraId="7136AC2F" w14:textId="77777777" w:rsidTr="00812887">
        <w:trPr>
          <w:cantSplit/>
        </w:trPr>
        <w:tc>
          <w:tcPr>
            <w:tcW w:w="3227" w:type="dxa"/>
          </w:tcPr>
          <w:p w14:paraId="187B73B0" w14:textId="77777777" w:rsidR="004079B4" w:rsidRDefault="00386093" w:rsidP="00300C60">
            <w:pPr>
              <w:pStyle w:val="Tablefont"/>
            </w:pPr>
            <w:r>
              <w:t>US NIOSH</w:t>
            </w:r>
          </w:p>
        </w:tc>
        <w:tc>
          <w:tcPr>
            <w:tcW w:w="6015" w:type="dxa"/>
          </w:tcPr>
          <w:p w14:paraId="5311E979" w14:textId="48F05B2F" w:rsidR="00386093" w:rsidRPr="00DD2F9B" w:rsidRDefault="00B930B7" w:rsidP="00300C60">
            <w:pPr>
              <w:pStyle w:val="Tablefont"/>
            </w:pPr>
            <w:r w:rsidRPr="00B930B7">
              <w:t>SK:SYS</w:t>
            </w:r>
          </w:p>
        </w:tc>
      </w:tr>
    </w:tbl>
    <w:bookmarkEnd w:id="2"/>
    <w:p w14:paraId="5978701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C72489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42C5D4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7571E2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4EB165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96" w:type="dxa"/>
              <w:tblLook w:val="04A0" w:firstRow="1" w:lastRow="0" w:firstColumn="1" w:lastColumn="0" w:noHBand="0" w:noVBand="1"/>
            </w:tblPr>
            <w:tblGrid>
              <w:gridCol w:w="3824"/>
              <w:gridCol w:w="1129"/>
              <w:gridCol w:w="1129"/>
              <w:gridCol w:w="1364"/>
              <w:gridCol w:w="1364"/>
            </w:tblGrid>
            <w:tr w:rsidR="003F4929" w:rsidRPr="003F4929" w14:paraId="1CF2B70E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2D1145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2FC64CD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B3D30F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B49DF8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1D23C8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929" w:rsidRPr="003F4929" w14:paraId="4BE3468A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655041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7C4A1FC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870840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5478EE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B04210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929" w:rsidRPr="003F4929" w14:paraId="35F5B707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15F72B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B82110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D920A1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C594B6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E6C3E3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929" w:rsidRPr="003F4929" w14:paraId="7C846069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7B6009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20009A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C3EACA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130EDD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2E1910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929" w:rsidRPr="003F4929" w14:paraId="6DF0FC60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73A808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023FE7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5A6AA4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B9FABC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D4BA04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929" w:rsidRPr="003F4929" w14:paraId="109C0190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0ECF4F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33DAD9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5F85CF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9D1AE9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1E25C7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F4929" w:rsidRPr="003F4929" w14:paraId="3F63CEEA" w14:textId="77777777" w:rsidTr="003F4929">
              <w:trPr>
                <w:trHeight w:val="317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F4A29D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0F4ECF" w14:textId="77777777" w:rsidR="003F4929" w:rsidRPr="003F4929" w:rsidRDefault="003F4929" w:rsidP="003F49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4F12A5" w14:textId="77777777" w:rsidR="003F4929" w:rsidRPr="003F4929" w:rsidRDefault="003F4929" w:rsidP="003F49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8B2DAB" w14:textId="77777777" w:rsidR="003F4929" w:rsidRPr="003F4929" w:rsidRDefault="003F4929" w:rsidP="003F492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F492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6502BBC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9C3E46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E6EB61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B1E78D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B0DE09D" w14:textId="25DC7D43" w:rsidR="00EB3D1B" w:rsidRDefault="00B930B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84C35A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66D943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B3CCA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2BEA285" w14:textId="633A6A65" w:rsidR="001B79E5" w:rsidRDefault="006D264B" w:rsidP="001B79E5">
                <w:pPr>
                  <w:pStyle w:val="Tablefont"/>
                </w:pPr>
                <w:r w:rsidRPr="006D264B">
                  <w:t>94.11</w:t>
                </w:r>
              </w:p>
            </w:tc>
          </w:sdtContent>
        </w:sdt>
      </w:tr>
      <w:tr w:rsidR="00A31D99" w:rsidRPr="004C23F4" w14:paraId="3E8660A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4DC024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74F769D" w14:textId="1184838B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D264B">
                  <w:t>3.84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D264B">
                  <w:t>0.260</w:t>
                </w:r>
              </w:sdtContent>
            </w:sdt>
            <w:r w:rsidRPr="006D264B">
              <w:t xml:space="preserve"> </w:t>
            </w:r>
            <w:r>
              <w:t>ppm</w:t>
            </w:r>
          </w:p>
        </w:tc>
      </w:tr>
      <w:tr w:rsidR="00687890" w:rsidRPr="004C23F4" w14:paraId="6E89953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374ED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D9972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AC03797" w14:textId="77777777" w:rsidTr="00EA6243">
        <w:trPr>
          <w:cantSplit/>
        </w:trPr>
        <w:tc>
          <w:tcPr>
            <w:tcW w:w="4077" w:type="dxa"/>
            <w:vAlign w:val="center"/>
          </w:tcPr>
          <w:p w14:paraId="2F2DCF6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7A37ED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3930E10" w14:textId="77777777" w:rsidTr="00EA6243">
        <w:trPr>
          <w:cantSplit/>
        </w:trPr>
        <w:tc>
          <w:tcPr>
            <w:tcW w:w="4077" w:type="dxa"/>
            <w:vAlign w:val="center"/>
          </w:tcPr>
          <w:p w14:paraId="6B219A6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32D7FF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5EECF3C" w14:textId="77777777" w:rsidTr="00EA6243">
        <w:trPr>
          <w:cantSplit/>
        </w:trPr>
        <w:tc>
          <w:tcPr>
            <w:tcW w:w="4077" w:type="dxa"/>
            <w:vAlign w:val="center"/>
          </w:tcPr>
          <w:p w14:paraId="3B8F1B6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C1C54D1" w14:textId="0F45A9A7" w:rsidR="00E06F40" w:rsidRPr="00A006A0" w:rsidRDefault="0013193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052AA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052AA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5910DA3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E9750F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8C4DBB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32DC97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DAD88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E0A196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47D600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EB2361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5D127C1" w14:textId="4DA536B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631388A" w14:textId="11A49571" w:rsidR="006D264B" w:rsidRDefault="006D264B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(2010) </w:t>
      </w:r>
      <w:r w:rsidRPr="006D264B">
        <w:t>Phenol</w:t>
      </w:r>
      <w:r>
        <w:t xml:space="preserve"> – MAK value documentation.</w:t>
      </w:r>
    </w:p>
    <w:p w14:paraId="5D11FEB8" w14:textId="317C6A6A" w:rsidR="006D264B" w:rsidRDefault="006D264B" w:rsidP="00084859">
      <w:r>
        <w:t xml:space="preserve">European Chemicals Agency (ECHA) (2019) </w:t>
      </w:r>
      <w:r w:rsidRPr="006D264B">
        <w:t>Phenol</w:t>
      </w:r>
      <w:r>
        <w:t xml:space="preserve"> – REACH assessment.</w:t>
      </w:r>
    </w:p>
    <w:p w14:paraId="3EF087CD" w14:textId="717A070A" w:rsidR="006D264B" w:rsidRDefault="006D264B" w:rsidP="00084859">
      <w:r>
        <w:t xml:space="preserve">EU Scientific Committee on Occupational Exposure Limits (SCOEL) (2003) Recommendation from the Scientific Committee on Occupational Exposure Limits for </w:t>
      </w:r>
      <w:r w:rsidRPr="006D264B">
        <w:t>Phenol</w:t>
      </w:r>
      <w:r>
        <w:t>. SCOEL/</w:t>
      </w:r>
      <w:r w:rsidRPr="006D264B">
        <w:t>SUM/16</w:t>
      </w:r>
      <w:r>
        <w:t>.</w:t>
      </w:r>
    </w:p>
    <w:p w14:paraId="64B82064" w14:textId="366E952A" w:rsidR="006D264B" w:rsidRDefault="006D264B" w:rsidP="00084859">
      <w:r>
        <w:t>International Agency for Research on Cancer (IARC) (</w:t>
      </w:r>
      <w:r w:rsidRPr="006D264B">
        <w:t>1999</w:t>
      </w:r>
      <w:r>
        <w:t xml:space="preserve">) </w:t>
      </w:r>
      <w:r w:rsidRPr="006D264B">
        <w:t>Phenol</w:t>
      </w:r>
      <w:r>
        <w:t>. IARC Monographs on the evaluation of the carcinogenic risk to humans.</w:t>
      </w:r>
    </w:p>
    <w:p w14:paraId="579F6689" w14:textId="5B6AF740" w:rsidR="006D264B" w:rsidRDefault="006D264B" w:rsidP="00084859">
      <w:r>
        <w:t>National Industrial Chemicals Notification and Assessment Scheme (NICNAS) (</w:t>
      </w:r>
      <w:r w:rsidRPr="006D264B">
        <w:t>2014</w:t>
      </w:r>
      <w:r>
        <w:t xml:space="preserve">) </w:t>
      </w:r>
      <w:r w:rsidRPr="006D264B">
        <w:t>Phenol</w:t>
      </w:r>
      <w:r>
        <w:t xml:space="preserve">: Human health </w:t>
      </w:r>
      <w:r w:rsidRPr="006D264B">
        <w:t>tier II</w:t>
      </w:r>
      <w:r>
        <w:t xml:space="preserve"> assessment – IMAP report.</w:t>
      </w:r>
    </w:p>
    <w:p w14:paraId="44111210" w14:textId="39B8F55D" w:rsidR="006D264B" w:rsidRDefault="006D264B" w:rsidP="00084859">
      <w:r>
        <w:t>US National Institute for Occupational Safety and Health (NIOSH) (</w:t>
      </w:r>
      <w:r w:rsidRPr="006D264B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6D264B">
        <w:t>Phenol</w:t>
      </w:r>
      <w:r>
        <w:t>.</w:t>
      </w:r>
    </w:p>
    <w:p w14:paraId="6AE26D83" w14:textId="289749AC" w:rsidR="006D264B" w:rsidRPr="00351FE0" w:rsidRDefault="006D264B" w:rsidP="00084859">
      <w:r>
        <w:t>US National Institute for Occupational Safety and Health (NIOSH) (</w:t>
      </w:r>
      <w:r w:rsidRPr="006D264B">
        <w:t>2011</w:t>
      </w:r>
      <w:r>
        <w:t xml:space="preserve">) NIOSH Skin Notation Profiles: </w:t>
      </w:r>
      <w:r w:rsidRPr="006D264B">
        <w:t>Phenol</w:t>
      </w:r>
      <w:r>
        <w:t>.</w:t>
      </w:r>
    </w:p>
    <w:sectPr w:rsidR="006D264B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A717" w14:textId="77777777" w:rsidR="002C1425" w:rsidRDefault="002C1425" w:rsidP="00F43AD5">
      <w:pPr>
        <w:spacing w:after="0" w:line="240" w:lineRule="auto"/>
      </w:pPr>
      <w:r>
        <w:separator/>
      </w:r>
    </w:p>
  </w:endnote>
  <w:endnote w:type="continuationSeparator" w:id="0">
    <w:p w14:paraId="6C8FFC59" w14:textId="77777777" w:rsidR="002C1425" w:rsidRDefault="002C142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04A2" w14:textId="77777777" w:rsidR="0013193D" w:rsidRDefault="0013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DF77D05" w14:textId="2B7ED8FB" w:rsidR="008A36CF" w:rsidRDefault="007128D0" w:rsidP="0034744C">
        <w:pPr>
          <w:pStyle w:val="Footer"/>
          <w:rPr>
            <w:sz w:val="18"/>
            <w:szCs w:val="18"/>
          </w:rPr>
        </w:pPr>
        <w:r w:rsidRPr="007128D0">
          <w:rPr>
            <w:b/>
            <w:sz w:val="18"/>
            <w:szCs w:val="18"/>
          </w:rPr>
          <w:t>Phenol</w:t>
        </w:r>
        <w:r w:rsidR="008A36CF">
          <w:rPr>
            <w:b/>
            <w:sz w:val="18"/>
            <w:szCs w:val="18"/>
          </w:rPr>
          <w:t xml:space="preserve"> (</w:t>
        </w:r>
        <w:r w:rsidRPr="007128D0">
          <w:rPr>
            <w:b/>
            <w:sz w:val="18"/>
            <w:szCs w:val="18"/>
          </w:rPr>
          <w:t>108-95-2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FF5EEC">
          <w:rPr>
            <w:sz w:val="18"/>
            <w:szCs w:val="18"/>
          </w:rPr>
          <w:t>2020</w:t>
        </w:r>
      </w:p>
      <w:p w14:paraId="4A842A71" w14:textId="5996E73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3193D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BC2B" w14:textId="77777777" w:rsidR="0013193D" w:rsidRDefault="00131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7A15" w14:textId="77777777" w:rsidR="002C1425" w:rsidRDefault="002C1425" w:rsidP="00F43AD5">
      <w:pPr>
        <w:spacing w:after="0" w:line="240" w:lineRule="auto"/>
      </w:pPr>
      <w:r>
        <w:separator/>
      </w:r>
    </w:p>
  </w:footnote>
  <w:footnote w:type="continuationSeparator" w:id="0">
    <w:p w14:paraId="26C214DA" w14:textId="77777777" w:rsidR="002C1425" w:rsidRDefault="002C142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2207" w14:textId="77777777" w:rsidR="0013193D" w:rsidRDefault="0013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CE73" w14:textId="088A3F03" w:rsidR="0013193D" w:rsidRDefault="0013193D" w:rsidP="0013193D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772E42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4AB8A56" wp14:editId="3283E238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AD703" w14:textId="77777777" w:rsidR="0013193D" w:rsidRDefault="0013193D" w:rsidP="0013193D">
    <w:pPr>
      <w:pStyle w:val="Header"/>
      <w:jc w:val="right"/>
    </w:pPr>
  </w:p>
  <w:p w14:paraId="7C42BF63" w14:textId="62707ACE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E83F" w14:textId="77777777" w:rsidR="0013193D" w:rsidRDefault="001319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1377" w14:textId="031311F3" w:rsidR="0013193D" w:rsidRDefault="0013193D" w:rsidP="0013193D">
    <w:pPr>
      <w:pStyle w:val="Header"/>
      <w:jc w:val="right"/>
    </w:pPr>
    <w:sdt>
      <w:sdtPr>
        <w:id w:val="1146707110"/>
        <w:docPartObj>
          <w:docPartGallery w:val="Watermarks"/>
          <w:docPartUnique/>
        </w:docPartObj>
      </w:sdtPr>
      <w:sdtContent>
        <w:r>
          <w:pict w14:anchorId="18A63F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CDDC073" wp14:editId="75CAE07D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68ECC" w14:textId="77777777" w:rsidR="0013193D" w:rsidRDefault="0013193D" w:rsidP="0013193D">
    <w:pPr>
      <w:pStyle w:val="Header"/>
      <w:jc w:val="right"/>
    </w:pPr>
  </w:p>
  <w:p w14:paraId="2316F5DD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B10F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F46AEE"/>
    <w:multiLevelType w:val="hybridMultilevel"/>
    <w:tmpl w:val="FFE81A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2F36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3B27"/>
    <w:rsid w:val="000D291C"/>
    <w:rsid w:val="000E5A54"/>
    <w:rsid w:val="000E63D3"/>
    <w:rsid w:val="000E67CF"/>
    <w:rsid w:val="0010461E"/>
    <w:rsid w:val="001058F2"/>
    <w:rsid w:val="00106FAA"/>
    <w:rsid w:val="00113443"/>
    <w:rsid w:val="001269A7"/>
    <w:rsid w:val="00131092"/>
    <w:rsid w:val="0013193D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70C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764C"/>
    <w:rsid w:val="002518E2"/>
    <w:rsid w:val="0025734A"/>
    <w:rsid w:val="00263255"/>
    <w:rsid w:val="00276494"/>
    <w:rsid w:val="00277B0C"/>
    <w:rsid w:val="002B1A2C"/>
    <w:rsid w:val="002C1425"/>
    <w:rsid w:val="002C34F2"/>
    <w:rsid w:val="002C58FF"/>
    <w:rsid w:val="002C7AFE"/>
    <w:rsid w:val="002D05D2"/>
    <w:rsid w:val="002E0D61"/>
    <w:rsid w:val="002E4C7B"/>
    <w:rsid w:val="00300C60"/>
    <w:rsid w:val="0030740C"/>
    <w:rsid w:val="00315833"/>
    <w:rsid w:val="003215EE"/>
    <w:rsid w:val="003224BF"/>
    <w:rsid w:val="003241A8"/>
    <w:rsid w:val="003253F0"/>
    <w:rsid w:val="003337DA"/>
    <w:rsid w:val="00334EFB"/>
    <w:rsid w:val="0033599D"/>
    <w:rsid w:val="00335CDE"/>
    <w:rsid w:val="003365A5"/>
    <w:rsid w:val="00347192"/>
    <w:rsid w:val="0034744C"/>
    <w:rsid w:val="00351FE0"/>
    <w:rsid w:val="00352615"/>
    <w:rsid w:val="00353A26"/>
    <w:rsid w:val="0035412B"/>
    <w:rsid w:val="003567A8"/>
    <w:rsid w:val="00362895"/>
    <w:rsid w:val="00370DBF"/>
    <w:rsid w:val="0037740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E6ED2"/>
    <w:rsid w:val="003F07E1"/>
    <w:rsid w:val="003F4929"/>
    <w:rsid w:val="00402967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52AA"/>
    <w:rsid w:val="0051230E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28AF"/>
    <w:rsid w:val="005A3034"/>
    <w:rsid w:val="005A462D"/>
    <w:rsid w:val="005B253B"/>
    <w:rsid w:val="005B771D"/>
    <w:rsid w:val="005C5D16"/>
    <w:rsid w:val="005D3193"/>
    <w:rsid w:val="005D36BE"/>
    <w:rsid w:val="005D4A6E"/>
    <w:rsid w:val="005D6346"/>
    <w:rsid w:val="005E6979"/>
    <w:rsid w:val="005E75CB"/>
    <w:rsid w:val="006013C1"/>
    <w:rsid w:val="0060669E"/>
    <w:rsid w:val="00610F2E"/>
    <w:rsid w:val="00611399"/>
    <w:rsid w:val="00624C4E"/>
    <w:rsid w:val="00625200"/>
    <w:rsid w:val="00627CE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50C"/>
    <w:rsid w:val="00695B72"/>
    <w:rsid w:val="006B160A"/>
    <w:rsid w:val="006B4E6C"/>
    <w:rsid w:val="006B50B6"/>
    <w:rsid w:val="006D264B"/>
    <w:rsid w:val="006D79EA"/>
    <w:rsid w:val="006E5D05"/>
    <w:rsid w:val="00701053"/>
    <w:rsid w:val="00701507"/>
    <w:rsid w:val="007128D0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2F6F"/>
    <w:rsid w:val="007758D7"/>
    <w:rsid w:val="007770F1"/>
    <w:rsid w:val="00783FB1"/>
    <w:rsid w:val="00785CDD"/>
    <w:rsid w:val="00791847"/>
    <w:rsid w:val="007925F0"/>
    <w:rsid w:val="007939B3"/>
    <w:rsid w:val="0079509C"/>
    <w:rsid w:val="00796708"/>
    <w:rsid w:val="007B0BF7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3E9A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780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0007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51C4"/>
    <w:rsid w:val="00A53681"/>
    <w:rsid w:val="00A54AAC"/>
    <w:rsid w:val="00A633D4"/>
    <w:rsid w:val="00A6461A"/>
    <w:rsid w:val="00A67819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5715"/>
    <w:rsid w:val="00B7109E"/>
    <w:rsid w:val="00B71188"/>
    <w:rsid w:val="00B76A41"/>
    <w:rsid w:val="00B87D4C"/>
    <w:rsid w:val="00B930B7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08BD"/>
    <w:rsid w:val="00CD2BFD"/>
    <w:rsid w:val="00CD5B97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D70DA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6CA3"/>
    <w:rsid w:val="00E60F04"/>
    <w:rsid w:val="00E62AAC"/>
    <w:rsid w:val="00E67C2F"/>
    <w:rsid w:val="00E67EF5"/>
    <w:rsid w:val="00E76008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3C87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7740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29CAF2909AF466EA5CC9ACEAECE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E90E-13AD-4F7F-A0F2-C4A9D3D6DFDF}"/>
      </w:docPartPr>
      <w:docPartBody>
        <w:p w:rsidR="00FA53C6" w:rsidRDefault="000F52B8" w:rsidP="000F52B8">
          <w:pPr>
            <w:pStyle w:val="029CAF2909AF466EA5CC9ACEAECE5F85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F52B8"/>
    <w:rsid w:val="004E1269"/>
    <w:rsid w:val="0051600D"/>
    <w:rsid w:val="00D06A55"/>
    <w:rsid w:val="00D21A9F"/>
    <w:rsid w:val="00F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2B8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3ED0EDC4E2B401F94F8655675681059">
    <w:name w:val="F3ED0EDC4E2B401F94F8655675681059"/>
    <w:rsid w:val="0051600D"/>
  </w:style>
  <w:style w:type="paragraph" w:customStyle="1" w:styleId="D9CD6B21F0BB4B5EA4B8BF25A5F140D6">
    <w:name w:val="D9CD6B21F0BB4B5EA4B8BF25A5F140D6"/>
    <w:rsid w:val="0051600D"/>
  </w:style>
  <w:style w:type="paragraph" w:customStyle="1" w:styleId="6C373772D21049469708C594E9C6ACDB">
    <w:name w:val="6C373772D21049469708C594E9C6ACDB"/>
    <w:rsid w:val="0051600D"/>
  </w:style>
  <w:style w:type="paragraph" w:customStyle="1" w:styleId="075E45E0D2364C22A77C0D1E3045021D">
    <w:name w:val="075E45E0D2364C22A77C0D1E3045021D"/>
    <w:rsid w:val="0051600D"/>
  </w:style>
  <w:style w:type="paragraph" w:customStyle="1" w:styleId="D2C313F74EBC451E9E6440300C75BDBF">
    <w:name w:val="D2C313F74EBC451E9E6440300C75BDBF"/>
    <w:rsid w:val="0051600D"/>
  </w:style>
  <w:style w:type="paragraph" w:customStyle="1" w:styleId="96FC731F83FA4B3986BECBD1651D72D3">
    <w:name w:val="96FC731F83FA4B3986BECBD1651D72D3"/>
    <w:rsid w:val="0051600D"/>
  </w:style>
  <w:style w:type="paragraph" w:customStyle="1" w:styleId="F41E626E23C74CA881EDB78B61A05C28">
    <w:name w:val="F41E626E23C74CA881EDB78B61A05C28"/>
    <w:rsid w:val="0051600D"/>
  </w:style>
  <w:style w:type="paragraph" w:customStyle="1" w:styleId="A0D89AAA0A2A40CEB56BEBBC00813F48">
    <w:name w:val="A0D89AAA0A2A40CEB56BEBBC00813F48"/>
    <w:rsid w:val="0051600D"/>
  </w:style>
  <w:style w:type="paragraph" w:customStyle="1" w:styleId="1E775C3CFA664066A9AC669898F5C9FE">
    <w:name w:val="1E775C3CFA664066A9AC669898F5C9FE"/>
    <w:rsid w:val="0051600D"/>
  </w:style>
  <w:style w:type="paragraph" w:customStyle="1" w:styleId="281881DF80D1427ABA797FC9C9E4EFAC">
    <w:name w:val="281881DF80D1427ABA797FC9C9E4EFAC"/>
    <w:rsid w:val="0051600D"/>
  </w:style>
  <w:style w:type="paragraph" w:customStyle="1" w:styleId="1990804D48F146E9A22F53DBF07ADAB2">
    <w:name w:val="1990804D48F146E9A22F53DBF07ADAB2"/>
    <w:rsid w:val="0051600D"/>
  </w:style>
  <w:style w:type="paragraph" w:customStyle="1" w:styleId="DBD44986FB1F47D4AE71FF993F026379">
    <w:name w:val="DBD44986FB1F47D4AE71FF993F026379"/>
    <w:rsid w:val="0051600D"/>
  </w:style>
  <w:style w:type="paragraph" w:customStyle="1" w:styleId="1BBB3B225DBC45F9895032DE66F69F27">
    <w:name w:val="1BBB3B225DBC45F9895032DE66F69F27"/>
    <w:rsid w:val="0051600D"/>
  </w:style>
  <w:style w:type="paragraph" w:customStyle="1" w:styleId="844F075E936B43029BC7A79F3ED4A662">
    <w:name w:val="844F075E936B43029BC7A79F3ED4A662"/>
    <w:rsid w:val="0051600D"/>
  </w:style>
  <w:style w:type="paragraph" w:customStyle="1" w:styleId="0D7027ADD6804A16BE8A55D88A74D8C7">
    <w:name w:val="0D7027ADD6804A16BE8A55D88A74D8C7"/>
    <w:rsid w:val="0051600D"/>
  </w:style>
  <w:style w:type="paragraph" w:customStyle="1" w:styleId="A93ACE15A5CA4A06B65CE2947AAB0C9F">
    <w:name w:val="A93ACE15A5CA4A06B65CE2947AAB0C9F"/>
    <w:rsid w:val="0051600D"/>
  </w:style>
  <w:style w:type="paragraph" w:customStyle="1" w:styleId="5B9BF8469A3A4EF38808CE2943AD1026">
    <w:name w:val="5B9BF8469A3A4EF38808CE2943AD1026"/>
    <w:rsid w:val="004E1269"/>
  </w:style>
  <w:style w:type="paragraph" w:customStyle="1" w:styleId="BBBCA39338CB449D8997ECA1AB816302">
    <w:name w:val="BBBCA39338CB449D8997ECA1AB816302"/>
    <w:rsid w:val="004E1269"/>
  </w:style>
  <w:style w:type="paragraph" w:customStyle="1" w:styleId="029CAF2909AF466EA5CC9ACEAECE5F85">
    <w:name w:val="029CAF2909AF466EA5CC9ACEAECE5F85"/>
    <w:rsid w:val="000F5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9FDD-C300-4A97-8CF4-00B87004F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43184B-A87D-494F-9960-E8A6768D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F21C6739.dotm</Template>
  <TotalTime>529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23</cp:revision>
  <cp:lastPrinted>2018-10-22T22:41:00Z</cp:lastPrinted>
  <dcterms:created xsi:type="dcterms:W3CDTF">2019-09-23T06:11:00Z</dcterms:created>
  <dcterms:modified xsi:type="dcterms:W3CDTF">2020-02-27T21:16:00Z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