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C03CFBA" w14:textId="69FBBA12" w:rsidR="00BD499F" w:rsidRPr="004C23F4" w:rsidRDefault="005A1B4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Phthalic anhydride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058BDF43" w14:textId="77777777" w:rsidTr="00B76A41">
        <w:trPr>
          <w:cantSplit/>
          <w:tblHeader/>
        </w:trPr>
        <w:tc>
          <w:tcPr>
            <w:tcW w:w="4077" w:type="dxa"/>
          </w:tcPr>
          <w:p w14:paraId="6944FD7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6BDAC68" w14:textId="016C702F" w:rsidR="00F43AD5" w:rsidRPr="00717D45" w:rsidRDefault="00593C40" w:rsidP="00B76A41">
            <w:pPr>
              <w:pStyle w:val="Tablefont"/>
            </w:pPr>
            <w:r w:rsidRPr="00593C40">
              <w:t>85-44-9</w:t>
            </w:r>
          </w:p>
        </w:tc>
      </w:tr>
      <w:tr w:rsidR="00F43AD5" w:rsidRPr="004C23F4" w14:paraId="49DA5C40" w14:textId="77777777" w:rsidTr="00B76A41">
        <w:trPr>
          <w:cantSplit/>
        </w:trPr>
        <w:tc>
          <w:tcPr>
            <w:tcW w:w="4077" w:type="dxa"/>
          </w:tcPr>
          <w:p w14:paraId="6200B9C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0E3AFC1" w14:textId="501F5034" w:rsidR="00F43AD5" w:rsidRPr="00717D45" w:rsidRDefault="00593C40" w:rsidP="00B76A41">
            <w:pPr>
              <w:pStyle w:val="Tablefont"/>
            </w:pPr>
            <w:r>
              <w:t>1,3-Isobenzofurandione, phthalic acid anhydride</w:t>
            </w:r>
            <w:r w:rsidR="00263901">
              <w:t xml:space="preserve">, </w:t>
            </w:r>
            <w:r>
              <w:t>PAN</w:t>
            </w:r>
          </w:p>
        </w:tc>
      </w:tr>
      <w:tr w:rsidR="00F43AD5" w:rsidRPr="004C23F4" w14:paraId="2F29614A" w14:textId="77777777" w:rsidTr="00B76A41">
        <w:trPr>
          <w:cantSplit/>
        </w:trPr>
        <w:tc>
          <w:tcPr>
            <w:tcW w:w="4077" w:type="dxa"/>
          </w:tcPr>
          <w:p w14:paraId="5911D49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C16BBA5" w14:textId="32E03C1B" w:rsidR="00F43AD5" w:rsidRPr="00717D45" w:rsidRDefault="00593C40" w:rsidP="00B76A41">
            <w:pPr>
              <w:pStyle w:val="Tablefont"/>
            </w:pPr>
            <w:r>
              <w:t>C</w:t>
            </w:r>
            <w:r w:rsidRPr="00593C40">
              <w:rPr>
                <w:vertAlign w:val="subscript"/>
              </w:rPr>
              <w:t>8</w:t>
            </w:r>
            <w:r>
              <w:t>H</w:t>
            </w:r>
            <w:r w:rsidRPr="00593C40">
              <w:rPr>
                <w:vertAlign w:val="subscript"/>
              </w:rPr>
              <w:t>4</w:t>
            </w:r>
            <w:r>
              <w:t>O</w:t>
            </w:r>
            <w:r w:rsidRPr="00593C40">
              <w:rPr>
                <w:vertAlign w:val="subscript"/>
              </w:rPr>
              <w:t>3</w:t>
            </w:r>
          </w:p>
        </w:tc>
      </w:tr>
      <w:tr w:rsidR="00F43AD5" w:rsidRPr="004C23F4" w14:paraId="18C0FEDF" w14:textId="77777777" w:rsidTr="00B76A41">
        <w:trPr>
          <w:cantSplit/>
        </w:trPr>
        <w:tc>
          <w:tcPr>
            <w:tcW w:w="4077" w:type="dxa"/>
          </w:tcPr>
          <w:p w14:paraId="61861E2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13EFEC7" w14:textId="39CA49FA" w:rsidR="00F43AD5" w:rsidRPr="00B40C60" w:rsidRDefault="00593C40" w:rsidP="00B76A41">
            <w:pPr>
              <w:pStyle w:val="Tablerowheading"/>
              <w:rPr>
                <w:b w:val="0"/>
              </w:rPr>
            </w:pPr>
            <w:r w:rsidRPr="00593C40">
              <w:rPr>
                <w:b w:val="0"/>
              </w:rPr>
              <w:t>—</w:t>
            </w:r>
          </w:p>
        </w:tc>
      </w:tr>
    </w:tbl>
    <w:p w14:paraId="3EFE7E1D" w14:textId="74C56AA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060A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6A0FF63" w14:textId="77777777" w:rsidTr="003060A5">
        <w:trPr>
          <w:cantSplit/>
          <w:tblHeader/>
        </w:trPr>
        <w:tc>
          <w:tcPr>
            <w:tcW w:w="4005" w:type="dxa"/>
            <w:vAlign w:val="center"/>
          </w:tcPr>
          <w:p w14:paraId="4438F4D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81632A0" w14:textId="0D4764D2" w:rsidR="002C7AFE" w:rsidRPr="00263901" w:rsidRDefault="003060A5" w:rsidP="00017C82">
            <w:pPr>
              <w:pStyle w:val="Tablefont"/>
              <w:rPr>
                <w:b/>
              </w:rPr>
            </w:pPr>
            <w:r w:rsidRPr="00263901">
              <w:rPr>
                <w:b/>
              </w:rPr>
              <w:t>0.002 mg/m</w:t>
            </w:r>
            <w:r w:rsidRPr="00263901">
              <w:rPr>
                <w:b/>
                <w:vertAlign w:val="superscript"/>
              </w:rPr>
              <w:t>3</w:t>
            </w:r>
            <w:r w:rsidRPr="00263901">
              <w:rPr>
                <w:b/>
              </w:rPr>
              <w:t xml:space="preserve"> (0.0003 ppm)</w:t>
            </w:r>
          </w:p>
        </w:tc>
      </w:tr>
      <w:tr w:rsidR="003060A5" w:rsidRPr="004C23F4" w14:paraId="42FA1D47" w14:textId="77777777" w:rsidTr="003060A5">
        <w:trPr>
          <w:cantSplit/>
        </w:trPr>
        <w:tc>
          <w:tcPr>
            <w:tcW w:w="4005" w:type="dxa"/>
            <w:vAlign w:val="center"/>
          </w:tcPr>
          <w:p w14:paraId="49725BF2" w14:textId="77777777" w:rsidR="003060A5" w:rsidRPr="002C58FF" w:rsidRDefault="003060A5" w:rsidP="003060A5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433E2ABB" w14:textId="10280DBE" w:rsidR="003060A5" w:rsidRPr="00EB3D1B" w:rsidRDefault="003060A5" w:rsidP="003060A5">
            <w:pPr>
              <w:pStyle w:val="Tablefont"/>
              <w:rPr>
                <w:b/>
              </w:rPr>
            </w:pPr>
            <w:r w:rsidRPr="003D6ACD">
              <w:rPr>
                <w:b/>
              </w:rPr>
              <w:t>—</w:t>
            </w:r>
          </w:p>
        </w:tc>
      </w:tr>
      <w:tr w:rsidR="003060A5" w:rsidRPr="004C23F4" w14:paraId="67C1C84D" w14:textId="77777777" w:rsidTr="003060A5">
        <w:trPr>
          <w:cantSplit/>
        </w:trPr>
        <w:tc>
          <w:tcPr>
            <w:tcW w:w="4005" w:type="dxa"/>
            <w:vAlign w:val="center"/>
          </w:tcPr>
          <w:p w14:paraId="1042025D" w14:textId="77777777" w:rsidR="003060A5" w:rsidRPr="002C58FF" w:rsidRDefault="003060A5" w:rsidP="003060A5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F616DE5" w14:textId="6BA3E8CB" w:rsidR="003060A5" w:rsidRPr="00EB3D1B" w:rsidRDefault="003060A5" w:rsidP="003060A5">
            <w:pPr>
              <w:pStyle w:val="Tablefont"/>
              <w:rPr>
                <w:b/>
              </w:rPr>
            </w:pPr>
            <w:r w:rsidRPr="003D6ACD">
              <w:rPr>
                <w:b/>
              </w:rPr>
              <w:t>—</w:t>
            </w:r>
          </w:p>
        </w:tc>
      </w:tr>
      <w:tr w:rsidR="002C7AFE" w:rsidRPr="004C23F4" w14:paraId="6CB22B50" w14:textId="77777777" w:rsidTr="003060A5">
        <w:trPr>
          <w:cantSplit/>
        </w:trPr>
        <w:tc>
          <w:tcPr>
            <w:tcW w:w="4005" w:type="dxa"/>
          </w:tcPr>
          <w:p w14:paraId="102E113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256F2EC" w14:textId="53F935BD" w:rsidR="002C7AFE" w:rsidRPr="00EB3D1B" w:rsidRDefault="007510C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Sk., </w:t>
            </w:r>
            <w:r w:rsidR="003060A5">
              <w:rPr>
                <w:b/>
              </w:rPr>
              <w:t>DSEN, RSEN</w:t>
            </w:r>
          </w:p>
        </w:tc>
      </w:tr>
      <w:tr w:rsidR="002C7AFE" w:rsidRPr="004C23F4" w14:paraId="5CCC75D4" w14:textId="77777777" w:rsidTr="003060A5">
        <w:trPr>
          <w:cantSplit/>
        </w:trPr>
        <w:tc>
          <w:tcPr>
            <w:tcW w:w="4005" w:type="dxa"/>
            <w:vAlign w:val="center"/>
          </w:tcPr>
          <w:p w14:paraId="0A348544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BE93615" w14:textId="10EAF8DD" w:rsidR="002C7AFE" w:rsidRPr="00EB3D1B" w:rsidRDefault="00593C4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60 mg/m</w:t>
            </w:r>
            <w:r w:rsidRPr="00593C40">
              <w:rPr>
                <w:b/>
                <w:vertAlign w:val="superscript"/>
              </w:rPr>
              <w:t>3</w:t>
            </w:r>
          </w:p>
        </w:tc>
      </w:tr>
      <w:tr w:rsidR="0008562D" w:rsidRPr="004C23F4" w14:paraId="1A6853AF" w14:textId="77777777" w:rsidTr="00D71DB4">
        <w:trPr>
          <w:cantSplit/>
        </w:trPr>
        <w:tc>
          <w:tcPr>
            <w:tcW w:w="9026" w:type="dxa"/>
            <w:gridSpan w:val="2"/>
            <w:vAlign w:val="center"/>
          </w:tcPr>
          <w:p w14:paraId="37C4F7EF" w14:textId="0F796F61" w:rsidR="0008562D" w:rsidRPr="00EB3D1B" w:rsidRDefault="0008562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99DD91EC7AE433F98479FCFAFA3DE1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08562D"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2F5F1B7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EAD9B97" w14:textId="40B841E0" w:rsidR="006639B4" w:rsidRPr="004C23F4" w:rsidRDefault="003060A5" w:rsidP="000C139A">
      <w:pPr>
        <w:rPr>
          <w:rFonts w:cs="Arial"/>
        </w:rPr>
      </w:pPr>
      <w:r w:rsidRPr="00D40DCB">
        <w:t xml:space="preserve">A TWA of </w:t>
      </w:r>
      <w:r>
        <w:t>0.002</w:t>
      </w:r>
      <w:r w:rsidRPr="00D40DCB">
        <w:t xml:space="preserve"> mg/m</w:t>
      </w:r>
      <w:r w:rsidRPr="00D40DCB">
        <w:rPr>
          <w:vertAlign w:val="superscript"/>
        </w:rPr>
        <w:t>3</w:t>
      </w:r>
      <w:r w:rsidRPr="00D40DCB">
        <w:t xml:space="preserve"> </w:t>
      </w:r>
      <w:r>
        <w:t xml:space="preserve">(0.0003 ppm) </w:t>
      </w:r>
      <w:r w:rsidRPr="00D40DCB">
        <w:t xml:space="preserve">is recommended </w:t>
      </w:r>
      <w:r>
        <w:t>to protect</w:t>
      </w:r>
      <w:r w:rsidRPr="00D40DCB">
        <w:t xml:space="preserve"> </w:t>
      </w:r>
      <w:r>
        <w:t>for induction of</w:t>
      </w:r>
      <w:r w:rsidRPr="00D40DCB">
        <w:t xml:space="preserve"> </w:t>
      </w:r>
      <w:r>
        <w:t>respiratory sensitisation</w:t>
      </w:r>
      <w:r w:rsidR="00A83688">
        <w:t xml:space="preserve"> </w:t>
      </w:r>
      <w:r>
        <w:t>and asthma in exposed workers</w:t>
      </w:r>
      <w:r w:rsidRPr="00D40DCB">
        <w:t>.</w:t>
      </w:r>
    </w:p>
    <w:p w14:paraId="1536D74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A440B4F" w14:textId="77777777" w:rsidR="00263901" w:rsidRDefault="003E1856" w:rsidP="006639B4">
      <w:r>
        <w:t>Phthalic anhydride (PA</w:t>
      </w:r>
      <w:r w:rsidR="008349EA">
        <w:t>N</w:t>
      </w:r>
      <w:r>
        <w:t xml:space="preserve">) is used in organic synthesis for the manufacture of alkyd and epoxy resins, unsaturated polyesters, dyes, pharmaceuticals, plasticisers and fungicides. </w:t>
      </w:r>
    </w:p>
    <w:p w14:paraId="2E57866D" w14:textId="79AABBC4" w:rsidR="00D40DCB" w:rsidRDefault="003E1856" w:rsidP="00D40DCB">
      <w:r>
        <w:t xml:space="preserve">Critical effects </w:t>
      </w:r>
      <w:r w:rsidR="00F25236">
        <w:t xml:space="preserve">of </w:t>
      </w:r>
      <w:r>
        <w:t>exposure are respiratory sensitisation</w:t>
      </w:r>
      <w:r w:rsidR="00E61E36">
        <w:t xml:space="preserve">, </w:t>
      </w:r>
      <w:r>
        <w:t>asthma and possible irritation.</w:t>
      </w:r>
      <w:r w:rsidR="00263901">
        <w:t xml:space="preserve"> </w:t>
      </w:r>
      <w:r w:rsidR="00F25236">
        <w:t>E</w:t>
      </w:r>
      <w:r w:rsidR="003060A5">
        <w:t>xposure to PA</w:t>
      </w:r>
      <w:r w:rsidR="008349EA">
        <w:t>N</w:t>
      </w:r>
      <w:r w:rsidR="003060A5">
        <w:t xml:space="preserve"> </w:t>
      </w:r>
      <w:r w:rsidR="00F25236">
        <w:t xml:space="preserve">in humans </w:t>
      </w:r>
      <w:r w:rsidR="003060A5">
        <w:t>can cause or is associated with sensitisation, elevated</w:t>
      </w:r>
      <w:r w:rsidR="00263901">
        <w:t xml:space="preserve"> immunoglobulin E</w:t>
      </w:r>
      <w:r w:rsidR="003060A5">
        <w:t xml:space="preserve"> </w:t>
      </w:r>
      <w:r w:rsidR="00263901">
        <w:t>(</w:t>
      </w:r>
      <w:proofErr w:type="spellStart"/>
      <w:r w:rsidR="003060A5">
        <w:t>IgE</w:t>
      </w:r>
      <w:proofErr w:type="spellEnd"/>
      <w:r w:rsidR="00263901">
        <w:t>)</w:t>
      </w:r>
      <w:r w:rsidR="003060A5">
        <w:t xml:space="preserve"> and </w:t>
      </w:r>
      <w:r w:rsidR="00263901">
        <w:t>Immunoglobulin G (</w:t>
      </w:r>
      <w:r w:rsidR="003060A5">
        <w:t>IgG</w:t>
      </w:r>
      <w:r w:rsidR="00263901">
        <w:t>)</w:t>
      </w:r>
      <w:r w:rsidR="003060A5">
        <w:t xml:space="preserve">, occupational asthma, rhinitis, conjunctivitis, chronic bronchitis, respiratory irritation and contact </w:t>
      </w:r>
      <w:proofErr w:type="spellStart"/>
      <w:r w:rsidR="003060A5">
        <w:t>urticaria</w:t>
      </w:r>
      <w:proofErr w:type="spellEnd"/>
      <w:r w:rsidR="003060A5">
        <w:t xml:space="preserve">. </w:t>
      </w:r>
      <w:r w:rsidR="00F25236">
        <w:t xml:space="preserve">Sensitisation </w:t>
      </w:r>
      <w:r w:rsidR="00645A3A">
        <w:t xml:space="preserve">in workers </w:t>
      </w:r>
      <w:r w:rsidR="00FA2844">
        <w:t>rarely results following an average exposure below</w:t>
      </w:r>
      <w:r>
        <w:t xml:space="preserve"> 0.01</w:t>
      </w:r>
      <w:r w:rsidR="00F25236">
        <w:t> </w:t>
      </w:r>
      <w:r>
        <w:t>mg/m</w:t>
      </w:r>
      <w:r w:rsidRPr="006316A2">
        <w:rPr>
          <w:vertAlign w:val="superscript"/>
        </w:rPr>
        <w:t>3</w:t>
      </w:r>
      <w:r w:rsidR="00FA2844">
        <w:t xml:space="preserve">. At these concentration, rhinitis, conjunctivitis and </w:t>
      </w:r>
      <w:proofErr w:type="spellStart"/>
      <w:r w:rsidR="00FA2844">
        <w:t>rhinoconjunctivitis</w:t>
      </w:r>
      <w:proofErr w:type="spellEnd"/>
      <w:r w:rsidR="00FA2844">
        <w:t xml:space="preserve"> occur in a substantial proportion of workers exposed</w:t>
      </w:r>
      <w:r w:rsidR="00263901">
        <w:t>.</w:t>
      </w:r>
      <w:r w:rsidR="00FA2844">
        <w:t xml:space="preserve"> </w:t>
      </w:r>
      <w:r w:rsidR="00263901">
        <w:t>H</w:t>
      </w:r>
      <w:r w:rsidR="00FA2844">
        <w:t>owever</w:t>
      </w:r>
      <w:r w:rsidR="00A83688">
        <w:t>,</w:t>
      </w:r>
      <w:r w:rsidR="00FA2844">
        <w:t xml:space="preserve"> no cases of asthma </w:t>
      </w:r>
      <w:r w:rsidR="00263901">
        <w:t>a</w:t>
      </w:r>
      <w:r w:rsidR="00FA2844">
        <w:t>re found</w:t>
      </w:r>
      <w:r w:rsidR="00D40DCB">
        <w:t xml:space="preserve"> (ACGIH, 2018; SCOEL, 2011)</w:t>
      </w:r>
      <w:r w:rsidR="00FA2844">
        <w:t>.</w:t>
      </w:r>
      <w:r w:rsidR="00D40DCB">
        <w:t xml:space="preserve"> In a study of workers with average full</w:t>
      </w:r>
      <w:r w:rsidR="008C1EEA">
        <w:t>-</w:t>
      </w:r>
      <w:r w:rsidR="00D40DCB">
        <w:t>day exposures</w:t>
      </w:r>
      <w:r w:rsidR="00D40DCB" w:rsidRPr="00D40DCB">
        <w:t xml:space="preserve"> </w:t>
      </w:r>
      <w:r w:rsidR="00D40DCB">
        <w:t>at 0.4 mg/m</w:t>
      </w:r>
      <w:r w:rsidR="00D40DCB" w:rsidRPr="00E257EC">
        <w:rPr>
          <w:vertAlign w:val="superscript"/>
        </w:rPr>
        <w:t>3</w:t>
      </w:r>
      <w:r w:rsidR="00D40DCB">
        <w:t xml:space="preserve"> combined with peak exposures </w:t>
      </w:r>
      <w:r w:rsidR="00263901">
        <w:t>of</w:t>
      </w:r>
      <w:r w:rsidR="00D40DCB">
        <w:t xml:space="preserve"> up to 13 mg/m</w:t>
      </w:r>
      <w:r w:rsidR="00D40DCB" w:rsidRPr="00E257EC">
        <w:rPr>
          <w:vertAlign w:val="superscript"/>
        </w:rPr>
        <w:t>3</w:t>
      </w:r>
      <w:r w:rsidR="002E6380">
        <w:t>,</w:t>
      </w:r>
      <w:r w:rsidR="00D40DCB">
        <w:t xml:space="preserve"> 24</w:t>
      </w:r>
      <w:r w:rsidR="00263901">
        <w:t xml:space="preserve"> percent</w:t>
      </w:r>
      <w:r w:rsidR="00D40DCB">
        <w:t xml:space="preserve"> </w:t>
      </w:r>
      <w:r w:rsidR="002E6380">
        <w:t xml:space="preserve">workers </w:t>
      </w:r>
      <w:r w:rsidR="00D40DCB">
        <w:t>had work-related rhinitis, 18</w:t>
      </w:r>
      <w:r w:rsidR="00263901">
        <w:t xml:space="preserve"> percent</w:t>
      </w:r>
      <w:r w:rsidR="00D40DCB">
        <w:t xml:space="preserve"> </w:t>
      </w:r>
      <w:r w:rsidR="00645A3A">
        <w:t xml:space="preserve">had </w:t>
      </w:r>
      <w:r w:rsidR="00D40DCB">
        <w:t>asthma and 11</w:t>
      </w:r>
      <w:r w:rsidR="00263901">
        <w:t xml:space="preserve"> percent</w:t>
      </w:r>
      <w:r w:rsidR="00D40DCB">
        <w:t xml:space="preserve"> </w:t>
      </w:r>
      <w:r w:rsidR="00645A3A">
        <w:t xml:space="preserve">developed </w:t>
      </w:r>
      <w:r w:rsidR="00D40DCB">
        <w:t>chronic bronchiti</w:t>
      </w:r>
      <w:r w:rsidR="008349EA">
        <w:t>s (HCOTN, 2010). A LOAEL of 0.5 </w:t>
      </w:r>
      <w:r w:rsidR="00D40DCB">
        <w:t>mg/m</w:t>
      </w:r>
      <w:r w:rsidR="00D40DCB">
        <w:rPr>
          <w:vertAlign w:val="superscript"/>
        </w:rPr>
        <w:t>3</w:t>
      </w:r>
      <w:r w:rsidR="00D40DCB">
        <w:t xml:space="preserve"> in guinea pigs is reported for sensitised animals and production of allergic antibodies (ACGIH, 2018).</w:t>
      </w:r>
    </w:p>
    <w:p w14:paraId="3BD3ED43" w14:textId="022E2F1E" w:rsidR="00263901" w:rsidRDefault="00D40DCB" w:rsidP="006639B4">
      <w:r w:rsidRPr="00D40DCB">
        <w:t xml:space="preserve">A TWA of </w:t>
      </w:r>
      <w:r w:rsidR="003060A5">
        <w:t>0.00</w:t>
      </w:r>
      <w:r>
        <w:t>2</w:t>
      </w:r>
      <w:r w:rsidRPr="00D40DCB">
        <w:t xml:space="preserve"> mg/m</w:t>
      </w:r>
      <w:r w:rsidRPr="00D40DCB">
        <w:rPr>
          <w:vertAlign w:val="superscript"/>
        </w:rPr>
        <w:t>3</w:t>
      </w:r>
      <w:r w:rsidR="00E61E36">
        <w:rPr>
          <w:vertAlign w:val="superscript"/>
        </w:rPr>
        <w:t xml:space="preserve"> </w:t>
      </w:r>
      <w:r w:rsidR="00E61E36">
        <w:t>(0.0003 ppm)</w:t>
      </w:r>
      <w:r w:rsidRPr="00D40DCB">
        <w:t xml:space="preserve"> </w:t>
      </w:r>
      <w:r w:rsidR="00F25236" w:rsidRPr="00D40DCB">
        <w:t>by ACGIH (2018)</w:t>
      </w:r>
      <w:r w:rsidR="00F25236">
        <w:t xml:space="preserve"> </w:t>
      </w:r>
      <w:r w:rsidRPr="00D40DCB">
        <w:t>is recommended. This TWA is expected to protect</w:t>
      </w:r>
      <w:r w:rsidR="00E61E36">
        <w:t xml:space="preserve"> for</w:t>
      </w:r>
      <w:r w:rsidRPr="00D40DCB">
        <w:t xml:space="preserve"> </w:t>
      </w:r>
      <w:r>
        <w:t>respiratory sensitisation</w:t>
      </w:r>
      <w:r w:rsidR="00E61E36">
        <w:t xml:space="preserve">, </w:t>
      </w:r>
      <w:r w:rsidR="003060A5">
        <w:t xml:space="preserve">asthma and possible irritation in </w:t>
      </w:r>
      <w:r w:rsidR="00E61E36">
        <w:t xml:space="preserve">exposed </w:t>
      </w:r>
      <w:r w:rsidR="003060A5">
        <w:t>workers</w:t>
      </w:r>
      <w:r w:rsidRPr="00D40DCB">
        <w:t>.</w:t>
      </w:r>
      <w:r w:rsidR="003060A5">
        <w:t xml:space="preserve"> </w:t>
      </w:r>
    </w:p>
    <w:p w14:paraId="0767F6EF" w14:textId="6621DACE" w:rsidR="003E1856" w:rsidRPr="004C23F4" w:rsidRDefault="003060A5" w:rsidP="006639B4">
      <w:pPr>
        <w:rPr>
          <w:rFonts w:cs="Arial"/>
        </w:rPr>
      </w:pPr>
      <w:r>
        <w:t>Insufficient data are available to recommend a STEL.</w:t>
      </w:r>
    </w:p>
    <w:p w14:paraId="5E5831D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C40F497" w14:textId="60A5AAFD" w:rsidR="00593C40" w:rsidRPr="003060A5" w:rsidRDefault="00593C40" w:rsidP="00593C40">
      <w:pPr>
        <w:rPr>
          <w:rFonts w:cs="Arial"/>
        </w:rPr>
      </w:pPr>
      <w:r w:rsidRPr="003060A5">
        <w:rPr>
          <w:rFonts w:cs="Arial"/>
        </w:rPr>
        <w:t>Not classified as a carcinogen according to the Globally Harmonized System of Classification and Labelling o</w:t>
      </w:r>
      <w:r w:rsidR="008C1EEA">
        <w:rPr>
          <w:rFonts w:cs="Arial"/>
        </w:rPr>
        <w:t>f</w:t>
      </w:r>
      <w:r w:rsidRPr="003060A5">
        <w:rPr>
          <w:rFonts w:cs="Arial"/>
        </w:rPr>
        <w:t xml:space="preserve"> Chemicals (GHS). </w:t>
      </w:r>
    </w:p>
    <w:p w14:paraId="52F40358" w14:textId="4A36D1BA" w:rsidR="00593C40" w:rsidRPr="003060A5" w:rsidRDefault="003060A5" w:rsidP="00593C40">
      <w:pPr>
        <w:rPr>
          <w:rFonts w:cs="Arial"/>
        </w:rPr>
      </w:pPr>
      <w:r w:rsidRPr="003060A5">
        <w:rPr>
          <w:rFonts w:cs="Arial"/>
        </w:rPr>
        <w:lastRenderedPageBreak/>
        <w:t>C</w:t>
      </w:r>
      <w:r w:rsidR="00593C40" w:rsidRPr="003060A5">
        <w:rPr>
          <w:rFonts w:cs="Arial"/>
        </w:rPr>
        <w:t>lassified as a skin</w:t>
      </w:r>
      <w:r w:rsidRPr="003060A5">
        <w:rPr>
          <w:rFonts w:cs="Arial"/>
        </w:rPr>
        <w:t xml:space="preserve"> sensitiser</w:t>
      </w:r>
      <w:r w:rsidR="00593C40" w:rsidRPr="003060A5">
        <w:rPr>
          <w:rFonts w:cs="Arial"/>
        </w:rPr>
        <w:t xml:space="preserve"> </w:t>
      </w:r>
      <w:r w:rsidR="0008562D">
        <w:rPr>
          <w:rFonts w:cs="Arial"/>
        </w:rPr>
        <w:t>and</w:t>
      </w:r>
      <w:r w:rsidR="00593C40" w:rsidRPr="003060A5">
        <w:rPr>
          <w:rFonts w:cs="Arial"/>
        </w:rPr>
        <w:t xml:space="preserve"> respiratory sensitiser according to the GHS.</w:t>
      </w:r>
    </w:p>
    <w:p w14:paraId="41213B4B" w14:textId="0E3D7AB1" w:rsidR="007510CB" w:rsidRDefault="007510CB" w:rsidP="007510CB">
      <w:pPr>
        <w:keepNext/>
        <w:rPr>
          <w:rFonts w:cs="Arial"/>
        </w:rPr>
      </w:pPr>
      <w:r>
        <w:rPr>
          <w:rFonts w:cs="Arial"/>
        </w:rPr>
        <w:t xml:space="preserve">A skin notation is recommended due to evidence of dermal absorption and contribution to adverse systemic effects. </w:t>
      </w:r>
    </w:p>
    <w:p w14:paraId="5893168A" w14:textId="77777777" w:rsidR="00593C40" w:rsidRPr="004C23F4" w:rsidRDefault="00593C40" w:rsidP="00593C40">
      <w:pPr>
        <w:rPr>
          <w:rFonts w:cs="Arial"/>
        </w:rPr>
      </w:pPr>
    </w:p>
    <w:p w14:paraId="6C339C8C" w14:textId="77777777" w:rsidR="0025734A" w:rsidRPr="004C23F4" w:rsidRDefault="0025734A">
      <w:pPr>
        <w:rPr>
          <w:rFonts w:cs="Arial"/>
        </w:rPr>
      </w:pPr>
    </w:p>
    <w:p w14:paraId="52A773E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D16BD7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C6F2F7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3A2AC37" w14:textId="77777777" w:rsidTr="0008562D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07C826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7F53EF5" w14:textId="77777777" w:rsidTr="0008562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2B57FD0" w14:textId="5EC65F1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93C40">
                  <w:t>TWA: 1 ppm (6.1 mg/m</w:t>
                </w:r>
                <w:r w:rsidR="00593C40" w:rsidRPr="00593C40">
                  <w:rPr>
                    <w:vertAlign w:val="superscript"/>
                  </w:rPr>
                  <w:t>3</w:t>
                </w:r>
                <w:r w:rsidR="00593C40">
                  <w:t>)</w:t>
                </w:r>
              </w:sdtContent>
            </w:sdt>
          </w:p>
        </w:tc>
      </w:tr>
      <w:tr w:rsidR="00C978F0" w:rsidRPr="00DA352E" w14:paraId="74C8D1D5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367D022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638F5EF" w14:textId="77777777" w:rsidTr="000856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726CAA5" w14:textId="2525C0E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93C40">
                  <w:t>TLV-TWA: 0.0003 ppm (0.002 mg/m</w:t>
                </w:r>
                <w:r w:rsidR="00593C40" w:rsidRPr="00593C40">
                  <w:rPr>
                    <w:vertAlign w:val="superscript"/>
                  </w:rPr>
                  <w:t>3</w:t>
                </w:r>
                <w:r w:rsidR="00593C40">
                  <w:t>); TLV-STEL: 0.0009 ppm (0.005 mg/m</w:t>
                </w:r>
                <w:r w:rsidR="00593C40" w:rsidRPr="00593C40">
                  <w:rPr>
                    <w:vertAlign w:val="superscript"/>
                  </w:rPr>
                  <w:t>3</w:t>
                </w:r>
                <w:r w:rsidR="00593C40">
                  <w:t>)</w:t>
                </w:r>
              </w:sdtContent>
            </w:sdt>
          </w:p>
        </w:tc>
      </w:tr>
      <w:tr w:rsidR="00C978F0" w:rsidRPr="00DA352E" w14:paraId="6AC702AF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45C157A6" w14:textId="77777777" w:rsidR="00C978F0" w:rsidRDefault="006C1CCD" w:rsidP="003365A5">
            <w:pPr>
              <w:pStyle w:val="Tabletextprimarysource"/>
            </w:pPr>
            <w:r>
              <w:t>TLV-TWA is recommended to protect against the induction of sensitisation.</w:t>
            </w:r>
          </w:p>
          <w:p w14:paraId="0882DB8E" w14:textId="77777777" w:rsidR="006C1CCD" w:rsidRDefault="006C1CCD" w:rsidP="003365A5">
            <w:pPr>
              <w:pStyle w:val="Tabletextprimarysource"/>
            </w:pPr>
            <w:r>
              <w:t>TLV-STEL is recommended to keep exposures below short-term exposures found in studies with high asthma prevalence.</w:t>
            </w:r>
          </w:p>
          <w:p w14:paraId="22F4A5AA" w14:textId="77777777" w:rsidR="006C1CCD" w:rsidRDefault="006C1CCD" w:rsidP="003365A5">
            <w:pPr>
              <w:pStyle w:val="Tabletextprimarysource"/>
            </w:pPr>
            <w:r>
              <w:t>Summary of data:</w:t>
            </w:r>
          </w:p>
          <w:p w14:paraId="0CDB3837" w14:textId="57D5B896" w:rsidR="006C1CCD" w:rsidRDefault="006C1CCD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Respira</w:t>
            </w:r>
            <w:r w:rsidR="004A58A7">
              <w:t>tory tract irritant and sensitis</w:t>
            </w:r>
            <w:r>
              <w:t xml:space="preserve">er associated with asthma, conjunctivitis, rhinitis, chronic bronchitis, </w:t>
            </w:r>
            <w:proofErr w:type="spellStart"/>
            <w:r>
              <w:t>urticaria</w:t>
            </w:r>
            <w:proofErr w:type="spellEnd"/>
            <w:r>
              <w:t xml:space="preserve"> and allergic dermatitis</w:t>
            </w:r>
          </w:p>
          <w:p w14:paraId="5C049D0A" w14:textId="11294534" w:rsidR="006316A2" w:rsidRDefault="006316A2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The TLV–TWA intended to protect against the inductio</w:t>
            </w:r>
            <w:r w:rsidR="003E1856">
              <w:t>n of sensitis</w:t>
            </w:r>
            <w:r>
              <w:t>ation and is based on worker studies that indicate average exposures below 0.01 mg/m</w:t>
            </w:r>
            <w:r w:rsidRPr="006316A2">
              <w:rPr>
                <w:vertAlign w:val="superscript"/>
              </w:rPr>
              <w:t>3</w:t>
            </w:r>
            <w:r>
              <w:t xml:space="preserve"> rarely result in sensitisation</w:t>
            </w:r>
            <w:r w:rsidR="00941823">
              <w:t>; may not necessarily protect against an allergic reaction in previously sensitised individuals</w:t>
            </w:r>
            <w:r w:rsidR="00E22E99">
              <w:t>.</w:t>
            </w:r>
          </w:p>
          <w:p w14:paraId="070E6095" w14:textId="77777777" w:rsidR="006316A2" w:rsidRDefault="006316A2" w:rsidP="006316A2">
            <w:pPr>
              <w:pStyle w:val="Tabletextprimarysource"/>
            </w:pPr>
            <w:r>
              <w:t>Human data:</w:t>
            </w:r>
          </w:p>
          <w:p w14:paraId="7EA23460" w14:textId="77509848" w:rsidR="006316A2" w:rsidRDefault="003F4BBF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</w:t>
            </w:r>
            <w:r w:rsidR="006316A2">
              <w:t>uman studies identified exposure can caus</w:t>
            </w:r>
            <w:r w:rsidR="00D40DCB">
              <w:t>e or is associated with sensitis</w:t>
            </w:r>
            <w:r w:rsidR="006316A2">
              <w:t xml:space="preserve">ation, elevated </w:t>
            </w:r>
            <w:proofErr w:type="spellStart"/>
            <w:r w:rsidR="006316A2">
              <w:t>IgE</w:t>
            </w:r>
            <w:proofErr w:type="spellEnd"/>
            <w:r w:rsidR="006316A2">
              <w:t xml:space="preserve"> and IgG, occupational asthma (immediate, late or both), rhinitis, conjunctivitis, chronic bronchitis, respiratory irritation and contact </w:t>
            </w:r>
            <w:proofErr w:type="spellStart"/>
            <w:r w:rsidR="006316A2">
              <w:t>urticaria</w:t>
            </w:r>
            <w:proofErr w:type="spellEnd"/>
          </w:p>
          <w:p w14:paraId="553C949C" w14:textId="6092B33D" w:rsidR="003F4BBF" w:rsidRDefault="006316A2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cohort study involving </w:t>
            </w:r>
            <w:r w:rsidR="009C3EC3">
              <w:t xml:space="preserve">285 </w:t>
            </w:r>
            <w:r w:rsidR="003F4BBF">
              <w:t xml:space="preserve">past and present </w:t>
            </w:r>
            <w:r>
              <w:t>workers from 3 factorie</w:t>
            </w:r>
            <w:r w:rsidR="003F4BBF">
              <w:t>s</w:t>
            </w:r>
            <w:r w:rsidR="006C6081">
              <w:t xml:space="preserve"> (# 1,3 &amp; 4)</w:t>
            </w:r>
            <w:r w:rsidR="003F4BBF">
              <w:t xml:space="preserve">; </w:t>
            </w:r>
            <w:r w:rsidR="00D436EE">
              <w:t xml:space="preserve">mixed </w:t>
            </w:r>
            <w:r w:rsidR="00733991">
              <w:t>exposure</w:t>
            </w:r>
            <w:r w:rsidR="003F4BBF">
              <w:t xml:space="preserve"> to </w:t>
            </w:r>
            <w:r w:rsidR="00D436EE">
              <w:t>PA</w:t>
            </w:r>
            <w:r w:rsidR="008349EA">
              <w:t>N</w:t>
            </w:r>
            <w:r w:rsidR="003F4BBF">
              <w:t xml:space="preserve">, maleic anhydride (MA) and </w:t>
            </w:r>
            <w:proofErr w:type="spellStart"/>
            <w:r w:rsidR="00D436EE">
              <w:t>trimellitic</w:t>
            </w:r>
            <w:proofErr w:type="spellEnd"/>
            <w:r w:rsidR="00D436EE">
              <w:t xml:space="preserve"> anhydride (</w:t>
            </w:r>
            <w:r w:rsidR="003F4BBF">
              <w:t>TMA</w:t>
            </w:r>
            <w:r w:rsidR="00D436EE">
              <w:t>)</w:t>
            </w:r>
            <w:r w:rsidR="00733991">
              <w:t xml:space="preserve">; </w:t>
            </w:r>
            <w:r w:rsidR="002C40F6">
              <w:t xml:space="preserve">based on production and work areas, more </w:t>
            </w:r>
            <w:r w:rsidR="00733991">
              <w:t>PA</w:t>
            </w:r>
            <w:r w:rsidR="008349EA">
              <w:t>N</w:t>
            </w:r>
            <w:r w:rsidR="00733991">
              <w:t xml:space="preserve"> exposure</w:t>
            </w:r>
            <w:r w:rsidR="002C40F6">
              <w:t xml:space="preserve"> than MA &amp; TMA; respirators worn when</w:t>
            </w:r>
            <w:r w:rsidR="00733991">
              <w:t xml:space="preserve"> manually loading MA &amp; TA; no respirators loading PA</w:t>
            </w:r>
            <w:r w:rsidR="008349EA">
              <w:t>N</w:t>
            </w:r>
            <w:r w:rsidR="002C40F6">
              <w:t>; following are PA</w:t>
            </w:r>
            <w:r w:rsidR="008349EA">
              <w:t>N</w:t>
            </w:r>
            <w:r w:rsidR="002C40F6">
              <w:t xml:space="preserve"> concentrations</w:t>
            </w:r>
            <w:r w:rsidR="00E22E99">
              <w:t>:</w:t>
            </w:r>
          </w:p>
          <w:p w14:paraId="2D8535B4" w14:textId="76F32118" w:rsidR="000A68BF" w:rsidRDefault="006316A2" w:rsidP="002639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exposure at time of study was TWA of 0.009</w:t>
            </w:r>
            <w:r w:rsidR="004E1C8D">
              <w:t>–</w:t>
            </w:r>
            <w:r>
              <w:t>0.062 mg/m</w:t>
            </w:r>
            <w:r>
              <w:rPr>
                <w:vertAlign w:val="superscript"/>
              </w:rPr>
              <w:t>3</w:t>
            </w:r>
            <w:r w:rsidR="00000D9C">
              <w:t xml:space="preserve">; </w:t>
            </w:r>
            <w:r w:rsidR="000A68BF">
              <w:t>at current levels, low risk for developing sensitisation (measured by skin prick test); may be some risk of developing respiratory symptoms</w:t>
            </w:r>
          </w:p>
          <w:p w14:paraId="4A8408D1" w14:textId="6849922C" w:rsidR="009C3EC3" w:rsidRDefault="009C3EC3" w:rsidP="002639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past exposures range from 0.0004</w:t>
            </w:r>
            <w:r w:rsidR="004E1C8D">
              <w:t>–</w:t>
            </w:r>
            <w:r>
              <w:t>2.5 mg/m</w:t>
            </w:r>
            <w:r>
              <w:rPr>
                <w:vertAlign w:val="superscript"/>
              </w:rPr>
              <w:t>3</w:t>
            </w:r>
          </w:p>
          <w:p w14:paraId="389016CF" w14:textId="36768D81" w:rsidR="009C3EC3" w:rsidRDefault="009C3EC3" w:rsidP="002639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geometric mean exposures for the three factories were 2.2; 4.5; and 5.5 µg/m</w:t>
            </w:r>
            <w:r>
              <w:rPr>
                <w:vertAlign w:val="superscript"/>
              </w:rPr>
              <w:t>3</w:t>
            </w:r>
          </w:p>
          <w:p w14:paraId="7DB8E649" w14:textId="697996F2" w:rsidR="003F4BBF" w:rsidRDefault="003F4BBF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124 workers from factory </w:t>
            </w:r>
            <w:r w:rsidR="006C6081">
              <w:t>#</w:t>
            </w:r>
            <w:r>
              <w:t>1 exposure at time of study was TWA of 0.009 mg/m</w:t>
            </w:r>
            <w:r>
              <w:rPr>
                <w:vertAlign w:val="superscript"/>
              </w:rPr>
              <w:t>3</w:t>
            </w:r>
            <w:r w:rsidR="006C6081">
              <w:t>; past exposure 0.0004</w:t>
            </w:r>
            <w:r w:rsidR="004E1C8D">
              <w:t>–</w:t>
            </w:r>
            <w:r w:rsidR="006C6081">
              <w:t>2.5</w:t>
            </w:r>
            <w:r w:rsidR="00733991">
              <w:t xml:space="preserve"> mg/m</w:t>
            </w:r>
            <w:r w:rsidR="00733991">
              <w:rPr>
                <w:vertAlign w:val="superscript"/>
              </w:rPr>
              <w:t>3</w:t>
            </w:r>
            <w:r>
              <w:t xml:space="preserve">; </w:t>
            </w:r>
            <w:r w:rsidR="00733991">
              <w:t>0% i</w:t>
            </w:r>
            <w:r>
              <w:t>mmediate skin prick reaction to AA-</w:t>
            </w:r>
            <w:r w:rsidR="00733991">
              <w:t>HAS; 5.0% work-related respiratory symptoms</w:t>
            </w:r>
          </w:p>
          <w:p w14:paraId="7A016426" w14:textId="78A0B081" w:rsidR="006C6081" w:rsidRDefault="00733991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69 workers from factory</w:t>
            </w:r>
            <w:r w:rsidR="006C6081">
              <w:t xml:space="preserve"> #2 exposure at time of study was TWA of 0.062 mg/m</w:t>
            </w:r>
            <w:r w:rsidR="006C6081">
              <w:rPr>
                <w:vertAlign w:val="superscript"/>
              </w:rPr>
              <w:t>3</w:t>
            </w:r>
            <w:r w:rsidR="006C6081">
              <w:t>; past exposure 0.002</w:t>
            </w:r>
            <w:r w:rsidR="004E1C8D">
              <w:t>–</w:t>
            </w:r>
            <w:r w:rsidR="006C6081">
              <w:t>0.14 mg/m</w:t>
            </w:r>
            <w:r w:rsidR="006C6081">
              <w:rPr>
                <w:vertAlign w:val="superscript"/>
              </w:rPr>
              <w:t>3</w:t>
            </w:r>
            <w:r w:rsidR="006C6081">
              <w:t>; 1.6% immediate skin prick reaction to AA-HAS (none currently exposed); 7.8% work-related respiratory symptoms</w:t>
            </w:r>
          </w:p>
          <w:p w14:paraId="7CE645E2" w14:textId="47A048F6" w:rsidR="006C6081" w:rsidRDefault="006C6081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92 workers from factory #2 exposure at time of study was TWA of 0.012 mg/m</w:t>
            </w:r>
            <w:r>
              <w:rPr>
                <w:vertAlign w:val="superscript"/>
              </w:rPr>
              <w:t>3</w:t>
            </w:r>
            <w:r>
              <w:t>; past exposure 0.002</w:t>
            </w:r>
            <w:r w:rsidR="004E1C8D">
              <w:t>–</w:t>
            </w:r>
            <w:r>
              <w:t>0.06 mg/m</w:t>
            </w:r>
            <w:r>
              <w:rPr>
                <w:vertAlign w:val="superscript"/>
              </w:rPr>
              <w:t>3</w:t>
            </w:r>
            <w:r>
              <w:t xml:space="preserve"> (none currently exposed); 3.5% immediate skin prick reaction to AA-HAS; 11.6% work-related respiratory symptoms</w:t>
            </w:r>
          </w:p>
          <w:p w14:paraId="7312FD46" w14:textId="115E5F36" w:rsidR="000A68BF" w:rsidRDefault="000A68BF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evidence of increased respiratory symptoms</w:t>
            </w:r>
          </w:p>
          <w:p w14:paraId="48FCEA0A" w14:textId="5FD86145" w:rsidR="000A68BF" w:rsidRDefault="000A68BF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34 (85) identified respiratory symptoms occurred after starting work in acid anhydride area; 21 of which in mixed exposure</w:t>
            </w:r>
          </w:p>
          <w:p w14:paraId="0B188FB4" w14:textId="40EB1DBD" w:rsidR="000A68BF" w:rsidRDefault="008349EA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8/</w:t>
            </w:r>
            <w:r w:rsidR="000A68BF">
              <w:t>12 workers who were sensitised worked in the factory with TMA exposures only; not currently exposed, but likely exposed to higher levels in the past</w:t>
            </w:r>
          </w:p>
          <w:p w14:paraId="6C7B7FD5" w14:textId="682325FB" w:rsidR="000A68BF" w:rsidRDefault="000A68BF" w:rsidP="002639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PA</w:t>
            </w:r>
            <w:r w:rsidR="008349EA">
              <w:t>M</w:t>
            </w:r>
            <w:r>
              <w:t xml:space="preserve"> is a weaker sensitiser than TMA</w:t>
            </w:r>
          </w:p>
          <w:p w14:paraId="07232588" w14:textId="28A7B669" w:rsidR="00E02BD4" w:rsidRDefault="00014FC7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Cohort of</w:t>
            </w:r>
            <w:r w:rsidR="008349EA">
              <w:t xml:space="preserve"> 60 workers in 2 plants exposed</w:t>
            </w:r>
            <w:r>
              <w:t xml:space="preserve"> to PA</w:t>
            </w:r>
            <w:r w:rsidR="008349EA">
              <w:t>N</w:t>
            </w:r>
            <w:r>
              <w:t xml:space="preserve"> for 5</w:t>
            </w:r>
            <w:r w:rsidR="004E1C8D">
              <w:t>–</w:t>
            </w:r>
            <w:r>
              <w:t>30 min up to twice a day</w:t>
            </w:r>
            <w:r w:rsidR="008D46CE">
              <w:t>; average concentration 6.6 mg/m</w:t>
            </w:r>
            <w:r w:rsidR="008D46CE">
              <w:rPr>
                <w:vertAlign w:val="superscript"/>
              </w:rPr>
              <w:t>3</w:t>
            </w:r>
            <w:r w:rsidR="008D46CE">
              <w:t xml:space="preserve"> (n= 24) per event;</w:t>
            </w:r>
            <w:r w:rsidR="00662420">
              <w:t xml:space="preserve"> corresponds to</w:t>
            </w:r>
            <w:r w:rsidR="008349EA">
              <w:t xml:space="preserve"> 8</w:t>
            </w:r>
            <w:r w:rsidR="00263901">
              <w:t xml:space="preserve"> </w:t>
            </w:r>
            <w:r w:rsidR="008349EA">
              <w:t>h</w:t>
            </w:r>
            <w:r w:rsidR="008D46CE">
              <w:t xml:space="preserve"> TWA of 0.4 mg/m</w:t>
            </w:r>
            <w:r w:rsidR="008D46CE">
              <w:rPr>
                <w:vertAlign w:val="superscript"/>
              </w:rPr>
              <w:t>3</w:t>
            </w:r>
            <w:r w:rsidR="00E02BD4">
              <w:t xml:space="preserve"> (heavily exposed group); &lt;0.1 mg/m</w:t>
            </w:r>
            <w:r w:rsidR="00E02BD4">
              <w:rPr>
                <w:vertAlign w:val="superscript"/>
              </w:rPr>
              <w:t>3</w:t>
            </w:r>
            <w:r w:rsidR="00D65A0A">
              <w:t xml:space="preserve"> for other tasks (slightly exposed group)</w:t>
            </w:r>
            <w:r w:rsidR="00E22E99">
              <w:t>:</w:t>
            </w:r>
          </w:p>
          <w:p w14:paraId="53503FDC" w14:textId="1AC8A43E" w:rsidR="00733991" w:rsidRDefault="00E02BD4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35</w:t>
            </w:r>
            <w:r w:rsidR="00D65A0A">
              <w:t xml:space="preserve"> workers in heavily exposed group; 13 </w:t>
            </w:r>
            <w:proofErr w:type="spellStart"/>
            <w:r w:rsidR="00D65A0A">
              <w:t>yr</w:t>
            </w:r>
            <w:proofErr w:type="spellEnd"/>
            <w:r w:rsidR="00D65A0A">
              <w:t xml:space="preserve"> exposure</w:t>
            </w:r>
          </w:p>
          <w:p w14:paraId="0A011122" w14:textId="570A35D9" w:rsidR="00D65A0A" w:rsidRDefault="00D65A0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25 workers in slightly exposed group; 12 </w:t>
            </w:r>
            <w:proofErr w:type="spellStart"/>
            <w:r>
              <w:t>yr</w:t>
            </w:r>
            <w:proofErr w:type="spellEnd"/>
            <w:r>
              <w:t xml:space="preserve"> exposure</w:t>
            </w:r>
          </w:p>
          <w:p w14:paraId="3DC09FBF" w14:textId="00638A83" w:rsidR="00D65A0A" w:rsidRDefault="008349E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c</w:t>
            </w:r>
            <w:r w:rsidR="00D65A0A">
              <w:t>ontrols from other facilities with no exposure</w:t>
            </w:r>
          </w:p>
          <w:p w14:paraId="74A521A5" w14:textId="6CBDDA13" w:rsidR="00662420" w:rsidRDefault="008349E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662420">
              <w:t>ymptoms of rhinitis and/or conjunctivitis were frequently reported by heavily exposed workers (69%); 0% reported in non-exposed workers</w:t>
            </w:r>
          </w:p>
          <w:p w14:paraId="29ECD765" w14:textId="77777777" w:rsidR="00662420" w:rsidRDefault="00D65A0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6 (17%) workers with chronic bronchitis among the highly exposed group;1 (4%) among the slightly exposed group</w:t>
            </w:r>
          </w:p>
          <w:p w14:paraId="0697A9C9" w14:textId="678B0B23" w:rsidR="00D65A0A" w:rsidRDefault="00D65A0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no difference between the two exposure groups regarding total serum level of </w:t>
            </w:r>
            <w:proofErr w:type="spellStart"/>
            <w:r>
              <w:t>IgE</w:t>
            </w:r>
            <w:proofErr w:type="spellEnd"/>
            <w:r>
              <w:t>, IgG, and IgM; or PA</w:t>
            </w:r>
            <w:r w:rsidR="008349EA">
              <w:t>N</w:t>
            </w:r>
            <w:r>
              <w:t xml:space="preserve"> specific </w:t>
            </w:r>
            <w:proofErr w:type="spellStart"/>
            <w:r>
              <w:t>IgE</w:t>
            </w:r>
            <w:proofErr w:type="spellEnd"/>
            <w:r>
              <w:t xml:space="preserve"> and IgM</w:t>
            </w:r>
          </w:p>
          <w:p w14:paraId="4060BECF" w14:textId="7347E5D0" w:rsidR="00D65A0A" w:rsidRDefault="008349EA" w:rsidP="002639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D65A0A">
              <w:t>ubjects with symptoms</w:t>
            </w:r>
            <w:r w:rsidR="00F3108D">
              <w:t xml:space="preserve"> </w:t>
            </w:r>
            <w:r w:rsidR="00D65A0A">
              <w:t>did not differ from sub</w:t>
            </w:r>
            <w:r w:rsidR="00F3108D">
              <w:t xml:space="preserve">jects without symptoms in total </w:t>
            </w:r>
            <w:r w:rsidR="00D65A0A">
              <w:t xml:space="preserve">serum </w:t>
            </w:r>
            <w:proofErr w:type="spellStart"/>
            <w:r w:rsidR="00D65A0A">
              <w:t>IgE</w:t>
            </w:r>
            <w:proofErr w:type="spellEnd"/>
            <w:r w:rsidR="00D65A0A">
              <w:t xml:space="preserve">, IgM, IgA, or specific </w:t>
            </w:r>
            <w:proofErr w:type="spellStart"/>
            <w:r w:rsidR="00D65A0A">
              <w:t>IgE</w:t>
            </w:r>
            <w:proofErr w:type="spellEnd"/>
            <w:r w:rsidR="00D65A0A">
              <w:t xml:space="preserve"> and IgM</w:t>
            </w:r>
            <w:r w:rsidR="00F3108D">
              <w:t xml:space="preserve">; </w:t>
            </w:r>
            <w:r w:rsidR="0054622A">
              <w:t xml:space="preserve">1 worker with asthma had an increased specific </w:t>
            </w:r>
            <w:proofErr w:type="spellStart"/>
            <w:r w:rsidR="0054622A">
              <w:t>IgE</w:t>
            </w:r>
            <w:proofErr w:type="spellEnd"/>
            <w:r w:rsidR="0054622A">
              <w:t xml:space="preserve"> level</w:t>
            </w:r>
          </w:p>
          <w:p w14:paraId="5EAC0B33" w14:textId="51790D52" w:rsidR="00AF10D2" w:rsidRDefault="00D324E6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report</w:t>
            </w:r>
            <w:r w:rsidR="0080191B">
              <w:t xml:space="preserve"> of </w:t>
            </w:r>
            <w:r>
              <w:t>1 chemical worker experienced rhinorrhoea, postnasal drip, and wheezing that began several months after beginning work involving PA use; symptoms increased with severity over time but disappeared on weekends and on vacation; positive in scratch tests with PA;</w:t>
            </w:r>
            <w:r w:rsidR="005E119D">
              <w:t xml:space="preserve"> bronchial challenge testing resulted in significant, immediate, decrease in Vmax</w:t>
            </w:r>
            <w:r w:rsidR="005E119D" w:rsidRPr="005E119D">
              <w:rPr>
                <w:vertAlign w:val="subscript"/>
              </w:rPr>
              <w:t>50</w:t>
            </w:r>
          </w:p>
          <w:p w14:paraId="2C00E7F2" w14:textId="57C656F0" w:rsidR="0080191B" w:rsidRDefault="008349E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</w:t>
            </w:r>
            <w:r w:rsidR="0080191B">
              <w:t xml:space="preserve">ontact </w:t>
            </w:r>
            <w:proofErr w:type="spellStart"/>
            <w:r w:rsidR="0080191B">
              <w:t>urticaria</w:t>
            </w:r>
            <w:proofErr w:type="spellEnd"/>
            <w:r w:rsidR="007932B4">
              <w:t xml:space="preserve">; </w:t>
            </w:r>
            <w:proofErr w:type="spellStart"/>
            <w:r w:rsidR="007932B4">
              <w:t>urticaria</w:t>
            </w:r>
            <w:proofErr w:type="spellEnd"/>
            <w:r w:rsidR="007932B4">
              <w:t xml:space="preserve"> and skin irritation have been reported in human studies</w:t>
            </w:r>
          </w:p>
          <w:p w14:paraId="18B13620" w14:textId="7BFA548E" w:rsidR="00CF711F" w:rsidRDefault="006E633D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3 </w:t>
            </w:r>
            <w:proofErr w:type="spellStart"/>
            <w:r>
              <w:t>urticaria</w:t>
            </w:r>
            <w:proofErr w:type="spellEnd"/>
            <w:r>
              <w:t xml:space="preserve"> cases; exposures</w:t>
            </w:r>
            <w:r w:rsidR="008349EA">
              <w:t>:</w:t>
            </w:r>
            <w:r>
              <w:t xml:space="preserve"> 1. to powder form</w:t>
            </w:r>
            <w:r w:rsidR="008349EA">
              <w:t>;</w:t>
            </w:r>
            <w:r>
              <w:t xml:space="preserve"> 2. welding on painted pipes releasing PA</w:t>
            </w:r>
            <w:r w:rsidR="008349EA">
              <w:t>N</w:t>
            </w:r>
            <w:r>
              <w:t>, and 3. mixing PA</w:t>
            </w:r>
            <w:r w:rsidR="008349EA">
              <w:t>N</w:t>
            </w:r>
            <w:r>
              <w:t xml:space="preserve"> and MA in polyester production; all 3 workers diagnosed with anhydride rhinitis; the packer (first case) diagnosed with anhydride asthma</w:t>
            </w:r>
          </w:p>
          <w:p w14:paraId="61550CF5" w14:textId="692F452E" w:rsidR="006E633D" w:rsidRDefault="007932B4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reports of allergic dermatitis reported with cosmetics containing PA</w:t>
            </w:r>
            <w:r w:rsidR="008349EA">
              <w:t>N</w:t>
            </w:r>
            <w:r>
              <w:t>; individuals patch tested responded positively to PA</w:t>
            </w:r>
            <w:r w:rsidR="007510CB">
              <w:t>N</w:t>
            </w:r>
            <w:r>
              <w:t>; results were confounded by the presence of TMA</w:t>
            </w:r>
            <w:r w:rsidR="008349EA">
              <w:t>.</w:t>
            </w:r>
          </w:p>
          <w:p w14:paraId="5EAB4D6D" w14:textId="77777777" w:rsidR="007932B4" w:rsidRDefault="00941823" w:rsidP="00941823">
            <w:pPr>
              <w:pStyle w:val="Tabletextprimarysource"/>
            </w:pPr>
            <w:r>
              <w:t>Animal data:</w:t>
            </w:r>
          </w:p>
          <w:p w14:paraId="3CD99CC3" w14:textId="450D9184" w:rsidR="00941823" w:rsidRDefault="00941823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Acute LD</w:t>
            </w:r>
            <w:r>
              <w:rPr>
                <w:vertAlign w:val="subscript"/>
              </w:rPr>
              <w:t>50</w:t>
            </w:r>
            <w:r w:rsidR="008349EA">
              <w:t xml:space="preserve">: </w:t>
            </w:r>
            <w:r>
              <w:t>800</w:t>
            </w:r>
            <w:r w:rsidR="004E1C8D">
              <w:t>–</w:t>
            </w:r>
            <w:r>
              <w:t>1,600 mg/kg</w:t>
            </w:r>
            <w:r w:rsidR="008349EA">
              <w:t xml:space="preserve"> (rat, oral)</w:t>
            </w:r>
          </w:p>
          <w:p w14:paraId="1ACE0D04" w14:textId="260C7F80" w:rsidR="00941823" w:rsidRDefault="00941823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Mediates the induction of respiratory sensitisation through a Th2 type response as demonstrated in laboratory animals</w:t>
            </w:r>
          </w:p>
          <w:p w14:paraId="4B28725E" w14:textId="2E0216AD" w:rsidR="00941823" w:rsidRDefault="00941823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Closed patch test in guinea pigs and mouse ear swelling test demonstrated PA</w:t>
            </w:r>
            <w:r w:rsidR="008349EA">
              <w:t>N</w:t>
            </w:r>
            <w:r>
              <w:t xml:space="preserve"> as a moderate sensitiser causing delayed (Type IV) allergic contact dermatitis</w:t>
            </w:r>
          </w:p>
          <w:p w14:paraId="077450B0" w14:textId="77777777" w:rsidR="00941823" w:rsidRDefault="00913BEF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LOAEL of 0.5 mg/m</w:t>
            </w:r>
            <w:r>
              <w:rPr>
                <w:vertAlign w:val="superscript"/>
              </w:rPr>
              <w:t>3</w:t>
            </w:r>
            <w:r w:rsidR="004F09BD">
              <w:t xml:space="preserve"> in guinea pigs; sensitised animals and produce allergic antibodies; no further information</w:t>
            </w:r>
          </w:p>
          <w:p w14:paraId="6D2BA513" w14:textId="39F5A407" w:rsidR="004F09BD" w:rsidRDefault="004F09BD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Female guinea pigs exposed at 0, 0.5, 1.0 and 5.0 mg/m</w:t>
            </w:r>
            <w:r>
              <w:rPr>
                <w:vertAlign w:val="superscript"/>
              </w:rPr>
              <w:t>3</w:t>
            </w:r>
            <w:r>
              <w:t xml:space="preserve"> for 3 h/d for 5 d; 2 </w:t>
            </w:r>
            <w:proofErr w:type="spellStart"/>
            <w:r>
              <w:t>wk</w:t>
            </w:r>
            <w:proofErr w:type="spellEnd"/>
            <w:r>
              <w:t xml:space="preserve"> after last exposure, groups challenged with 2.0 mg/m</w:t>
            </w:r>
            <w:r>
              <w:rPr>
                <w:vertAlign w:val="superscript"/>
              </w:rPr>
              <w:t>3</w:t>
            </w:r>
            <w:r>
              <w:t xml:space="preserve"> (phthalic anhydride-guinea pig serum albumin </w:t>
            </w:r>
            <w:r w:rsidR="004E1C8D">
              <w:t>[</w:t>
            </w:r>
            <w:r>
              <w:t>PA-GPSA</w:t>
            </w:r>
            <w:r w:rsidR="004E1C8D">
              <w:t>]</w:t>
            </w:r>
            <w:r>
              <w:t>) or 5.0 mg/m</w:t>
            </w:r>
            <w:r>
              <w:rPr>
                <w:vertAlign w:val="superscript"/>
              </w:rPr>
              <w:t>3</w:t>
            </w:r>
            <w:r>
              <w:t xml:space="preserve"> dust for 30 min</w:t>
            </w:r>
            <w:r w:rsidR="00E22E99">
              <w:t>:</w:t>
            </w:r>
          </w:p>
          <w:p w14:paraId="1A676554" w14:textId="279D6360" w:rsidR="006769AC" w:rsidRDefault="006769AC" w:rsidP="0026390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no significant differences were found in the respiratory rate or respiratory pressure in animals challenged with PA dust</w:t>
            </w:r>
          </w:p>
          <w:p w14:paraId="22023E1A" w14:textId="386BA5B2" w:rsidR="006769AC" w:rsidRDefault="006769AC" w:rsidP="0026390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animals challenged with PA-GPSA; 1 animal in the 0.5 mg/m</w:t>
            </w:r>
            <w:r w:rsidRPr="006769AC">
              <w:rPr>
                <w:vertAlign w:val="superscript"/>
              </w:rPr>
              <w:t>3</w:t>
            </w:r>
            <w:r>
              <w:t xml:space="preserve"> exposed group (n= 8) and 4 animals in the 5 mg/m</w:t>
            </w:r>
            <w:r w:rsidRPr="006769AC">
              <w:rPr>
                <w:vertAlign w:val="superscript"/>
              </w:rPr>
              <w:t>3</w:t>
            </w:r>
            <w:r>
              <w:t xml:space="preserve"> exposed group (n= 8) experienced significant increases in respiratory rate compared to controls</w:t>
            </w:r>
          </w:p>
          <w:p w14:paraId="299F3052" w14:textId="11A34905" w:rsidR="006769AC" w:rsidRDefault="006769AC" w:rsidP="00263901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respiratory pressure was significantly increased in 1 animal in the 0.5 mg/m</w:t>
            </w:r>
            <w:r w:rsidRPr="006769AC">
              <w:rPr>
                <w:vertAlign w:val="superscript"/>
              </w:rPr>
              <w:t>3</w:t>
            </w:r>
            <w:r>
              <w:t xml:space="preserve"> group, 1</w:t>
            </w:r>
            <w:r w:rsidR="00451DB3">
              <w:t> </w:t>
            </w:r>
            <w:r>
              <w:t>animal in the 1.0 mg/m</w:t>
            </w:r>
            <w:r w:rsidRPr="006769AC">
              <w:rPr>
                <w:vertAlign w:val="superscript"/>
              </w:rPr>
              <w:t>3</w:t>
            </w:r>
            <w:r>
              <w:t xml:space="preserve"> group and 3 animals in the 5 mg/m</w:t>
            </w:r>
            <w:r w:rsidRPr="006769AC">
              <w:rPr>
                <w:vertAlign w:val="superscript"/>
              </w:rPr>
              <w:t>3</w:t>
            </w:r>
            <w:r>
              <w:t xml:space="preserve"> exposed group</w:t>
            </w:r>
          </w:p>
          <w:p w14:paraId="394BCA70" w14:textId="77777777" w:rsidR="006769AC" w:rsidRDefault="006769AC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indication of carcinogenicity in animal studies</w:t>
            </w:r>
            <w:r w:rsidR="008349EA">
              <w:t>.</w:t>
            </w:r>
          </w:p>
          <w:p w14:paraId="523F8B12" w14:textId="2997A2C3" w:rsidR="00E22E99" w:rsidRPr="00DA352E" w:rsidRDefault="00E22E99" w:rsidP="0026390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9FA1DDF" w14:textId="77777777" w:rsidTr="000856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FBEE8E9" w14:textId="5A782EF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1995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93C40">
                  <w:t>Not assigned</w:t>
                </w:r>
              </w:sdtContent>
            </w:sdt>
          </w:p>
        </w:tc>
      </w:tr>
      <w:tr w:rsidR="00C978F0" w:rsidRPr="00DA352E" w14:paraId="72B6BCBC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3159A581" w14:textId="268E360D" w:rsidR="00C978F0" w:rsidRDefault="003F6C04" w:rsidP="003365A5">
            <w:pPr>
              <w:pStyle w:val="Tabletextprimarysource"/>
            </w:pPr>
            <w:r>
              <w:t xml:space="preserve">Insufficient information </w:t>
            </w:r>
            <w:r w:rsidR="002663C6">
              <w:t>to</w:t>
            </w:r>
            <w:r>
              <w:t xml:space="preserve"> establish</w:t>
            </w:r>
            <w:r w:rsidR="002663C6">
              <w:t xml:space="preserve"> </w:t>
            </w:r>
            <w:r>
              <w:t>MAK.</w:t>
            </w:r>
          </w:p>
          <w:p w14:paraId="3FDD17B3" w14:textId="77777777" w:rsidR="003F6C04" w:rsidRDefault="003F6C04" w:rsidP="003365A5">
            <w:pPr>
              <w:pStyle w:val="Tabletextprimarysource"/>
            </w:pPr>
            <w:r>
              <w:t>Summary of additional information:</w:t>
            </w:r>
          </w:p>
          <w:p w14:paraId="76FFE301" w14:textId="77777777" w:rsidR="003F6C04" w:rsidRDefault="003F6C04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Previous MAK value of 1 mg/m</w:t>
            </w:r>
            <w:r w:rsidRPr="003F6C04">
              <w:rPr>
                <w:vertAlign w:val="superscript"/>
              </w:rPr>
              <w:t>3</w:t>
            </w:r>
            <w:r>
              <w:t xml:space="preserve"> recommended to reduce the extent of sensitisation</w:t>
            </w:r>
          </w:p>
          <w:p w14:paraId="0953A593" w14:textId="77777777" w:rsidR="003F6C04" w:rsidRDefault="003F6C04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Sensitising and irritating effects in the respiratory passages cannot always be differentiated</w:t>
            </w:r>
          </w:p>
          <w:p w14:paraId="2BBFD6CC" w14:textId="77777777" w:rsidR="003F6C04" w:rsidRDefault="003F6C04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Inadequately documented animal study; exposure at 0.5 mg/m</w:t>
            </w:r>
            <w:r w:rsidRPr="003F6C04">
              <w:rPr>
                <w:vertAlign w:val="superscript"/>
              </w:rPr>
              <w:t>3</w:t>
            </w:r>
            <w:r>
              <w:t xml:space="preserve"> caused effects in the lungs which were interpreted to be allergenic to the respiratory tract</w:t>
            </w:r>
            <w:r w:rsidR="00627EB0">
              <w:t>.</w:t>
            </w:r>
          </w:p>
          <w:p w14:paraId="5B58A4CA" w14:textId="245A0007" w:rsidR="00E22E99" w:rsidRPr="00DA352E" w:rsidRDefault="00E22E99" w:rsidP="0026390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30DE1D1" w14:textId="77777777" w:rsidTr="000856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77372F4" w14:textId="1797B31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593C40">
                  <w:t>Not assigned</w:t>
                </w:r>
              </w:sdtContent>
            </w:sdt>
          </w:p>
        </w:tc>
      </w:tr>
      <w:tr w:rsidR="00C978F0" w:rsidRPr="00DA352E" w14:paraId="5D49D0FC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7EBC47F0" w14:textId="77777777" w:rsidR="00C978F0" w:rsidRDefault="0091741A" w:rsidP="003365A5">
            <w:pPr>
              <w:pStyle w:val="Tabletextprimarysource"/>
            </w:pPr>
            <w:r>
              <w:t>Summary of additional data:</w:t>
            </w:r>
          </w:p>
          <w:p w14:paraId="02544A10" w14:textId="76790FEB" w:rsidR="0091741A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reason provided </w:t>
            </w:r>
            <w:r w:rsidR="008349EA">
              <w:t>for no</w:t>
            </w:r>
            <w:r>
              <w:t xml:space="preserve"> TWA assigned; assumed lack of </w:t>
            </w:r>
            <w:r w:rsidR="00451DB3">
              <w:t xml:space="preserve">enough </w:t>
            </w:r>
            <w:r>
              <w:t>data</w:t>
            </w:r>
          </w:p>
          <w:p w14:paraId="66576156" w14:textId="31401144" w:rsidR="0091741A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Considers allergic respiratory effects being persistent</w:t>
            </w:r>
            <w:r w:rsidR="002663C6">
              <w:t>,</w:t>
            </w:r>
            <w:r>
              <w:t xml:space="preserve"> as the most severe effects</w:t>
            </w:r>
          </w:p>
          <w:p w14:paraId="278B661D" w14:textId="77777777" w:rsidR="0091741A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proofErr w:type="spellStart"/>
            <w:r>
              <w:t>IgE</w:t>
            </w:r>
            <w:proofErr w:type="spellEnd"/>
            <w:r>
              <w:t>-mediated asthma and rhinitis has been proven, but other unknown mechanisms may be involved</w:t>
            </w:r>
          </w:p>
          <w:p w14:paraId="49BF1949" w14:textId="77777777" w:rsidR="0091741A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Experimental animal studies have demonstrated a weak skin sensitising effect; skin sensitisation has been reported in humans</w:t>
            </w:r>
          </w:p>
          <w:p w14:paraId="163C7E7D" w14:textId="027D956A" w:rsidR="0091741A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Rhinitis, conjunctivitis and </w:t>
            </w:r>
            <w:proofErr w:type="spellStart"/>
            <w:r>
              <w:t>rhinoconjunctivitis</w:t>
            </w:r>
            <w:proofErr w:type="spellEnd"/>
            <w:r>
              <w:t xml:space="preserve"> occurred in a substantial proportion of workers exposed at &lt;0.1 mg/m</w:t>
            </w:r>
            <w:r w:rsidRPr="0091741A">
              <w:rPr>
                <w:vertAlign w:val="superscript"/>
              </w:rPr>
              <w:t>3</w:t>
            </w:r>
            <w:r w:rsidR="007510CB">
              <w:t xml:space="preserve"> (</w:t>
            </w:r>
            <w:r>
              <w:t>TWA)</w:t>
            </w:r>
            <w:r w:rsidR="002663C6">
              <w:t xml:space="preserve"> </w:t>
            </w:r>
            <w:r>
              <w:t>(cited by ACGIH, 2018); no cases of asthma were found</w:t>
            </w:r>
          </w:p>
          <w:p w14:paraId="5CB0AC38" w14:textId="77777777" w:rsidR="00675976" w:rsidRDefault="0091741A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Considers human dose-response data as poor</w:t>
            </w:r>
          </w:p>
          <w:p w14:paraId="288A7AD0" w14:textId="77777777" w:rsidR="0091741A" w:rsidRDefault="00675976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Studies available do not indicate genotoxic or carcinogenic effects</w:t>
            </w:r>
            <w:r w:rsidR="0091741A">
              <w:t>.</w:t>
            </w:r>
          </w:p>
          <w:p w14:paraId="569CED56" w14:textId="61DE4F06" w:rsidR="00E22E99" w:rsidRPr="00DA352E" w:rsidRDefault="00E22E99" w:rsidP="0026390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6FD203CB" w14:textId="77777777" w:rsidTr="000856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E33E18" w14:textId="053B706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593C40">
                  <w:t>NA</w:t>
                </w:r>
              </w:sdtContent>
            </w:sdt>
          </w:p>
        </w:tc>
      </w:tr>
      <w:tr w:rsidR="00DA352E" w:rsidRPr="00DA352E" w14:paraId="012833B3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66E8844C" w14:textId="04AF523B" w:rsidR="00DA352E" w:rsidRPr="00DA352E" w:rsidRDefault="00593C40" w:rsidP="003365A5">
            <w:pPr>
              <w:pStyle w:val="Tabletextprimarysource"/>
            </w:pPr>
            <w:r>
              <w:t>No report</w:t>
            </w:r>
            <w:r w:rsidR="004E1C8D">
              <w:t>.</w:t>
            </w:r>
          </w:p>
        </w:tc>
      </w:tr>
      <w:tr w:rsidR="00DA352E" w:rsidRPr="00DA352E" w14:paraId="7AF2AFE2" w14:textId="77777777" w:rsidTr="0008562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E541691" w14:textId="23A1EBD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A1B4F">
                  <w:rPr>
                    <w:lang w:val="en-US"/>
                  </w:rPr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257EC">
                  <w:t>NA</w:t>
                </w:r>
                <w:r w:rsidR="00B716D8">
                  <w:t xml:space="preserve"> </w:t>
                </w:r>
              </w:sdtContent>
            </w:sdt>
          </w:p>
        </w:tc>
      </w:tr>
      <w:tr w:rsidR="00DA352E" w:rsidRPr="00DA352E" w14:paraId="3680BBAF" w14:textId="77777777" w:rsidTr="0008562D">
        <w:trPr>
          <w:gridAfter w:val="1"/>
          <w:wAfter w:w="8" w:type="pct"/>
        </w:trPr>
        <w:tc>
          <w:tcPr>
            <w:tcW w:w="4992" w:type="pct"/>
          </w:tcPr>
          <w:p w14:paraId="4902D61A" w14:textId="68886B6C" w:rsidR="00FC79BE" w:rsidRDefault="00FC79BE" w:rsidP="003365A5">
            <w:pPr>
              <w:pStyle w:val="Tabletextprimarysource"/>
            </w:pPr>
            <w:r>
              <w:t>Summary of additional data:</w:t>
            </w:r>
          </w:p>
          <w:p w14:paraId="11D41725" w14:textId="034806DB" w:rsidR="00E257EC" w:rsidRDefault="00E257EC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Evaluation of data for group of cyclic acid anhydrides including PA</w:t>
            </w:r>
            <w:r w:rsidR="008349EA">
              <w:t>N</w:t>
            </w:r>
            <w:r>
              <w:t>; considers the available data not suitable for deriving a health-based recommended OEL or reference value for PA</w:t>
            </w:r>
            <w:r w:rsidR="008349EA">
              <w:t>N</w:t>
            </w:r>
          </w:p>
          <w:p w14:paraId="548E019F" w14:textId="5A3A775F" w:rsidR="00FC79BE" w:rsidRDefault="00E257EC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118 workers in 4 plants; 24% had work-related rhinitis, 18% asthma, and 11% chronic bronchitis; latency period before the onset of symptoms varied between 1 </w:t>
            </w:r>
            <w:proofErr w:type="spellStart"/>
            <w:r>
              <w:t>mo</w:t>
            </w:r>
            <w:proofErr w:type="spellEnd"/>
            <w:r>
              <w:t xml:space="preserve"> and 16 </w:t>
            </w:r>
            <w:proofErr w:type="spellStart"/>
            <w:r>
              <w:t>yr</w:t>
            </w:r>
            <w:proofErr w:type="spellEnd"/>
            <w:r>
              <w:t>; work-related respiratory symptoms reported at average full-day exposure to 0.4 mg/m</w:t>
            </w:r>
            <w:r w:rsidRPr="00E257EC">
              <w:rPr>
                <w:vertAlign w:val="superscript"/>
              </w:rPr>
              <w:t>3</w:t>
            </w:r>
            <w:r>
              <w:t xml:space="preserve"> combined with peak exposures to up to 13 mg/m</w:t>
            </w:r>
            <w:r w:rsidRPr="00E257EC">
              <w:rPr>
                <w:vertAlign w:val="superscript"/>
              </w:rPr>
              <w:t>3</w:t>
            </w:r>
          </w:p>
          <w:p w14:paraId="5BFF6A10" w14:textId="77777777" w:rsidR="00E22E99" w:rsidRDefault="00675976" w:rsidP="002639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Considers available data not suitable for deriving a health-based recommended OEL </w:t>
            </w:r>
            <w:r w:rsidR="008349EA">
              <w:t xml:space="preserve">(HBROEL) </w:t>
            </w:r>
            <w:r>
              <w:t>or reference value for PA</w:t>
            </w:r>
            <w:r w:rsidR="008349EA">
              <w:t>N.</w:t>
            </w:r>
          </w:p>
          <w:p w14:paraId="4B527C8B" w14:textId="0963FD77" w:rsidR="00FC79BE" w:rsidRPr="00DA352E" w:rsidRDefault="008349EA" w:rsidP="0026390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 </w:t>
            </w:r>
          </w:p>
        </w:tc>
      </w:tr>
    </w:tbl>
    <w:p w14:paraId="03AD0497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2"/>
        <w:gridCol w:w="661"/>
        <w:gridCol w:w="6450"/>
      </w:tblGrid>
      <w:tr w:rsidR="004966BF" w:rsidRPr="00263255" w14:paraId="13EE9D6D" w14:textId="77777777" w:rsidTr="003E1856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1F95CA6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083B2E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7742D8C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6F0452E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7FE738D" w14:textId="77777777" w:rsidTr="003E1856">
        <w:trPr>
          <w:cantSplit/>
        </w:trPr>
        <w:tc>
          <w:tcPr>
            <w:tcW w:w="1493" w:type="dxa"/>
          </w:tcPr>
          <w:p w14:paraId="69BBDFEB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678A2704" w14:textId="25FD06D0" w:rsidR="004966BF" w:rsidRPr="00CE617F" w:rsidRDefault="0011114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E185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A07ACD4" w14:textId="574F003E" w:rsidR="004966BF" w:rsidRPr="004C23F4" w:rsidRDefault="003E185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0" w:type="dxa"/>
          </w:tcPr>
          <w:p w14:paraId="537E1BD4" w14:textId="52D14D40" w:rsidR="004966BF" w:rsidRPr="004C23F4" w:rsidRDefault="003E1856" w:rsidP="003E1856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data available</w:t>
            </w:r>
            <w:r w:rsidR="004E1C8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62C6123B" w14:textId="77777777" w:rsidR="007E2A4B" w:rsidRDefault="007E2A4B"/>
    <w:bookmarkEnd w:id="0"/>
    <w:p w14:paraId="63B64B61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ED46F91" w14:textId="77777777" w:rsidTr="003E1856">
        <w:trPr>
          <w:trHeight w:val="454"/>
          <w:tblHeader/>
        </w:trPr>
        <w:tc>
          <w:tcPr>
            <w:tcW w:w="6603" w:type="dxa"/>
            <w:vAlign w:val="center"/>
          </w:tcPr>
          <w:p w14:paraId="6376C24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E08B353" w14:textId="412D764C" w:rsidR="002E0D61" w:rsidRDefault="003E185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5659012" w14:textId="77777777" w:rsidTr="003E1856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757DE9E" w14:textId="0031F28F" w:rsidR="008A36CF" w:rsidRPr="006901A2" w:rsidRDefault="003E185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10419F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D73FE1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61715C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5E8225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57AE10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4A5DD5D" w14:textId="77777777" w:rsidTr="00812887">
        <w:trPr>
          <w:cantSplit/>
        </w:trPr>
        <w:tc>
          <w:tcPr>
            <w:tcW w:w="3227" w:type="dxa"/>
          </w:tcPr>
          <w:p w14:paraId="6EAAECB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E476978" w14:textId="16578584" w:rsidR="00687890" w:rsidRPr="00DD2F9B" w:rsidRDefault="00B716D8" w:rsidP="00DD2F9B">
            <w:pPr>
              <w:pStyle w:val="Tablefont"/>
            </w:pPr>
            <w:r w:rsidRPr="00B716D8">
              <w:t>Sen</w:t>
            </w:r>
          </w:p>
        </w:tc>
      </w:tr>
      <w:tr w:rsidR="007925F0" w:rsidRPr="004C23F4" w14:paraId="36E54918" w14:textId="77777777" w:rsidTr="00812887">
        <w:trPr>
          <w:cantSplit/>
        </w:trPr>
        <w:tc>
          <w:tcPr>
            <w:tcW w:w="3227" w:type="dxa"/>
          </w:tcPr>
          <w:p w14:paraId="6A29F82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722A372" w14:textId="1CB120F8" w:rsidR="007925F0" w:rsidRPr="00DD2F9B" w:rsidRDefault="00B716D8" w:rsidP="00DD2F9B">
            <w:pPr>
              <w:pStyle w:val="Tablefont"/>
            </w:pPr>
            <w:r w:rsidRPr="00B716D8">
              <w:t>Skin sensitisation – category 1</w:t>
            </w:r>
            <w:r>
              <w:t xml:space="preserve">, </w:t>
            </w:r>
            <w:r w:rsidRPr="00B716D8">
              <w:t>Respiratory sensitisation – category 1</w:t>
            </w:r>
          </w:p>
        </w:tc>
      </w:tr>
      <w:tr w:rsidR="00AF483F" w:rsidRPr="004C23F4" w14:paraId="7FBA7127" w14:textId="77777777" w:rsidTr="00812887">
        <w:trPr>
          <w:cantSplit/>
        </w:trPr>
        <w:tc>
          <w:tcPr>
            <w:tcW w:w="3227" w:type="dxa"/>
          </w:tcPr>
          <w:p w14:paraId="1532012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A62EA11" w14:textId="10D3D0AE" w:rsidR="00AF483F" w:rsidRPr="00DD2F9B" w:rsidRDefault="00B716D8" w:rsidP="00DD2F9B">
            <w:pPr>
              <w:pStyle w:val="Tablefont"/>
            </w:pPr>
            <w:r w:rsidRPr="00B716D8">
              <w:t>Skin sensitisation</w:t>
            </w:r>
            <w:r>
              <w:t xml:space="preserve">, </w:t>
            </w:r>
            <w:r w:rsidRPr="00B716D8">
              <w:t>Respiratory sensitisation</w:t>
            </w:r>
          </w:p>
        </w:tc>
      </w:tr>
      <w:tr w:rsidR="00687890" w:rsidRPr="004C23F4" w14:paraId="73BE9C6A" w14:textId="77777777" w:rsidTr="00812887">
        <w:trPr>
          <w:cantSplit/>
        </w:trPr>
        <w:tc>
          <w:tcPr>
            <w:tcW w:w="3227" w:type="dxa"/>
          </w:tcPr>
          <w:p w14:paraId="2E93E35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A85A2AC" w14:textId="7BC46FE3" w:rsidR="00687890" w:rsidRPr="00DD2F9B" w:rsidRDefault="00B716D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811B735" w14:textId="77777777" w:rsidTr="00812887">
        <w:trPr>
          <w:cantSplit/>
        </w:trPr>
        <w:tc>
          <w:tcPr>
            <w:tcW w:w="3227" w:type="dxa"/>
          </w:tcPr>
          <w:p w14:paraId="7283792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8CAD31C" w14:textId="5D2456A4" w:rsidR="00E41A26" w:rsidRPr="00DD2F9B" w:rsidRDefault="00B716D8" w:rsidP="00DD2F9B">
            <w:pPr>
              <w:pStyle w:val="Tablefont"/>
            </w:pPr>
            <w:r w:rsidRPr="00B716D8">
              <w:t>Resp. Sens. 1</w:t>
            </w:r>
            <w:r>
              <w:t xml:space="preserve">, </w:t>
            </w:r>
            <w:r w:rsidRPr="00B716D8">
              <w:t>Skin Sens. 1</w:t>
            </w:r>
          </w:p>
        </w:tc>
      </w:tr>
      <w:tr w:rsidR="002E0D61" w:rsidRPr="004C23F4" w14:paraId="4A8A9E03" w14:textId="77777777" w:rsidTr="00812887">
        <w:trPr>
          <w:cantSplit/>
        </w:trPr>
        <w:tc>
          <w:tcPr>
            <w:tcW w:w="3227" w:type="dxa"/>
          </w:tcPr>
          <w:p w14:paraId="3AAE448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877B1B" w14:textId="2EDB9148" w:rsidR="002E0D61" w:rsidRPr="00DD2F9B" w:rsidRDefault="00B716D8" w:rsidP="00DD2F9B">
            <w:pPr>
              <w:pStyle w:val="Tablefont"/>
            </w:pPr>
            <w:r>
              <w:t xml:space="preserve">Skin, </w:t>
            </w:r>
            <w:r w:rsidRPr="00B716D8">
              <w:t>DSEN</w:t>
            </w:r>
            <w:r>
              <w:t xml:space="preserve">, </w:t>
            </w:r>
            <w:r w:rsidRPr="00B716D8">
              <w:t>RSEN</w:t>
            </w:r>
            <w:r>
              <w:t xml:space="preserve">, </w:t>
            </w:r>
            <w:r w:rsidRPr="00B716D8">
              <w:t>Carcinogenicity – A4</w:t>
            </w:r>
          </w:p>
        </w:tc>
      </w:tr>
      <w:tr w:rsidR="002E0D61" w:rsidRPr="004C23F4" w14:paraId="7818FC2F" w14:textId="77777777" w:rsidTr="00812887">
        <w:trPr>
          <w:cantSplit/>
        </w:trPr>
        <w:tc>
          <w:tcPr>
            <w:tcW w:w="3227" w:type="dxa"/>
          </w:tcPr>
          <w:p w14:paraId="42DCC5D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A9D858B" w14:textId="51E43760" w:rsidR="002E0D61" w:rsidRPr="00DD2F9B" w:rsidRDefault="00B716D8" w:rsidP="00DD2F9B">
            <w:pPr>
              <w:pStyle w:val="Tablefont"/>
            </w:pPr>
            <w:r w:rsidRPr="00B716D8">
              <w:t>Sa (respiratory sensitiser)</w:t>
            </w:r>
          </w:p>
        </w:tc>
      </w:tr>
      <w:tr w:rsidR="002E0D61" w:rsidRPr="004C23F4" w14:paraId="27823FD7" w14:textId="77777777" w:rsidTr="00812887">
        <w:trPr>
          <w:cantSplit/>
        </w:trPr>
        <w:tc>
          <w:tcPr>
            <w:tcW w:w="3227" w:type="dxa"/>
          </w:tcPr>
          <w:p w14:paraId="718F9D5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D9425FE" w14:textId="5964F528" w:rsidR="002E0D61" w:rsidRPr="00DD2F9B" w:rsidRDefault="00B716D8" w:rsidP="00DD2F9B">
            <w:pPr>
              <w:pStyle w:val="Tablefont"/>
            </w:pPr>
            <w:r w:rsidRPr="00B716D8">
              <w:t>Sensitisation (dermal)</w:t>
            </w:r>
            <w:r>
              <w:t xml:space="preserve">, </w:t>
            </w:r>
            <w:r w:rsidRPr="00B716D8">
              <w:t>Sensitisation (respiratory)</w:t>
            </w:r>
          </w:p>
        </w:tc>
      </w:tr>
      <w:tr w:rsidR="002E0D61" w:rsidRPr="004C23F4" w14:paraId="374CA15C" w14:textId="77777777" w:rsidTr="00812887">
        <w:trPr>
          <w:cantSplit/>
        </w:trPr>
        <w:tc>
          <w:tcPr>
            <w:tcW w:w="3227" w:type="dxa"/>
          </w:tcPr>
          <w:p w14:paraId="4AD7E84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7F6EF71" w14:textId="1D4F855F" w:rsidR="002E0D61" w:rsidRPr="00DD2F9B" w:rsidRDefault="00B716D8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22545DA" w14:textId="77777777" w:rsidTr="00812887">
        <w:trPr>
          <w:cantSplit/>
        </w:trPr>
        <w:tc>
          <w:tcPr>
            <w:tcW w:w="3227" w:type="dxa"/>
          </w:tcPr>
          <w:p w14:paraId="11D7221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54278E9" w14:textId="1BE382EB" w:rsidR="00386093" w:rsidRPr="00DD2F9B" w:rsidRDefault="00B716D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564CCA" w14:textId="77777777" w:rsidTr="00812887">
        <w:trPr>
          <w:cantSplit/>
        </w:trPr>
        <w:tc>
          <w:tcPr>
            <w:tcW w:w="3227" w:type="dxa"/>
          </w:tcPr>
          <w:p w14:paraId="4AF5B9C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E4CB41" w14:textId="426C6762" w:rsidR="00386093" w:rsidRPr="00DD2F9B" w:rsidRDefault="00B716D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4CCA27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82B60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C0D08C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68F21B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E4EE5B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814"/>
              <w:gridCol w:w="1137"/>
              <w:gridCol w:w="1137"/>
              <w:gridCol w:w="2722"/>
            </w:tblGrid>
            <w:tr w:rsidR="003E1856" w:rsidRPr="003E1856" w14:paraId="5C3BA4FB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147A20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79DEA46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3178AB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EE7B4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47F57D9A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35090F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A97045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44EF98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A85C9C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67FE9D5D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E047E0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32286D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45C574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B49D2C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7178A909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E7F23F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451F39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CB9A5D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ED8E4A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7E923D6C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F9BDA6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ED5B0D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CAE214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5009BC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30F5B4BB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4B470E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1B071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0A960C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2B30A3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E1856" w:rsidRPr="003E1856" w14:paraId="58669ADD" w14:textId="77777777" w:rsidTr="003E1856">
              <w:trPr>
                <w:trHeight w:val="310"/>
              </w:trPr>
              <w:tc>
                <w:tcPr>
                  <w:tcW w:w="4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2349C4" w14:textId="77777777" w:rsidR="003E1856" w:rsidRPr="003E1856" w:rsidRDefault="003E1856" w:rsidP="003E185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D1CA42" w14:textId="77777777" w:rsidR="003E1856" w:rsidRPr="003E1856" w:rsidRDefault="003E1856" w:rsidP="003E185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490896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DB4EB0" w14:textId="77777777" w:rsidR="003E1856" w:rsidRPr="003E1856" w:rsidRDefault="003E1856" w:rsidP="003E185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E185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B17777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3CFCDB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9BDD9F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613A15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A21B231" w14:textId="78C6097E" w:rsidR="00EB3D1B" w:rsidRDefault="005A1B4F" w:rsidP="00EB3D1B">
                <w:pPr>
                  <w:pStyle w:val="Tablefont"/>
                </w:pPr>
                <w:r>
                  <w:rPr>
                    <w:lang w:val="en-US"/>
                  </w:rPr>
                  <w:t>Yes</w:t>
                </w:r>
              </w:p>
            </w:tc>
          </w:sdtContent>
        </w:sdt>
      </w:tr>
    </w:tbl>
    <w:p w14:paraId="3360B71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C61197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05CFB0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A17C158" w14:textId="050B55A8" w:rsidR="001B79E5" w:rsidRDefault="00B716D8" w:rsidP="001B79E5">
                <w:pPr>
                  <w:pStyle w:val="Tablefont"/>
                </w:pPr>
                <w:r w:rsidRPr="00B716D8">
                  <w:t>148.1</w:t>
                </w:r>
                <w:r>
                  <w:t>0</w:t>
                </w:r>
              </w:p>
            </w:tc>
          </w:sdtContent>
        </w:sdt>
      </w:tr>
      <w:tr w:rsidR="00A31D99" w:rsidRPr="004C23F4" w14:paraId="3FF1F18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41AFBE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A3E37DC" w14:textId="0D76393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716D8">
                  <w:t>6.05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716D8">
                  <w:t>0.17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6823AC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FCC872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6A210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7B688F1" w14:textId="77777777" w:rsidTr="00EA6243">
        <w:trPr>
          <w:cantSplit/>
        </w:trPr>
        <w:tc>
          <w:tcPr>
            <w:tcW w:w="4077" w:type="dxa"/>
            <w:vAlign w:val="center"/>
          </w:tcPr>
          <w:p w14:paraId="1D14A17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B83BB5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AF10EA" w14:textId="77777777" w:rsidTr="00EA6243">
        <w:trPr>
          <w:cantSplit/>
        </w:trPr>
        <w:tc>
          <w:tcPr>
            <w:tcW w:w="4077" w:type="dxa"/>
            <w:vAlign w:val="center"/>
          </w:tcPr>
          <w:p w14:paraId="40B04FF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6F82BA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E5FDDDB" w14:textId="77777777" w:rsidTr="00EA6243">
        <w:trPr>
          <w:cantSplit/>
        </w:trPr>
        <w:tc>
          <w:tcPr>
            <w:tcW w:w="4077" w:type="dxa"/>
            <w:vAlign w:val="center"/>
          </w:tcPr>
          <w:p w14:paraId="0C28AEC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FC61D54" w14:textId="77777777" w:rsidR="00E06F40" w:rsidRPr="00A006A0" w:rsidRDefault="0011114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ECEF93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A537E5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53AB67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876381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0B7ED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0218B5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1EC79D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C0D74A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B417BF2" w14:textId="51E39D6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419CA1D" w14:textId="02D7BA64" w:rsidR="00B716D8" w:rsidRDefault="000E29C1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(2009) </w:t>
      </w:r>
      <w:r w:rsidRPr="000E29C1">
        <w:t>phthalic anhydride</w:t>
      </w:r>
      <w:r>
        <w:t xml:space="preserve"> – MAK value documentation.</w:t>
      </w:r>
    </w:p>
    <w:p w14:paraId="3423CC39" w14:textId="48799B0F" w:rsidR="000E29C1" w:rsidRDefault="000E29C1" w:rsidP="00084859">
      <w:r>
        <w:t xml:space="preserve">European Chemicals Agency (ECHA) (2019) </w:t>
      </w:r>
      <w:r w:rsidRPr="000E29C1">
        <w:t>phthalic anhydride</w:t>
      </w:r>
      <w:r>
        <w:t xml:space="preserve"> – REACH assessment.</w:t>
      </w:r>
    </w:p>
    <w:p w14:paraId="250AF76F" w14:textId="39595D7C" w:rsidR="000E29C1" w:rsidRDefault="000E29C1" w:rsidP="00084859">
      <w:r w:rsidRPr="002022B6">
        <w:t>EU Scientific Committee on Occupational Exposure Limits (SCOEL)</w:t>
      </w:r>
      <w:r>
        <w:t xml:space="preserve"> (2011) Recommendation from the Scientific Committee on Occupational Exposure Limits for </w:t>
      </w:r>
      <w:r w:rsidRPr="000E29C1">
        <w:t>phthalic anhydride</w:t>
      </w:r>
      <w:r>
        <w:t>. SCOEL/</w:t>
      </w:r>
      <w:r w:rsidRPr="000E29C1">
        <w:t>SUM/152</w:t>
      </w:r>
      <w:r>
        <w:t>.</w:t>
      </w:r>
    </w:p>
    <w:p w14:paraId="6524121C" w14:textId="04536A8C" w:rsidR="000E29C1" w:rsidRDefault="000E29C1" w:rsidP="00084859">
      <w:r w:rsidRPr="002022B6">
        <w:t>Health Council of the Netherlands</w:t>
      </w:r>
      <w:r>
        <w:t xml:space="preserve"> (HCOTN) (</w:t>
      </w:r>
      <w:r w:rsidRPr="000E29C1">
        <w:t>2010</w:t>
      </w:r>
      <w:r>
        <w:t xml:space="preserve">) </w:t>
      </w:r>
      <w:r w:rsidRPr="000E29C1">
        <w:t>cyclic acid anhydrides</w:t>
      </w:r>
      <w:r w:rsidRPr="005F7416">
        <w:t xml:space="preserve">. Health-based calculated occupational cancer risk values. The Hague: Health Council of the Netherlands; publication no. </w:t>
      </w:r>
      <w:r w:rsidRPr="000E29C1">
        <w:t>2010/02OSH</w:t>
      </w:r>
      <w:r>
        <w:t>.</w:t>
      </w:r>
    </w:p>
    <w:p w14:paraId="227F01E6" w14:textId="13CA8B11" w:rsidR="000E29C1" w:rsidRDefault="000E29C1" w:rsidP="00084859">
      <w:r w:rsidRPr="002022B6">
        <w:t>National Industrial Chemicals Notification and Assessment Scheme (NICNAS)</w:t>
      </w:r>
      <w:r>
        <w:t xml:space="preserve"> (</w:t>
      </w:r>
      <w:r w:rsidRPr="000E29C1">
        <w:t>2013</w:t>
      </w:r>
      <w:r>
        <w:t xml:space="preserve">) </w:t>
      </w:r>
      <w:r w:rsidRPr="000E29C1">
        <w:t>1</w:t>
      </w:r>
      <w:proofErr w:type="gramStart"/>
      <w:r w:rsidRPr="000E29C1">
        <w:t>,3</w:t>
      </w:r>
      <w:proofErr w:type="gramEnd"/>
      <w:r w:rsidRPr="000E29C1">
        <w:t>-Isobenzofurandione</w:t>
      </w:r>
      <w:r w:rsidRPr="0071660C">
        <w:t xml:space="preserve">: Human health </w:t>
      </w:r>
      <w:r w:rsidRPr="000E29C1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17AA5089" w14:textId="5CA677FA" w:rsidR="000E29C1" w:rsidRPr="00351FE0" w:rsidRDefault="000E29C1" w:rsidP="00084859">
      <w:r w:rsidRPr="00D86E03">
        <w:t>US National Institute for Occupational Safety and Health (NIOSH)</w:t>
      </w:r>
      <w:r>
        <w:t xml:space="preserve"> (</w:t>
      </w:r>
      <w:r w:rsidRPr="000E29C1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0E29C1">
        <w:t>phthalic anhydride</w:t>
      </w:r>
      <w:r>
        <w:t>.</w:t>
      </w:r>
    </w:p>
    <w:sectPr w:rsidR="000E29C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2F8A5" w14:textId="77777777" w:rsidR="00183824" w:rsidRDefault="00183824" w:rsidP="00F43AD5">
      <w:pPr>
        <w:spacing w:after="0" w:line="240" w:lineRule="auto"/>
      </w:pPr>
      <w:r>
        <w:separator/>
      </w:r>
    </w:p>
  </w:endnote>
  <w:endnote w:type="continuationSeparator" w:id="0">
    <w:p w14:paraId="4D9951F0" w14:textId="77777777" w:rsidR="00183824" w:rsidRDefault="0018382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6292" w14:textId="77777777" w:rsidR="0011114B" w:rsidRDefault="0011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F27A59A" w14:textId="77777777" w:rsidR="00593C40" w:rsidRPr="00593C40" w:rsidRDefault="00593C40" w:rsidP="00593C40">
        <w:pPr>
          <w:pStyle w:val="Footer"/>
          <w:rPr>
            <w:b/>
            <w:sz w:val="18"/>
            <w:szCs w:val="18"/>
          </w:rPr>
        </w:pPr>
      </w:p>
      <w:p w14:paraId="6BE9D708" w14:textId="78C909CD" w:rsidR="008A36CF" w:rsidRDefault="00593C40" w:rsidP="00593C40">
        <w:pPr>
          <w:pStyle w:val="Footer"/>
          <w:rPr>
            <w:sz w:val="18"/>
            <w:szCs w:val="18"/>
          </w:rPr>
        </w:pPr>
        <w:r w:rsidRPr="00593C40">
          <w:rPr>
            <w:b/>
            <w:sz w:val="18"/>
            <w:szCs w:val="18"/>
          </w:rPr>
          <w:t>Phthalic anhydride</w:t>
        </w:r>
        <w:r w:rsidR="008A36CF">
          <w:rPr>
            <w:b/>
            <w:sz w:val="18"/>
            <w:szCs w:val="18"/>
          </w:rPr>
          <w:t xml:space="preserve"> (</w:t>
        </w:r>
        <w:r w:rsidRPr="00593C40">
          <w:rPr>
            <w:b/>
            <w:sz w:val="18"/>
            <w:szCs w:val="18"/>
          </w:rPr>
          <w:t>85-44-9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08562D">
          <w:rPr>
            <w:sz w:val="18"/>
            <w:szCs w:val="18"/>
          </w:rPr>
          <w:t>20</w:t>
        </w:r>
      </w:p>
      <w:p w14:paraId="04EB51A2" w14:textId="60423F3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1114B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98F" w14:textId="77777777" w:rsidR="0011114B" w:rsidRDefault="0011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44F7" w14:textId="77777777" w:rsidR="00183824" w:rsidRDefault="00183824" w:rsidP="00F43AD5">
      <w:pPr>
        <w:spacing w:after="0" w:line="240" w:lineRule="auto"/>
      </w:pPr>
      <w:r>
        <w:separator/>
      </w:r>
    </w:p>
  </w:footnote>
  <w:footnote w:type="continuationSeparator" w:id="0">
    <w:p w14:paraId="2787AFAE" w14:textId="77777777" w:rsidR="00183824" w:rsidRDefault="0018382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1E2D" w14:textId="77777777" w:rsidR="0011114B" w:rsidRDefault="00111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A11F" w14:textId="4FF5FEAF" w:rsidR="0011114B" w:rsidRDefault="0011114B" w:rsidP="0011114B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6C78BD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F074E31" wp14:editId="2082AB65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4C45B" w14:textId="77777777" w:rsidR="0011114B" w:rsidRDefault="0011114B" w:rsidP="0011114B">
    <w:pPr>
      <w:pStyle w:val="Header"/>
      <w:jc w:val="right"/>
    </w:pPr>
  </w:p>
  <w:p w14:paraId="6FD196CE" w14:textId="442577FB" w:rsidR="008A36CF" w:rsidRPr="0011114B" w:rsidRDefault="008A36CF" w:rsidP="00111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8EF6" w14:textId="77777777" w:rsidR="0011114B" w:rsidRDefault="001111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A9684" w14:textId="2562A0FB" w:rsidR="0011114B" w:rsidRDefault="0011114B" w:rsidP="0011114B">
    <w:pPr>
      <w:pStyle w:val="Header"/>
      <w:jc w:val="right"/>
    </w:pPr>
    <w:sdt>
      <w:sdtPr>
        <w:id w:val="1353380032"/>
        <w:docPartObj>
          <w:docPartGallery w:val="Watermarks"/>
          <w:docPartUnique/>
        </w:docPartObj>
      </w:sdtPr>
      <w:sdtContent>
        <w:r>
          <w:pict w14:anchorId="574356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D52A9AE" wp14:editId="7402AAE2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D16F4" w14:textId="77777777" w:rsidR="0011114B" w:rsidRDefault="0011114B" w:rsidP="0011114B">
    <w:pPr>
      <w:pStyle w:val="Header"/>
      <w:jc w:val="right"/>
    </w:pPr>
  </w:p>
  <w:p w14:paraId="55A54688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34F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14992"/>
    <w:multiLevelType w:val="hybridMultilevel"/>
    <w:tmpl w:val="45DC9D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F36C59"/>
    <w:multiLevelType w:val="hybridMultilevel"/>
    <w:tmpl w:val="CFDA9E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A328B2"/>
    <w:multiLevelType w:val="hybridMultilevel"/>
    <w:tmpl w:val="E8FEDD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53CB8"/>
    <w:multiLevelType w:val="hybridMultilevel"/>
    <w:tmpl w:val="3718E6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D9C"/>
    <w:rsid w:val="00007B80"/>
    <w:rsid w:val="00013A22"/>
    <w:rsid w:val="00014C3F"/>
    <w:rsid w:val="00014FC7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562D"/>
    <w:rsid w:val="00085A2D"/>
    <w:rsid w:val="00092D94"/>
    <w:rsid w:val="000A68BF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29C1"/>
    <w:rsid w:val="000E5A54"/>
    <w:rsid w:val="000E63D3"/>
    <w:rsid w:val="000E67CF"/>
    <w:rsid w:val="0010461E"/>
    <w:rsid w:val="00106FAA"/>
    <w:rsid w:val="0011114B"/>
    <w:rsid w:val="00113443"/>
    <w:rsid w:val="001269A7"/>
    <w:rsid w:val="00131092"/>
    <w:rsid w:val="00140E6A"/>
    <w:rsid w:val="00146545"/>
    <w:rsid w:val="00146B75"/>
    <w:rsid w:val="0015266D"/>
    <w:rsid w:val="0015288A"/>
    <w:rsid w:val="00152FAE"/>
    <w:rsid w:val="00160F47"/>
    <w:rsid w:val="00177CA1"/>
    <w:rsid w:val="00183823"/>
    <w:rsid w:val="00183824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3901"/>
    <w:rsid w:val="002663C6"/>
    <w:rsid w:val="00276494"/>
    <w:rsid w:val="00277B0C"/>
    <w:rsid w:val="002B1A2C"/>
    <w:rsid w:val="002C34F2"/>
    <w:rsid w:val="002C40F6"/>
    <w:rsid w:val="002C58FF"/>
    <w:rsid w:val="002C7AFE"/>
    <w:rsid w:val="002D05D2"/>
    <w:rsid w:val="002E0D61"/>
    <w:rsid w:val="002E4C7B"/>
    <w:rsid w:val="002E6380"/>
    <w:rsid w:val="003060A5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54E1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1856"/>
    <w:rsid w:val="003E51FB"/>
    <w:rsid w:val="003E6B39"/>
    <w:rsid w:val="003F07E1"/>
    <w:rsid w:val="003F4BBF"/>
    <w:rsid w:val="003F6C04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1DB3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8A7"/>
    <w:rsid w:val="004C1E3F"/>
    <w:rsid w:val="004C23F4"/>
    <w:rsid w:val="004C3475"/>
    <w:rsid w:val="004C58B6"/>
    <w:rsid w:val="004D16A3"/>
    <w:rsid w:val="004D4AA1"/>
    <w:rsid w:val="004D6D68"/>
    <w:rsid w:val="004E1C8D"/>
    <w:rsid w:val="004E5EDD"/>
    <w:rsid w:val="004F09B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4622A"/>
    <w:rsid w:val="00551BD8"/>
    <w:rsid w:val="00581055"/>
    <w:rsid w:val="00591E38"/>
    <w:rsid w:val="00593C40"/>
    <w:rsid w:val="0059541F"/>
    <w:rsid w:val="005A19C5"/>
    <w:rsid w:val="005A1B4F"/>
    <w:rsid w:val="005A3034"/>
    <w:rsid w:val="005A462D"/>
    <w:rsid w:val="005B253B"/>
    <w:rsid w:val="005B771D"/>
    <w:rsid w:val="005C5D16"/>
    <w:rsid w:val="005D3193"/>
    <w:rsid w:val="005D4A6E"/>
    <w:rsid w:val="005E119D"/>
    <w:rsid w:val="005E6979"/>
    <w:rsid w:val="005E75CB"/>
    <w:rsid w:val="006013C1"/>
    <w:rsid w:val="0060669E"/>
    <w:rsid w:val="00610F2E"/>
    <w:rsid w:val="00611399"/>
    <w:rsid w:val="00624C4E"/>
    <w:rsid w:val="00625200"/>
    <w:rsid w:val="00627EB0"/>
    <w:rsid w:val="006316A2"/>
    <w:rsid w:val="006363A8"/>
    <w:rsid w:val="00636DB7"/>
    <w:rsid w:val="00645A3A"/>
    <w:rsid w:val="00650905"/>
    <w:rsid w:val="006532ED"/>
    <w:rsid w:val="006549F2"/>
    <w:rsid w:val="006567B7"/>
    <w:rsid w:val="00657BFB"/>
    <w:rsid w:val="00662420"/>
    <w:rsid w:val="0066333C"/>
    <w:rsid w:val="006639B4"/>
    <w:rsid w:val="006650FE"/>
    <w:rsid w:val="0067305D"/>
    <w:rsid w:val="00675976"/>
    <w:rsid w:val="006769AC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1CCD"/>
    <w:rsid w:val="006C6081"/>
    <w:rsid w:val="006D79EA"/>
    <w:rsid w:val="006E5D05"/>
    <w:rsid w:val="006E633D"/>
    <w:rsid w:val="00701053"/>
    <w:rsid w:val="00701507"/>
    <w:rsid w:val="00714021"/>
    <w:rsid w:val="00716A0F"/>
    <w:rsid w:val="00717D45"/>
    <w:rsid w:val="007208F7"/>
    <w:rsid w:val="007218AF"/>
    <w:rsid w:val="00733991"/>
    <w:rsid w:val="007365D1"/>
    <w:rsid w:val="00740E0E"/>
    <w:rsid w:val="00750212"/>
    <w:rsid w:val="007510CB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2B4"/>
    <w:rsid w:val="007939B3"/>
    <w:rsid w:val="0079509C"/>
    <w:rsid w:val="00796708"/>
    <w:rsid w:val="007B1B42"/>
    <w:rsid w:val="007B2ED5"/>
    <w:rsid w:val="007C30EB"/>
    <w:rsid w:val="007D327A"/>
    <w:rsid w:val="007E063C"/>
    <w:rsid w:val="007E2A4B"/>
    <w:rsid w:val="007E307D"/>
    <w:rsid w:val="007E6A4E"/>
    <w:rsid w:val="007E6C94"/>
    <w:rsid w:val="007F1005"/>
    <w:rsid w:val="007F25E0"/>
    <w:rsid w:val="007F5328"/>
    <w:rsid w:val="0080191B"/>
    <w:rsid w:val="00804F5A"/>
    <w:rsid w:val="00810C6D"/>
    <w:rsid w:val="00812887"/>
    <w:rsid w:val="00826F21"/>
    <w:rsid w:val="008349EA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1EEA"/>
    <w:rsid w:val="008C2511"/>
    <w:rsid w:val="008D026D"/>
    <w:rsid w:val="008D23AB"/>
    <w:rsid w:val="008D46CE"/>
    <w:rsid w:val="008D4B8B"/>
    <w:rsid w:val="008D5A78"/>
    <w:rsid w:val="008E7B64"/>
    <w:rsid w:val="008F5DCD"/>
    <w:rsid w:val="00900951"/>
    <w:rsid w:val="009118A6"/>
    <w:rsid w:val="00913BEF"/>
    <w:rsid w:val="00916909"/>
    <w:rsid w:val="00916EC0"/>
    <w:rsid w:val="0091741A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1823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EC3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3688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10D2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16D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711F"/>
    <w:rsid w:val="00D048F7"/>
    <w:rsid w:val="00D0517E"/>
    <w:rsid w:val="00D140FC"/>
    <w:rsid w:val="00D21D8C"/>
    <w:rsid w:val="00D31357"/>
    <w:rsid w:val="00D324E6"/>
    <w:rsid w:val="00D33220"/>
    <w:rsid w:val="00D334D1"/>
    <w:rsid w:val="00D40DCB"/>
    <w:rsid w:val="00D436EE"/>
    <w:rsid w:val="00D44C89"/>
    <w:rsid w:val="00D516CD"/>
    <w:rsid w:val="00D65A0A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2BD4"/>
    <w:rsid w:val="00E06F40"/>
    <w:rsid w:val="00E07CE8"/>
    <w:rsid w:val="00E22E99"/>
    <w:rsid w:val="00E257EC"/>
    <w:rsid w:val="00E26A07"/>
    <w:rsid w:val="00E32595"/>
    <w:rsid w:val="00E37CFD"/>
    <w:rsid w:val="00E41A26"/>
    <w:rsid w:val="00E46BCB"/>
    <w:rsid w:val="00E51CAF"/>
    <w:rsid w:val="00E60F04"/>
    <w:rsid w:val="00E61E36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5236"/>
    <w:rsid w:val="00F3108D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2844"/>
    <w:rsid w:val="00FA3DF5"/>
    <w:rsid w:val="00FA741F"/>
    <w:rsid w:val="00FB4E07"/>
    <w:rsid w:val="00FB755A"/>
    <w:rsid w:val="00FC60A2"/>
    <w:rsid w:val="00FC79BE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9BEFC2A8-F14C-4213-91D4-73A5C40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C1CCD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0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0A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0A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99DD91EC7AE433F98479FCFAFA3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E6745-9311-4B8B-B633-D1DCAC9427AE}"/>
      </w:docPartPr>
      <w:docPartBody>
        <w:p w:rsidR="001D2F98" w:rsidRDefault="00D45636" w:rsidP="00D45636">
          <w:pPr>
            <w:pStyle w:val="299DD91EC7AE433F98479FCFAFA3DE1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D2F98"/>
    <w:rsid w:val="00D21A9F"/>
    <w:rsid w:val="00D45636"/>
    <w:rsid w:val="00DD03C8"/>
    <w:rsid w:val="00E94819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636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DFDD562B5774C9DB9B639F6360A553C">
    <w:name w:val="EDFDD562B5774C9DB9B639F6360A553C"/>
    <w:rsid w:val="00F95FB7"/>
  </w:style>
  <w:style w:type="paragraph" w:customStyle="1" w:styleId="C894AAC8938741D0BFB6363E1BA86D12">
    <w:name w:val="C894AAC8938741D0BFB6363E1BA86D12"/>
    <w:rsid w:val="00F95FB7"/>
  </w:style>
  <w:style w:type="paragraph" w:customStyle="1" w:styleId="3662FBD1EA694CAAA5A3831846B6DA40">
    <w:name w:val="3662FBD1EA694CAAA5A3831846B6DA40"/>
    <w:rsid w:val="00F95FB7"/>
  </w:style>
  <w:style w:type="paragraph" w:customStyle="1" w:styleId="1D45F6FE580540448E6CCAF454333DD8">
    <w:name w:val="1D45F6FE580540448E6CCAF454333DD8"/>
    <w:rsid w:val="00F95FB7"/>
  </w:style>
  <w:style w:type="paragraph" w:customStyle="1" w:styleId="251F12330FC44492AF49C3CFB14BBF40">
    <w:name w:val="251F12330FC44492AF49C3CFB14BBF40"/>
    <w:rsid w:val="00F95FB7"/>
  </w:style>
  <w:style w:type="paragraph" w:customStyle="1" w:styleId="D6990CBA284247E2A548B94DB94785F5">
    <w:name w:val="D6990CBA284247E2A548B94DB94785F5"/>
    <w:rsid w:val="00F95FB7"/>
  </w:style>
  <w:style w:type="paragraph" w:customStyle="1" w:styleId="2B9DC958CB3F4B22937D03A43513A7A1">
    <w:name w:val="2B9DC958CB3F4B22937D03A43513A7A1"/>
    <w:rsid w:val="00F95FB7"/>
  </w:style>
  <w:style w:type="paragraph" w:customStyle="1" w:styleId="F5BDB95C9E0847F2A2275D29E98E79C4">
    <w:name w:val="F5BDB95C9E0847F2A2275D29E98E79C4"/>
    <w:rsid w:val="00F95FB7"/>
  </w:style>
  <w:style w:type="paragraph" w:customStyle="1" w:styleId="BC59198EADEE42A48A9F472812C2CC21">
    <w:name w:val="BC59198EADEE42A48A9F472812C2CC21"/>
    <w:rsid w:val="00F95FB7"/>
  </w:style>
  <w:style w:type="paragraph" w:customStyle="1" w:styleId="B075104F00EF4CD58B01DFC7C430292B">
    <w:name w:val="B075104F00EF4CD58B01DFC7C430292B"/>
    <w:rsid w:val="00F95FB7"/>
  </w:style>
  <w:style w:type="paragraph" w:customStyle="1" w:styleId="EC120F0B6D0043DB8E97E837F05F40C8">
    <w:name w:val="EC120F0B6D0043DB8E97E837F05F40C8"/>
    <w:rsid w:val="00F95FB7"/>
  </w:style>
  <w:style w:type="paragraph" w:customStyle="1" w:styleId="854FB6B8B33F460288D9AE55237D90A7">
    <w:name w:val="854FB6B8B33F460288D9AE55237D90A7"/>
    <w:rsid w:val="00F95FB7"/>
  </w:style>
  <w:style w:type="paragraph" w:customStyle="1" w:styleId="27F39E6B75E5421092038DD2E56187F7">
    <w:name w:val="27F39E6B75E5421092038DD2E56187F7"/>
    <w:rsid w:val="00F95FB7"/>
  </w:style>
  <w:style w:type="paragraph" w:customStyle="1" w:styleId="DA6CE7DFFA18470D911743DDE8C9B502">
    <w:name w:val="DA6CE7DFFA18470D911743DDE8C9B502"/>
    <w:rsid w:val="00F95FB7"/>
  </w:style>
  <w:style w:type="paragraph" w:customStyle="1" w:styleId="DC93EE79B9BA4B55A5EE7FF5EA774797">
    <w:name w:val="DC93EE79B9BA4B55A5EE7FF5EA774797"/>
    <w:rsid w:val="00F95FB7"/>
  </w:style>
  <w:style w:type="paragraph" w:customStyle="1" w:styleId="299DD91EC7AE433F98479FCFAFA3DE10">
    <w:name w:val="299DD91EC7AE433F98479FCFAFA3DE10"/>
    <w:rsid w:val="00D45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BCA5D-06A7-465A-8097-80AE3D59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957B4-9E1F-4820-BE74-109A9C87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A22F6FB1.dotm</Template>
  <TotalTime>103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5</cp:revision>
  <cp:lastPrinted>2018-10-22T22:41:00Z</cp:lastPrinted>
  <dcterms:created xsi:type="dcterms:W3CDTF">2020-02-09T06:21:00Z</dcterms:created>
  <dcterms:modified xsi:type="dcterms:W3CDTF">2020-02-27T21:18:00Z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