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1C73FE6B" w14:textId="0D56377A" w:rsidR="00BD499F" w:rsidRPr="004C23F4" w:rsidRDefault="00DC2424" w:rsidP="00B40C60">
          <w:pPr>
            <w:pStyle w:val="Heading1"/>
            <w:jc w:val="center"/>
            <w:rPr>
              <w:rFonts w:ascii="Arial" w:hAnsi="Arial" w:cs="Arial"/>
            </w:rPr>
          </w:pPr>
          <w:r w:rsidRPr="00DC2424">
            <w:rPr>
              <w:rFonts w:ascii="Arial" w:hAnsi="Arial" w:cs="Arial"/>
            </w:rPr>
            <w:t>Picric acid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3"/>
        <w:gridCol w:w="5043"/>
      </w:tblGrid>
      <w:tr w:rsidR="00F43AD5" w:rsidRPr="004C23F4" w14:paraId="2FC43A44" w14:textId="77777777" w:rsidTr="00B76A41">
        <w:trPr>
          <w:cantSplit/>
          <w:tblHeader/>
        </w:trPr>
        <w:tc>
          <w:tcPr>
            <w:tcW w:w="4077" w:type="dxa"/>
          </w:tcPr>
          <w:p w14:paraId="28F417EE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3746BCC2" w14:textId="41644469" w:rsidR="00F43AD5" w:rsidRPr="00717D45" w:rsidRDefault="00DC2424" w:rsidP="00B76A41">
            <w:pPr>
              <w:pStyle w:val="Tablefont"/>
            </w:pPr>
            <w:r w:rsidRPr="00DC2424">
              <w:t>88-89-1</w:t>
            </w:r>
          </w:p>
        </w:tc>
      </w:tr>
      <w:tr w:rsidR="00F43AD5" w:rsidRPr="004C23F4" w14:paraId="1D84C275" w14:textId="77777777" w:rsidTr="00B76A41">
        <w:trPr>
          <w:cantSplit/>
        </w:trPr>
        <w:tc>
          <w:tcPr>
            <w:tcW w:w="4077" w:type="dxa"/>
          </w:tcPr>
          <w:p w14:paraId="15FC09BD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010E52A2" w14:textId="7B26880A" w:rsidR="00F43AD5" w:rsidRPr="00717D45" w:rsidRDefault="00DC2424" w:rsidP="00B76A41">
            <w:pPr>
              <w:pStyle w:val="Tablefont"/>
            </w:pPr>
            <w:proofErr w:type="spellStart"/>
            <w:r>
              <w:t>Carbazotic</w:t>
            </w:r>
            <w:proofErr w:type="spellEnd"/>
            <w:r>
              <w:t xml:space="preserve"> acid, </w:t>
            </w:r>
            <w:proofErr w:type="spellStart"/>
            <w:r>
              <w:t>picronitric</w:t>
            </w:r>
            <w:proofErr w:type="spellEnd"/>
            <w:r>
              <w:t xml:space="preserve"> acid, 2,4,6-trinitrophenol</w:t>
            </w:r>
          </w:p>
        </w:tc>
      </w:tr>
      <w:tr w:rsidR="00F43AD5" w:rsidRPr="004C23F4" w14:paraId="13A81853" w14:textId="77777777" w:rsidTr="00B76A41">
        <w:trPr>
          <w:cantSplit/>
        </w:trPr>
        <w:tc>
          <w:tcPr>
            <w:tcW w:w="4077" w:type="dxa"/>
          </w:tcPr>
          <w:p w14:paraId="0924BF6D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61D06B0F" w14:textId="686D6D3D" w:rsidR="00F43AD5" w:rsidRPr="00717D45" w:rsidRDefault="00DC2424" w:rsidP="00B76A41">
            <w:pPr>
              <w:pStyle w:val="Tablefont"/>
            </w:pPr>
            <w:r>
              <w:t>C</w:t>
            </w:r>
            <w:r w:rsidRPr="00DC2424">
              <w:rPr>
                <w:vertAlign w:val="subscript"/>
              </w:rPr>
              <w:t>6</w:t>
            </w:r>
            <w:r>
              <w:t>H</w:t>
            </w:r>
            <w:r w:rsidRPr="00DC2424">
              <w:rPr>
                <w:vertAlign w:val="subscript"/>
              </w:rPr>
              <w:t>2</w:t>
            </w:r>
            <w:r>
              <w:t>(NO</w:t>
            </w:r>
            <w:r w:rsidRPr="00DC2424">
              <w:rPr>
                <w:vertAlign w:val="subscript"/>
              </w:rPr>
              <w:t>2</w:t>
            </w:r>
            <w:r>
              <w:t>)</w:t>
            </w:r>
            <w:r w:rsidRPr="00DC2424">
              <w:rPr>
                <w:vertAlign w:val="subscript"/>
              </w:rPr>
              <w:t>3</w:t>
            </w:r>
            <w:r>
              <w:t>OH</w:t>
            </w:r>
          </w:p>
        </w:tc>
      </w:tr>
      <w:tr w:rsidR="00F43AD5" w:rsidRPr="004C23F4" w14:paraId="088008AD" w14:textId="77777777" w:rsidTr="00B76A41">
        <w:trPr>
          <w:cantSplit/>
        </w:trPr>
        <w:tc>
          <w:tcPr>
            <w:tcW w:w="4077" w:type="dxa"/>
          </w:tcPr>
          <w:p w14:paraId="32B9D94E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1ED2652C" w14:textId="2431F477" w:rsidR="00F43AD5" w:rsidRPr="000524BF" w:rsidRDefault="00DC2424" w:rsidP="00B76A41">
            <w:pPr>
              <w:pStyle w:val="Tablerowheading"/>
              <w:rPr>
                <w:b w:val="0"/>
              </w:rPr>
            </w:pPr>
            <w:r w:rsidRPr="00591692">
              <w:rPr>
                <w:b w:val="0"/>
              </w:rPr>
              <w:t>—</w:t>
            </w:r>
          </w:p>
        </w:tc>
      </w:tr>
    </w:tbl>
    <w:p w14:paraId="32D99776" w14:textId="3D669A28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9E45AB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218E062F" w14:textId="77777777" w:rsidTr="00706A4F">
        <w:trPr>
          <w:cantSplit/>
          <w:tblHeader/>
        </w:trPr>
        <w:tc>
          <w:tcPr>
            <w:tcW w:w="4005" w:type="dxa"/>
            <w:vAlign w:val="center"/>
          </w:tcPr>
          <w:p w14:paraId="60944FB3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34C26AF5" w14:textId="3BFC41A3" w:rsidR="002C7AFE" w:rsidRPr="00706A4F" w:rsidRDefault="00706A4F" w:rsidP="00017C82">
            <w:pPr>
              <w:pStyle w:val="Tablefont"/>
              <w:rPr>
                <w:b/>
                <w:vertAlign w:val="superscript"/>
              </w:rPr>
            </w:pPr>
            <w:r>
              <w:rPr>
                <w:b/>
              </w:rPr>
              <w:t>0.1 mg/m</w:t>
            </w:r>
            <w:r>
              <w:rPr>
                <w:b/>
                <w:vertAlign w:val="superscript"/>
              </w:rPr>
              <w:t>3</w:t>
            </w:r>
          </w:p>
        </w:tc>
      </w:tr>
      <w:tr w:rsidR="00706A4F" w:rsidRPr="004C23F4" w14:paraId="7753678C" w14:textId="77777777" w:rsidTr="00706A4F">
        <w:trPr>
          <w:cantSplit/>
        </w:trPr>
        <w:tc>
          <w:tcPr>
            <w:tcW w:w="4005" w:type="dxa"/>
            <w:vAlign w:val="center"/>
          </w:tcPr>
          <w:p w14:paraId="608FEFFF" w14:textId="77777777" w:rsidR="00706A4F" w:rsidRPr="002C58FF" w:rsidRDefault="00706A4F" w:rsidP="00706A4F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21" w:type="dxa"/>
          </w:tcPr>
          <w:p w14:paraId="0CF6E8F3" w14:textId="4E097ED2" w:rsidR="00706A4F" w:rsidRPr="000524BF" w:rsidRDefault="00706A4F" w:rsidP="00706A4F">
            <w:pPr>
              <w:pStyle w:val="Tablefont"/>
              <w:rPr>
                <w:b/>
              </w:rPr>
            </w:pPr>
            <w:r w:rsidRPr="00591692">
              <w:rPr>
                <w:b/>
              </w:rPr>
              <w:t>—</w:t>
            </w:r>
          </w:p>
        </w:tc>
      </w:tr>
      <w:tr w:rsidR="00706A4F" w:rsidRPr="004C23F4" w14:paraId="0B8D44FB" w14:textId="77777777" w:rsidTr="00706A4F">
        <w:trPr>
          <w:cantSplit/>
        </w:trPr>
        <w:tc>
          <w:tcPr>
            <w:tcW w:w="4005" w:type="dxa"/>
            <w:vAlign w:val="center"/>
          </w:tcPr>
          <w:p w14:paraId="55B86BAE" w14:textId="77777777" w:rsidR="00706A4F" w:rsidRPr="002C58FF" w:rsidRDefault="00706A4F" w:rsidP="00706A4F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1F07DBF0" w14:textId="5D5326CF" w:rsidR="00706A4F" w:rsidRPr="000524BF" w:rsidRDefault="00706A4F" w:rsidP="00706A4F">
            <w:pPr>
              <w:pStyle w:val="Tablefont"/>
              <w:rPr>
                <w:b/>
              </w:rPr>
            </w:pPr>
            <w:r w:rsidRPr="00591692">
              <w:rPr>
                <w:b/>
              </w:rPr>
              <w:t>—</w:t>
            </w:r>
          </w:p>
        </w:tc>
      </w:tr>
      <w:tr w:rsidR="00706A4F" w:rsidRPr="004C23F4" w14:paraId="561D7A8A" w14:textId="77777777" w:rsidTr="00706A4F">
        <w:trPr>
          <w:cantSplit/>
        </w:trPr>
        <w:tc>
          <w:tcPr>
            <w:tcW w:w="4005" w:type="dxa"/>
          </w:tcPr>
          <w:p w14:paraId="459C0CE7" w14:textId="77777777" w:rsidR="00706A4F" w:rsidRPr="002C58FF" w:rsidRDefault="00706A4F" w:rsidP="00706A4F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21" w:type="dxa"/>
          </w:tcPr>
          <w:p w14:paraId="0EA7CAD8" w14:textId="5A04A8D7" w:rsidR="00706A4F" w:rsidRPr="000524BF" w:rsidRDefault="00706A4F" w:rsidP="00706A4F">
            <w:pPr>
              <w:pStyle w:val="Tablefont"/>
              <w:rPr>
                <w:b/>
              </w:rPr>
            </w:pPr>
            <w:r w:rsidRPr="00591692">
              <w:rPr>
                <w:b/>
              </w:rPr>
              <w:t>—</w:t>
            </w:r>
          </w:p>
        </w:tc>
      </w:tr>
      <w:tr w:rsidR="002C7AFE" w:rsidRPr="004C23F4" w14:paraId="1207212C" w14:textId="77777777" w:rsidTr="00706A4F">
        <w:trPr>
          <w:cantSplit/>
        </w:trPr>
        <w:tc>
          <w:tcPr>
            <w:tcW w:w="4005" w:type="dxa"/>
            <w:vAlign w:val="center"/>
          </w:tcPr>
          <w:p w14:paraId="43F2D135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5550A642" w14:textId="20D55AF9" w:rsidR="002C7AFE" w:rsidRPr="00EB3D1B" w:rsidRDefault="00DC2424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75 mg/m</w:t>
            </w:r>
            <w:r w:rsidRPr="00DC2424">
              <w:rPr>
                <w:b/>
                <w:vertAlign w:val="superscript"/>
              </w:rPr>
              <w:t>3</w:t>
            </w:r>
          </w:p>
        </w:tc>
      </w:tr>
      <w:tr w:rsidR="000524BF" w:rsidRPr="004C23F4" w14:paraId="66C40878" w14:textId="77777777" w:rsidTr="00985542">
        <w:trPr>
          <w:cantSplit/>
        </w:trPr>
        <w:tc>
          <w:tcPr>
            <w:tcW w:w="9026" w:type="dxa"/>
            <w:gridSpan w:val="2"/>
            <w:vAlign w:val="center"/>
          </w:tcPr>
          <w:p w14:paraId="5B6903CF" w14:textId="055F631E" w:rsidR="000524BF" w:rsidRPr="00EB3D1B" w:rsidRDefault="000524BF" w:rsidP="00017C82">
            <w:pPr>
              <w:pStyle w:val="Tablefont"/>
              <w:rPr>
                <w:b/>
              </w:rPr>
            </w:pPr>
            <w:r w:rsidRPr="00E82B18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88028D17E06E4E8C8966D15FB78B4542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591692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0985CF7E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6D75DDD3" w14:textId="1BEFDB6E" w:rsidR="006639B4" w:rsidRDefault="00303C9F" w:rsidP="000C139A">
      <w:r>
        <w:t xml:space="preserve">A </w:t>
      </w:r>
      <w:r w:rsidRPr="00303C9F">
        <w:t xml:space="preserve">TWA of </w:t>
      </w:r>
      <w:r>
        <w:t>0.1 mg/m</w:t>
      </w:r>
      <w:r>
        <w:rPr>
          <w:vertAlign w:val="superscript"/>
        </w:rPr>
        <w:t>3</w:t>
      </w:r>
      <w:r w:rsidRPr="00303C9F">
        <w:t xml:space="preserve"> is recommended to </w:t>
      </w:r>
      <w:r>
        <w:t xml:space="preserve">protect for </w:t>
      </w:r>
      <w:r w:rsidR="00BB5D04">
        <w:t xml:space="preserve">irritation </w:t>
      </w:r>
      <w:r w:rsidR="009E45AB">
        <w:t>of</w:t>
      </w:r>
      <w:r w:rsidR="00BB5D04">
        <w:t xml:space="preserve"> the</w:t>
      </w:r>
      <w:r>
        <w:t xml:space="preserve"> eye</w:t>
      </w:r>
      <w:r w:rsidR="009E45AB">
        <w:t>s</w:t>
      </w:r>
      <w:r>
        <w:t xml:space="preserve"> and skin, skin sensitisation and systemic effects in exposed workers.</w:t>
      </w:r>
    </w:p>
    <w:p w14:paraId="5DCBEBAD" w14:textId="77777777" w:rsidR="00C7155E" w:rsidRPr="004C23F4" w:rsidRDefault="00F10C97" w:rsidP="003365A5">
      <w:pPr>
        <w:pStyle w:val="Heading2"/>
      </w:pPr>
      <w:r>
        <w:t>Discussion and conclusions</w:t>
      </w:r>
    </w:p>
    <w:p w14:paraId="2C853920" w14:textId="5A6687AC" w:rsidR="009E45AB" w:rsidRDefault="00F54800" w:rsidP="006639B4">
      <w:r>
        <w:t xml:space="preserve">Picric acid </w:t>
      </w:r>
      <w:r w:rsidR="009E45AB">
        <w:t>is</w:t>
      </w:r>
      <w:r>
        <w:t xml:space="preserve"> used as an explosive</w:t>
      </w:r>
      <w:r w:rsidR="00BB5D04">
        <w:t>,</w:t>
      </w:r>
      <w:r>
        <w:t xml:space="preserve"> in match and battery manufacturing, in the leather</w:t>
      </w:r>
      <w:r w:rsidR="00591692">
        <w:t>, glass and copper</w:t>
      </w:r>
      <w:r>
        <w:t xml:space="preserve"> industry, in tex</w:t>
      </w:r>
      <w:r w:rsidR="00591692">
        <w:t>tiles, as a laboratory chemical and for</w:t>
      </w:r>
      <w:r>
        <w:t xml:space="preserve"> medicinal purposes. </w:t>
      </w:r>
    </w:p>
    <w:p w14:paraId="129915D2" w14:textId="77777777" w:rsidR="0052097C" w:rsidRDefault="00706A4F" w:rsidP="00706A4F">
      <w:r>
        <w:t xml:space="preserve">Critical effects </w:t>
      </w:r>
      <w:r w:rsidR="009E45AB">
        <w:t>o</w:t>
      </w:r>
      <w:r>
        <w:t xml:space="preserve">f exposure include </w:t>
      </w:r>
      <w:r w:rsidR="009E45AB">
        <w:t>irritation of the</w:t>
      </w:r>
      <w:r>
        <w:t xml:space="preserve"> eye</w:t>
      </w:r>
      <w:r w:rsidR="009E45AB">
        <w:t>s</w:t>
      </w:r>
      <w:r>
        <w:t xml:space="preserve"> and skin, skin sensitisation and systemic effects.</w:t>
      </w:r>
      <w:r w:rsidR="009E45AB">
        <w:t xml:space="preserve"> </w:t>
      </w:r>
    </w:p>
    <w:p w14:paraId="585A7274" w14:textId="19722FFA" w:rsidR="00706A4F" w:rsidRDefault="00706A4F" w:rsidP="00706A4F">
      <w:r>
        <w:t>Limited toxicological data</w:t>
      </w:r>
      <w:r w:rsidR="00591692">
        <w:t xml:space="preserve"> </w:t>
      </w:r>
      <w:r w:rsidR="00BB5D04">
        <w:t>are</w:t>
      </w:r>
      <w:r>
        <w:t xml:space="preserve"> available</w:t>
      </w:r>
      <w:r w:rsidR="0052097C">
        <w:t>, but n</w:t>
      </w:r>
      <w:r w:rsidR="00303C9F">
        <w:t xml:space="preserve">o inhalation data </w:t>
      </w:r>
      <w:r w:rsidR="00591692">
        <w:t xml:space="preserve">is </w:t>
      </w:r>
      <w:r w:rsidR="00303C9F">
        <w:t>available</w:t>
      </w:r>
      <w:r>
        <w:t>. Case reports of poisoning in workers describe symptoms such as headache, vertigo, nausea, vomiting and diarrh</w:t>
      </w:r>
      <w:r w:rsidR="00591692">
        <w:t>o</w:t>
      </w:r>
      <w:r>
        <w:t>ea.</w:t>
      </w:r>
      <w:r w:rsidR="000524BF">
        <w:t xml:space="preserve"> </w:t>
      </w:r>
      <w:r>
        <w:t xml:space="preserve">Irritation of the eyes, corneal injury and visual effects described as yellow-tainted vision </w:t>
      </w:r>
      <w:r w:rsidR="009E45AB">
        <w:t>a</w:t>
      </w:r>
      <w:r>
        <w:t xml:space="preserve">re reported following </w:t>
      </w:r>
      <w:r w:rsidR="009E45AB">
        <w:t xml:space="preserve">dust </w:t>
      </w:r>
      <w:r>
        <w:t xml:space="preserve">exposure </w:t>
      </w:r>
      <w:r w:rsidR="009E45AB">
        <w:t>to the</w:t>
      </w:r>
      <w:r>
        <w:t xml:space="preserve"> eyes</w:t>
      </w:r>
      <w:r w:rsidR="009E45AB">
        <w:t xml:space="preserve"> of</w:t>
      </w:r>
      <w:r>
        <w:t xml:space="preserve"> workers. Skin sensitising potential </w:t>
      </w:r>
      <w:r w:rsidR="009E45AB">
        <w:t>is</w:t>
      </w:r>
      <w:r>
        <w:t xml:space="preserve"> described in case reports and antiquated experiments in animals</w:t>
      </w:r>
      <w:r w:rsidR="00CB470B">
        <w:t xml:space="preserve">. In dogs, non-lethal doses </w:t>
      </w:r>
      <w:r w:rsidR="009E45AB">
        <w:t xml:space="preserve">of </w:t>
      </w:r>
      <w:r w:rsidR="00BB5D04">
        <w:rPr>
          <w:rFonts w:cs="Arial"/>
        </w:rPr>
        <w:t xml:space="preserve">up to </w:t>
      </w:r>
      <w:r w:rsidR="00CB470B">
        <w:t>50 mg/kg resulted in transitory changes in the kidneys</w:t>
      </w:r>
      <w:r>
        <w:t xml:space="preserve"> (ACGIH, 2018).</w:t>
      </w:r>
    </w:p>
    <w:p w14:paraId="5C19E779" w14:textId="6F52FD77" w:rsidR="00303C9F" w:rsidRDefault="00303C9F" w:rsidP="00706A4F">
      <w:r w:rsidRPr="00303C9F">
        <w:t xml:space="preserve">Given the limited available data, the TWA of </w:t>
      </w:r>
      <w:r>
        <w:t>0.1 mg/m</w:t>
      </w:r>
      <w:r>
        <w:rPr>
          <w:vertAlign w:val="superscript"/>
        </w:rPr>
        <w:t>3</w:t>
      </w:r>
      <w:r w:rsidRPr="00303C9F">
        <w:t xml:space="preserve"> </w:t>
      </w:r>
      <w:r w:rsidR="0052097C">
        <w:t xml:space="preserve">by </w:t>
      </w:r>
      <w:r w:rsidR="0052097C" w:rsidRPr="00303C9F">
        <w:t>ACGIH</w:t>
      </w:r>
      <w:r w:rsidR="0052097C">
        <w:t xml:space="preserve"> (2018) </w:t>
      </w:r>
      <w:r w:rsidRPr="00303C9F">
        <w:t>is recommended to be retained</w:t>
      </w:r>
      <w:r>
        <w:t xml:space="preserve"> </w:t>
      </w:r>
      <w:r w:rsidRPr="00303C9F">
        <w:t xml:space="preserve">to </w:t>
      </w:r>
      <w:r w:rsidR="00BB5D04">
        <w:t>protect for</w:t>
      </w:r>
      <w:r w:rsidRPr="00303C9F">
        <w:t xml:space="preserve"> </w:t>
      </w:r>
      <w:r>
        <w:t xml:space="preserve">potential </w:t>
      </w:r>
      <w:r w:rsidRPr="00303C9F">
        <w:t xml:space="preserve">irritant </w:t>
      </w:r>
      <w:r>
        <w:t xml:space="preserve">and systemic </w:t>
      </w:r>
      <w:r w:rsidRPr="00303C9F">
        <w:t xml:space="preserve">effects </w:t>
      </w:r>
      <w:r w:rsidR="00BB5D04">
        <w:t>in exposed workers</w:t>
      </w:r>
      <w:r>
        <w:t>.</w:t>
      </w:r>
      <w:r w:rsidR="006D6669">
        <w:t xml:space="preserve"> </w:t>
      </w:r>
      <w:r>
        <w:t>A</w:t>
      </w:r>
      <w:r w:rsidR="009E45AB">
        <w:t>n evaluation of additional sources is recommended at the next scheduled review</w:t>
      </w:r>
      <w:r w:rsidR="002B6E74">
        <w:t xml:space="preserve"> to evaluate </w:t>
      </w:r>
      <w:r w:rsidR="00B920BA">
        <w:t xml:space="preserve">sensitising </w:t>
      </w:r>
      <w:r w:rsidR="002B6E74">
        <w:t>potential</w:t>
      </w:r>
      <w:r>
        <w:t>.</w:t>
      </w:r>
    </w:p>
    <w:p w14:paraId="408C1EFD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4158FD9C" w14:textId="3B5B62DA" w:rsidR="00DC2424" w:rsidRPr="00265858" w:rsidRDefault="00DC2424" w:rsidP="00DC2424">
      <w:pPr>
        <w:rPr>
          <w:rFonts w:cs="Arial"/>
        </w:rPr>
      </w:pPr>
      <w:r w:rsidRPr="00265858">
        <w:rPr>
          <w:rFonts w:cs="Arial"/>
        </w:rPr>
        <w:t>Not classified as a carcinogen according to the Globally Harmonized System of</w:t>
      </w:r>
      <w:r w:rsidR="00706A4F">
        <w:rPr>
          <w:rFonts w:cs="Arial"/>
        </w:rPr>
        <w:t xml:space="preserve"> Classification and Labelling of</w:t>
      </w:r>
      <w:r w:rsidRPr="00265858">
        <w:rPr>
          <w:rFonts w:cs="Arial"/>
        </w:rPr>
        <w:t xml:space="preserve"> Chemicals (GHS). </w:t>
      </w:r>
    </w:p>
    <w:p w14:paraId="0E062E9B" w14:textId="33069BFD" w:rsidR="00DC2424" w:rsidRPr="00265858" w:rsidRDefault="00DC2424" w:rsidP="00DC2424">
      <w:pPr>
        <w:rPr>
          <w:rFonts w:cs="Arial"/>
        </w:rPr>
      </w:pPr>
      <w:r w:rsidRPr="00265858">
        <w:rPr>
          <w:rFonts w:cs="Arial"/>
        </w:rPr>
        <w:t xml:space="preserve">Not classified as a skin </w:t>
      </w:r>
      <w:r w:rsidR="00706A4F" w:rsidRPr="00265858">
        <w:rPr>
          <w:rFonts w:cs="Arial"/>
        </w:rPr>
        <w:t xml:space="preserve">sensitiser </w:t>
      </w:r>
      <w:r w:rsidRPr="00265858">
        <w:rPr>
          <w:rFonts w:cs="Arial"/>
        </w:rPr>
        <w:t>or respiratory sensitiser according to the GHS.</w:t>
      </w:r>
      <w:r w:rsidR="00706A4F">
        <w:rPr>
          <w:rFonts w:cs="Arial"/>
        </w:rPr>
        <w:t xml:space="preserve"> </w:t>
      </w:r>
      <w:r w:rsidR="00445CA8">
        <w:rPr>
          <w:rFonts w:cs="Arial"/>
        </w:rPr>
        <w:t>There are r</w:t>
      </w:r>
      <w:r w:rsidR="00706A4F">
        <w:rPr>
          <w:rFonts w:cs="Arial"/>
        </w:rPr>
        <w:t>eports suggest</w:t>
      </w:r>
      <w:r w:rsidR="00445CA8">
        <w:rPr>
          <w:rFonts w:cs="Arial"/>
        </w:rPr>
        <w:t>ing</w:t>
      </w:r>
      <w:r w:rsidR="00706A4F">
        <w:rPr>
          <w:rFonts w:cs="Arial"/>
        </w:rPr>
        <w:t xml:space="preserve"> skin sensitising potential and therefore</w:t>
      </w:r>
      <w:r w:rsidR="00445CA8">
        <w:rPr>
          <w:rFonts w:cs="Arial"/>
        </w:rPr>
        <w:t>,</w:t>
      </w:r>
      <w:r w:rsidR="00706A4F">
        <w:rPr>
          <w:rFonts w:cs="Arial"/>
        </w:rPr>
        <w:t xml:space="preserve"> </w:t>
      </w:r>
      <w:r w:rsidR="00445CA8">
        <w:rPr>
          <w:rFonts w:cs="Arial"/>
        </w:rPr>
        <w:t xml:space="preserve">a </w:t>
      </w:r>
      <w:r w:rsidR="00706A4F">
        <w:rPr>
          <w:rFonts w:cs="Arial"/>
        </w:rPr>
        <w:t>review of th</w:t>
      </w:r>
      <w:r w:rsidR="00B920BA">
        <w:rPr>
          <w:rFonts w:cs="Arial"/>
        </w:rPr>
        <w:t>is</w:t>
      </w:r>
      <w:r w:rsidR="00706A4F">
        <w:rPr>
          <w:rFonts w:cs="Arial"/>
        </w:rPr>
        <w:t xml:space="preserve"> classification is recommended. </w:t>
      </w:r>
    </w:p>
    <w:p w14:paraId="3DB04FED" w14:textId="6B694665" w:rsidR="009E45AB" w:rsidRDefault="00591692" w:rsidP="00941DF8">
      <w:pPr>
        <w:rPr>
          <w:rFonts w:cs="Arial"/>
        </w:rPr>
      </w:pPr>
      <w:r>
        <w:rPr>
          <w:rFonts w:cs="Arial"/>
        </w:rPr>
        <w:t>There are i</w:t>
      </w:r>
      <w:r w:rsidR="00DC2424" w:rsidRPr="00265858">
        <w:rPr>
          <w:rFonts w:cs="Arial"/>
        </w:rPr>
        <w:t xml:space="preserve">nsufficient </w:t>
      </w:r>
      <w:r>
        <w:rPr>
          <w:rFonts w:cs="Arial"/>
        </w:rPr>
        <w:t>data</w:t>
      </w:r>
      <w:r w:rsidR="00DC2424" w:rsidRPr="00265858">
        <w:rPr>
          <w:rFonts w:cs="Arial"/>
        </w:rPr>
        <w:t xml:space="preserve"> to recommend a skin notation.</w:t>
      </w:r>
      <w:r w:rsidR="009E45AB">
        <w:rPr>
          <w:rFonts w:cs="Arial"/>
        </w:rPr>
        <w:br w:type="page"/>
      </w:r>
    </w:p>
    <w:p w14:paraId="45C22BB9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451433C5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76EA37C7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3312E50F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25E7580F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126ACA80" w14:textId="39DD8B8C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DC2424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DC2424">
                  <w:t>TWA: 0.1 mg/m</w:t>
                </w:r>
                <w:r w:rsidR="00DC2424" w:rsidRPr="00DC2424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60D558DC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729FCD5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7B1DDAB0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3BED5D2" w14:textId="7C7A3638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C83F23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C83F23">
                  <w:t>TLV-TWA: 0.1 mg/m</w:t>
                </w:r>
                <w:r w:rsidR="00C83F23" w:rsidRPr="00C83F23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2941D50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B91B1E3" w14:textId="29D17376" w:rsidR="00C978F0" w:rsidRDefault="00F54800" w:rsidP="000524BF">
            <w:pPr>
              <w:pStyle w:val="Tabletextprimarysource"/>
            </w:pPr>
            <w:r>
              <w:t>TLV-TWA recommended to minimise the potential for eye and skin irritation, possible skin sensiti</w:t>
            </w:r>
            <w:r w:rsidR="009E45AB">
              <w:t>s</w:t>
            </w:r>
            <w:r>
              <w:t xml:space="preserve">ation and systemic effects (headache, vertigo, </w:t>
            </w:r>
            <w:r w:rsidR="00C44009">
              <w:t>visual effects</w:t>
            </w:r>
            <w:r>
              <w:t xml:space="preserve">, nausea, vomiting and </w:t>
            </w:r>
            <w:r w:rsidR="009E45AB">
              <w:t>diarrhoea</w:t>
            </w:r>
            <w:r>
              <w:t>)</w:t>
            </w:r>
            <w:r w:rsidR="000524BF">
              <w:t>.</w:t>
            </w:r>
          </w:p>
          <w:p w14:paraId="31B0E2E4" w14:textId="77777777" w:rsidR="00F54800" w:rsidRDefault="00F54800">
            <w:pPr>
              <w:pStyle w:val="Tabletextprimarysource"/>
            </w:pPr>
            <w:r>
              <w:t>Summary of data:</w:t>
            </w:r>
          </w:p>
          <w:p w14:paraId="457C6A02" w14:textId="49BE0E27" w:rsidR="00F54800" w:rsidRDefault="00F54800" w:rsidP="00591692">
            <w:pPr>
              <w:pStyle w:val="ListBullet"/>
              <w:spacing w:before="60" w:after="60"/>
              <w:ind w:left="720"/>
              <w:contextualSpacing w:val="0"/>
            </w:pPr>
            <w:r>
              <w:t>Limited data</w:t>
            </w:r>
            <w:r w:rsidR="006636D5">
              <w:t xml:space="preserve"> </w:t>
            </w:r>
            <w:r w:rsidR="00CD4613">
              <w:t>available</w:t>
            </w:r>
          </w:p>
          <w:p w14:paraId="049282F1" w14:textId="6BA9EFF1" w:rsidR="006636D5" w:rsidRDefault="006636D5" w:rsidP="00591692">
            <w:pPr>
              <w:pStyle w:val="ListBullet"/>
              <w:spacing w:before="60" w:after="60"/>
              <w:ind w:left="720"/>
              <w:contextualSpacing w:val="0"/>
            </w:pPr>
            <w:r>
              <w:t>No specific derivation of TWA provided</w:t>
            </w:r>
            <w:r w:rsidR="000524BF">
              <w:t>.</w:t>
            </w:r>
          </w:p>
          <w:p w14:paraId="6999B005" w14:textId="77777777" w:rsidR="00F54800" w:rsidRDefault="00F54800" w:rsidP="000524BF">
            <w:pPr>
              <w:pStyle w:val="Tabletextprimarysource"/>
            </w:pPr>
            <w:r>
              <w:t>Human data:</w:t>
            </w:r>
          </w:p>
          <w:p w14:paraId="723E7234" w14:textId="40E466DB" w:rsidR="00F54800" w:rsidRDefault="00F54800" w:rsidP="00591692">
            <w:pPr>
              <w:pStyle w:val="ListBullet"/>
              <w:spacing w:before="60" w:after="60"/>
              <w:ind w:left="720"/>
              <w:contextualSpacing w:val="0"/>
            </w:pPr>
            <w:r>
              <w:t>Ingestion of 1</w:t>
            </w:r>
            <w:r w:rsidR="000524BF">
              <w:t>–</w:t>
            </w:r>
            <w:r>
              <w:t>2 g caused severe poisoning</w:t>
            </w:r>
            <w:r w:rsidR="0052097C">
              <w:t>.</w:t>
            </w:r>
            <w:r>
              <w:t xml:space="preserve"> </w:t>
            </w:r>
            <w:r w:rsidR="0052097C">
              <w:t xml:space="preserve">No </w:t>
            </w:r>
            <w:r>
              <w:t>further information</w:t>
            </w:r>
          </w:p>
          <w:p w14:paraId="216AB598" w14:textId="707469BC" w:rsidR="00F54800" w:rsidRDefault="00C44009" w:rsidP="00591692">
            <w:pPr>
              <w:pStyle w:val="ListBullet"/>
              <w:spacing w:before="60" w:after="60"/>
              <w:ind w:left="720"/>
              <w:contextualSpacing w:val="0"/>
            </w:pPr>
            <w:r>
              <w:t>Skin contact with dry powder of picric acid or ammonium picrate powder reported to cause sensitisation dermatitis in workers; oedema, papules, vesicles and finally desquamation developed; no further information</w:t>
            </w:r>
          </w:p>
          <w:p w14:paraId="120CD942" w14:textId="0CF79D6F" w:rsidR="00C44009" w:rsidRDefault="00C44009" w:rsidP="00591692">
            <w:pPr>
              <w:pStyle w:val="ListBullet"/>
              <w:spacing w:before="60" w:after="60"/>
              <w:ind w:left="720"/>
              <w:contextualSpacing w:val="0"/>
            </w:pPr>
            <w:r>
              <w:t>Reported to cause irritation of the eyes, corneal injury and visual effects described as yellow-tainted vision</w:t>
            </w:r>
            <w:r w:rsidR="0052097C">
              <w:t xml:space="preserve">. No </w:t>
            </w:r>
            <w:r>
              <w:t>further information</w:t>
            </w:r>
          </w:p>
          <w:p w14:paraId="21B181F8" w14:textId="15F43179" w:rsidR="00C44009" w:rsidRDefault="00A379A5" w:rsidP="00591692">
            <w:pPr>
              <w:pStyle w:val="ListBullet"/>
              <w:spacing w:before="60" w:after="60"/>
              <w:ind w:left="720"/>
              <w:contextualSpacing w:val="0"/>
            </w:pPr>
            <w:r>
              <w:t>Systemic poisoning caused symptoms of headache, vertigo, nausea, vomiting and diarrh</w:t>
            </w:r>
            <w:r w:rsidR="00591692">
              <w:t>o</w:t>
            </w:r>
            <w:r>
              <w:t>ea</w:t>
            </w:r>
            <w:r w:rsidR="0052097C">
              <w:t xml:space="preserve">. No </w:t>
            </w:r>
            <w:r>
              <w:t>further information</w:t>
            </w:r>
            <w:r w:rsidR="000524BF">
              <w:t>.</w:t>
            </w:r>
          </w:p>
          <w:p w14:paraId="38331E14" w14:textId="77777777" w:rsidR="00A379A5" w:rsidRDefault="00A379A5" w:rsidP="000524BF">
            <w:pPr>
              <w:pStyle w:val="Tabletextprimarysource"/>
            </w:pPr>
            <w:r>
              <w:t>Animal data:</w:t>
            </w:r>
          </w:p>
          <w:p w14:paraId="21F9EB72" w14:textId="40EF2E41" w:rsidR="00A379A5" w:rsidRDefault="00CD4613" w:rsidP="00591692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In dogs, non-lethal doses of </w:t>
            </w:r>
            <w:r>
              <w:rPr>
                <w:rFonts w:cs="Arial"/>
              </w:rPr>
              <w:t>≤</w:t>
            </w:r>
            <w:r>
              <w:t xml:space="preserve">50 mg/kg resulted in transitory changes in the kidneys including </w:t>
            </w:r>
            <w:proofErr w:type="spellStart"/>
            <w:r>
              <w:t>glomerulitis</w:t>
            </w:r>
            <w:proofErr w:type="spellEnd"/>
            <w:r w:rsidR="000524BF">
              <w:t>.</w:t>
            </w:r>
            <w:r>
              <w:t xml:space="preserve"> </w:t>
            </w:r>
          </w:p>
          <w:p w14:paraId="3AC766E8" w14:textId="77777777" w:rsidR="00BB5D04" w:rsidRDefault="00BB5D04" w:rsidP="000524BF">
            <w:pPr>
              <w:pStyle w:val="Tabletextprimarysource"/>
            </w:pPr>
          </w:p>
          <w:p w14:paraId="281CF3D6" w14:textId="77777777" w:rsidR="002B04A9" w:rsidRDefault="002B04A9" w:rsidP="000524BF">
            <w:pPr>
              <w:pStyle w:val="Tabletextprimarysource"/>
            </w:pPr>
            <w:r>
              <w:t>Insufficient data to recommend a skin, sensitiser or carcinogenicity notation or TLV-STEL.</w:t>
            </w:r>
          </w:p>
          <w:p w14:paraId="435B8673" w14:textId="27028E61" w:rsidR="00BB5D04" w:rsidRPr="00DA352E" w:rsidRDefault="00BB5D04" w:rsidP="000524BF">
            <w:pPr>
              <w:pStyle w:val="Tabletextprimarysource"/>
            </w:pPr>
          </w:p>
        </w:tc>
      </w:tr>
      <w:tr w:rsidR="00C978F0" w:rsidRPr="00DA352E" w14:paraId="4094C090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D953811" w14:textId="2F91B623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C83F23">
                  <w:t>1958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C83F23">
                  <w:t>Not assigned</w:t>
                </w:r>
              </w:sdtContent>
            </w:sdt>
          </w:p>
        </w:tc>
      </w:tr>
      <w:tr w:rsidR="00C978F0" w:rsidRPr="00DA352E" w14:paraId="593CC24C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8FFE6E4" w14:textId="0373D5AA" w:rsidR="00C978F0" w:rsidRDefault="00A66F6F" w:rsidP="003365A5">
            <w:pPr>
              <w:pStyle w:val="Tabletextprimarysource"/>
            </w:pPr>
            <w:r>
              <w:t>Insufficient data therefore MAK from 1988 withdrawn</w:t>
            </w:r>
            <w:r w:rsidR="000524BF">
              <w:t>.</w:t>
            </w:r>
          </w:p>
          <w:p w14:paraId="04826285" w14:textId="0CC9AA35" w:rsidR="00A5241B" w:rsidRDefault="00A5241B" w:rsidP="003365A5">
            <w:pPr>
              <w:pStyle w:val="Tabletextprimarysource"/>
            </w:pPr>
            <w:r>
              <w:t>Summary of additional data:</w:t>
            </w:r>
          </w:p>
          <w:p w14:paraId="1C8A5B1B" w14:textId="77777777" w:rsidR="00A66F6F" w:rsidRDefault="00A66F6F" w:rsidP="00591692">
            <w:pPr>
              <w:pStyle w:val="ListBullet"/>
              <w:ind w:left="720"/>
            </w:pPr>
            <w:r>
              <w:t>Older evidence using techniques no longer used showed sensitisation of skin in animals</w:t>
            </w:r>
            <w:r w:rsidR="000524BF">
              <w:t>.</w:t>
            </w:r>
          </w:p>
          <w:p w14:paraId="25AC2CBB" w14:textId="61E80165" w:rsidR="00BB5D04" w:rsidRPr="00DA352E" w:rsidRDefault="00BB5D04" w:rsidP="009E45A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C978F0" w:rsidRPr="00DA352E" w14:paraId="3613A683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AF6B893" w14:textId="3C59E533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C83F23">
                  <w:t>2010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C83F23">
                  <w:t>Not assigned</w:t>
                </w:r>
              </w:sdtContent>
            </w:sdt>
          </w:p>
        </w:tc>
      </w:tr>
      <w:tr w:rsidR="00C978F0" w:rsidRPr="00DA352E" w14:paraId="15925BE4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F1001C3" w14:textId="4290CB9C" w:rsidR="00C978F0" w:rsidRDefault="00591692" w:rsidP="003365A5">
            <w:pPr>
              <w:pStyle w:val="Tabletextprimarysource"/>
            </w:pPr>
            <w:r>
              <w:t>A</w:t>
            </w:r>
            <w:r w:rsidR="007E54EC">
              <w:t>vailable toxicological data do not provide a scientific basis for establishment of a health</w:t>
            </w:r>
            <w:r w:rsidR="00445CA8">
              <w:t>-</w:t>
            </w:r>
            <w:r w:rsidR="007E54EC">
              <w:t>based OEL.</w:t>
            </w:r>
          </w:p>
          <w:p w14:paraId="2AE7B187" w14:textId="3A8A84A8" w:rsidR="00BB5D04" w:rsidRPr="00DA352E" w:rsidRDefault="00BB5D04" w:rsidP="003365A5">
            <w:pPr>
              <w:pStyle w:val="Tabletextprimarysource"/>
            </w:pPr>
          </w:p>
        </w:tc>
      </w:tr>
      <w:tr w:rsidR="00DA352E" w:rsidRPr="00DA352E" w14:paraId="53A42A11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ADBF71F" w14:textId="1772DDE1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C83F23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C83F23">
                  <w:t>NA</w:t>
                </w:r>
                <w:proofErr w:type="spellEnd"/>
              </w:sdtContent>
            </w:sdt>
          </w:p>
        </w:tc>
      </w:tr>
      <w:tr w:rsidR="00DA352E" w:rsidRPr="00DA352E" w14:paraId="6D34D8AF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BEEA4CB" w14:textId="0DD8888B" w:rsidR="00DA352E" w:rsidRPr="00DA352E" w:rsidRDefault="00C83F23" w:rsidP="003365A5">
            <w:pPr>
              <w:pStyle w:val="Tabletextprimarysource"/>
            </w:pPr>
            <w:r>
              <w:t>No report</w:t>
            </w:r>
            <w:r w:rsidR="000524BF">
              <w:t>.</w:t>
            </w:r>
          </w:p>
        </w:tc>
      </w:tr>
      <w:tr w:rsidR="00DA352E" w:rsidRPr="00DA352E" w14:paraId="32942B1C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F69A2B8" w14:textId="547C86A9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C83F23">
                  <w:t>2002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591692">
                  <w:t>TWA</w:t>
                </w:r>
                <w:r w:rsidR="00C83F23">
                  <w:t>: 0.1 mg/m</w:t>
                </w:r>
                <w:r w:rsidR="00C83F23" w:rsidRPr="00C83F23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DA352E" w:rsidRPr="00DA352E" w14:paraId="26C80784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414F857" w14:textId="77777777" w:rsidR="00DA352E" w:rsidRDefault="007E54EC" w:rsidP="003365A5">
            <w:pPr>
              <w:pStyle w:val="Tabletextprimarysource"/>
            </w:pPr>
            <w:r>
              <w:t>Administrative OEL; toxicological database insufficient to derive a health-based OEL.</w:t>
            </w:r>
            <w:r w:rsidR="000524BF">
              <w:t xml:space="preserve"> </w:t>
            </w:r>
          </w:p>
          <w:p w14:paraId="7946A8D6" w14:textId="1E01548A" w:rsidR="00BB5D04" w:rsidRPr="00DA352E" w:rsidRDefault="00BB5D04" w:rsidP="003365A5">
            <w:pPr>
              <w:pStyle w:val="Tabletextprimarysource"/>
            </w:pPr>
          </w:p>
        </w:tc>
      </w:tr>
    </w:tbl>
    <w:p w14:paraId="62D50A79" w14:textId="77777777" w:rsidR="00A20751" w:rsidRPr="004C23F4" w:rsidRDefault="00A20751" w:rsidP="003365A5">
      <w:pPr>
        <w:pStyle w:val="Heading3"/>
      </w:pPr>
      <w:bookmarkStart w:id="0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1"/>
        <w:gridCol w:w="423"/>
        <w:gridCol w:w="661"/>
        <w:gridCol w:w="6451"/>
      </w:tblGrid>
      <w:tr w:rsidR="004966BF" w:rsidRPr="00263255" w14:paraId="5FA1CDC9" w14:textId="77777777" w:rsidTr="001709CE">
        <w:trPr>
          <w:cantSplit/>
          <w:trHeight w:val="393"/>
          <w:tblHeader/>
        </w:trPr>
        <w:tc>
          <w:tcPr>
            <w:tcW w:w="1491" w:type="dxa"/>
            <w:shd w:val="clear" w:color="auto" w:fill="BFBFBF" w:themeFill="background1" w:themeFillShade="BF"/>
            <w:vAlign w:val="center"/>
          </w:tcPr>
          <w:p w14:paraId="21FFB4A7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69C22556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581F36B2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1" w:type="dxa"/>
            <w:shd w:val="clear" w:color="auto" w:fill="BFBFBF" w:themeFill="background1" w:themeFillShade="BF"/>
            <w:vAlign w:val="center"/>
          </w:tcPr>
          <w:p w14:paraId="40823E6E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7C9DA26E" w14:textId="77777777" w:rsidTr="001709CE">
        <w:trPr>
          <w:cantSplit/>
        </w:trPr>
        <w:tc>
          <w:tcPr>
            <w:tcW w:w="1491" w:type="dxa"/>
          </w:tcPr>
          <w:p w14:paraId="6423D8A6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4E3B4566" w14:textId="28DD9F63" w:rsidR="004966BF" w:rsidRPr="00CE617F" w:rsidRDefault="00DB6662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F96607">
                  <w:rPr>
                    <w:rStyle w:val="checkbox"/>
                  </w:rPr>
                  <w:t></w:t>
                </w:r>
              </w:sdtContent>
            </w:sdt>
          </w:p>
        </w:tc>
        <w:tc>
          <w:tcPr>
            <w:tcW w:w="661" w:type="dxa"/>
          </w:tcPr>
          <w:p w14:paraId="52E245E0" w14:textId="05651C17" w:rsidR="004966BF" w:rsidRPr="004C23F4" w:rsidRDefault="001709CE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ND</w:t>
            </w:r>
          </w:p>
        </w:tc>
        <w:tc>
          <w:tcPr>
            <w:tcW w:w="6451" w:type="dxa"/>
          </w:tcPr>
          <w:p w14:paraId="4D9F8AD3" w14:textId="46FAEF4C" w:rsidR="004966BF" w:rsidRPr="004C23F4" w:rsidRDefault="001709CE" w:rsidP="009E45AB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 w:rsidRPr="001709CE">
              <w:rPr>
                <w:rStyle w:val="checkbox"/>
                <w:rFonts w:ascii="Arial" w:hAnsi="Arial" w:cs="Arial"/>
              </w:rPr>
              <w:t xml:space="preserve">Human health tier I </w:t>
            </w:r>
            <w:r w:rsidRPr="00591692">
              <w:t>assessment</w:t>
            </w:r>
            <w:r>
              <w:rPr>
                <w:rStyle w:val="checkbox"/>
                <w:rFonts w:ascii="Arial" w:hAnsi="Arial" w:cs="Arial"/>
              </w:rPr>
              <w:t>; no further information</w:t>
            </w:r>
            <w:r w:rsidR="000524BF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4CB6D907" w14:textId="77777777" w:rsidTr="001709CE">
        <w:trPr>
          <w:cantSplit/>
        </w:trPr>
        <w:tc>
          <w:tcPr>
            <w:tcW w:w="1491" w:type="dxa"/>
          </w:tcPr>
          <w:p w14:paraId="5287C86B" w14:textId="77777777" w:rsidR="004966BF" w:rsidRPr="004C23F4" w:rsidRDefault="004966BF" w:rsidP="00224EE2">
            <w:pPr>
              <w:pStyle w:val="Tablefont"/>
            </w:pPr>
            <w:r>
              <w:t>ECHA</w:t>
            </w:r>
          </w:p>
        </w:tc>
        <w:tc>
          <w:tcPr>
            <w:tcW w:w="423" w:type="dxa"/>
          </w:tcPr>
          <w:p w14:paraId="3E2081CB" w14:textId="6D047EC6" w:rsidR="004966BF" w:rsidRPr="00CE617F" w:rsidRDefault="00DB6662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EA32968BF93744FAABC5FC124DBE04B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1709CE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0020292F" w14:textId="3812A6D1" w:rsidR="004966BF" w:rsidRPr="004C23F4" w:rsidRDefault="001709CE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2019</w:t>
            </w:r>
          </w:p>
        </w:tc>
        <w:tc>
          <w:tcPr>
            <w:tcW w:w="6451" w:type="dxa"/>
          </w:tcPr>
          <w:p w14:paraId="6CD89AC8" w14:textId="23BB164B" w:rsidR="004966BF" w:rsidRPr="004C23F4" w:rsidRDefault="001709CE" w:rsidP="009E45AB">
            <w:pPr>
              <w:pStyle w:val="ListBullet"/>
              <w:numPr>
                <w:ilvl w:val="0"/>
                <w:numId w:val="10"/>
              </w:numPr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 xml:space="preserve">No additional </w:t>
            </w:r>
            <w:r w:rsidRPr="00591692">
              <w:t>information</w:t>
            </w:r>
            <w:r w:rsidR="000524BF">
              <w:t>.</w:t>
            </w:r>
          </w:p>
        </w:tc>
      </w:tr>
    </w:tbl>
    <w:bookmarkEnd w:id="0"/>
    <w:p w14:paraId="5CEEC1BA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786E7F39" w14:textId="77777777" w:rsidTr="001709CE">
        <w:trPr>
          <w:trHeight w:val="454"/>
          <w:tblHeader/>
        </w:trPr>
        <w:tc>
          <w:tcPr>
            <w:tcW w:w="6597" w:type="dxa"/>
            <w:vAlign w:val="center"/>
          </w:tcPr>
          <w:p w14:paraId="4E8AE0C0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40DCF9F8" w14:textId="78022812" w:rsidR="002E0D61" w:rsidRDefault="001709CE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74DD610A" w14:textId="77777777" w:rsidTr="001709CE">
        <w:trPr>
          <w:trHeight w:val="454"/>
        </w:trPr>
        <w:tc>
          <w:tcPr>
            <w:tcW w:w="6597" w:type="dxa"/>
            <w:vAlign w:val="center"/>
          </w:tcPr>
          <w:p w14:paraId="4213AFA2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0845B27F" w14:textId="4CA10930" w:rsidR="008A36CF" w:rsidRDefault="001709CE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9E45AB" w14:paraId="691DA33E" w14:textId="77777777" w:rsidTr="00990B5E">
        <w:trPr>
          <w:trHeight w:val="454"/>
        </w:trPr>
        <w:sdt>
          <w:sdtPr>
            <w:rPr>
              <w:b/>
            </w:rPr>
            <w:id w:val="1830936485"/>
            <w:placeholder>
              <w:docPart w:val="13C9BF3A5C7D46A6A58A538A07DF6F54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260A02E4" w14:textId="3C06C0A4" w:rsidR="009E45AB" w:rsidRDefault="009E45AB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1"/>
    <w:p w14:paraId="797E6381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A2EACDB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00BC415B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5123EC57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4F0EC665" w14:textId="77777777" w:rsidTr="00812887">
        <w:trPr>
          <w:cantSplit/>
        </w:trPr>
        <w:tc>
          <w:tcPr>
            <w:tcW w:w="3227" w:type="dxa"/>
          </w:tcPr>
          <w:p w14:paraId="1BAA3E67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6D28BE05" w14:textId="1793EEEC" w:rsidR="00687890" w:rsidRPr="00DD2F9B" w:rsidRDefault="00C83F23" w:rsidP="00DD2F9B">
            <w:pPr>
              <w:pStyle w:val="Tablefont"/>
            </w:pPr>
            <w:r w:rsidRPr="00C83F23">
              <w:t>—</w:t>
            </w:r>
          </w:p>
        </w:tc>
      </w:tr>
      <w:tr w:rsidR="007925F0" w:rsidRPr="004C23F4" w14:paraId="6EC792B6" w14:textId="77777777" w:rsidTr="00812887">
        <w:trPr>
          <w:cantSplit/>
        </w:trPr>
        <w:tc>
          <w:tcPr>
            <w:tcW w:w="3227" w:type="dxa"/>
          </w:tcPr>
          <w:p w14:paraId="04DDDED8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4EBAC941" w14:textId="29931601" w:rsidR="007925F0" w:rsidRPr="00DD2F9B" w:rsidRDefault="00C83F23" w:rsidP="00DD2F9B">
            <w:pPr>
              <w:pStyle w:val="Tablefont"/>
            </w:pPr>
            <w:r w:rsidRPr="00C83F23">
              <w:t>—</w:t>
            </w:r>
          </w:p>
        </w:tc>
      </w:tr>
      <w:tr w:rsidR="00AF483F" w:rsidRPr="004C23F4" w14:paraId="29292F95" w14:textId="77777777" w:rsidTr="00812887">
        <w:trPr>
          <w:cantSplit/>
        </w:trPr>
        <w:tc>
          <w:tcPr>
            <w:tcW w:w="3227" w:type="dxa"/>
          </w:tcPr>
          <w:p w14:paraId="7954309F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2DDA422B" w14:textId="5D717A66" w:rsidR="00AF483F" w:rsidRPr="00DD2F9B" w:rsidRDefault="00C83F23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67764BB2" w14:textId="77777777" w:rsidTr="00812887">
        <w:trPr>
          <w:cantSplit/>
        </w:trPr>
        <w:tc>
          <w:tcPr>
            <w:tcW w:w="3227" w:type="dxa"/>
          </w:tcPr>
          <w:p w14:paraId="2C13374E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783D6C72" w14:textId="01B61409" w:rsidR="00687890" w:rsidRPr="00DD2F9B" w:rsidRDefault="00C83F23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73ED83AA" w14:textId="77777777" w:rsidTr="00812887">
        <w:trPr>
          <w:cantSplit/>
        </w:trPr>
        <w:tc>
          <w:tcPr>
            <w:tcW w:w="3227" w:type="dxa"/>
          </w:tcPr>
          <w:p w14:paraId="4042D64A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5F239A91" w14:textId="4235B7C1" w:rsidR="00E41A26" w:rsidRPr="00DD2F9B" w:rsidRDefault="00C83F23" w:rsidP="00DD2F9B">
            <w:pPr>
              <w:pStyle w:val="Tablefont"/>
            </w:pPr>
            <w:r w:rsidRPr="00C83F23">
              <w:t>—</w:t>
            </w:r>
          </w:p>
        </w:tc>
      </w:tr>
      <w:tr w:rsidR="002E0D61" w:rsidRPr="004C23F4" w14:paraId="3C60148C" w14:textId="77777777" w:rsidTr="00812887">
        <w:trPr>
          <w:cantSplit/>
        </w:trPr>
        <w:tc>
          <w:tcPr>
            <w:tcW w:w="3227" w:type="dxa"/>
          </w:tcPr>
          <w:p w14:paraId="79E10C89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9AAE6AB" w14:textId="239330DB" w:rsidR="002E0D61" w:rsidRPr="00DD2F9B" w:rsidRDefault="00C83F23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C1C3578" w14:textId="77777777" w:rsidTr="00812887">
        <w:trPr>
          <w:cantSplit/>
        </w:trPr>
        <w:tc>
          <w:tcPr>
            <w:tcW w:w="3227" w:type="dxa"/>
          </w:tcPr>
          <w:p w14:paraId="4D012450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3FDAE8A7" w14:textId="58116D02" w:rsidR="002E0D61" w:rsidRPr="00DD2F9B" w:rsidRDefault="00C83F23" w:rsidP="00DD2F9B">
            <w:pPr>
              <w:pStyle w:val="Tablefont"/>
            </w:pPr>
            <w:proofErr w:type="spellStart"/>
            <w:r w:rsidRPr="00C83F23">
              <w:t>Sh</w:t>
            </w:r>
            <w:proofErr w:type="spellEnd"/>
            <w:r w:rsidRPr="00C83F23">
              <w:t xml:space="preserve"> (dermal sensitiser)</w:t>
            </w:r>
            <w:r>
              <w:t xml:space="preserve">, </w:t>
            </w:r>
            <w:r w:rsidRPr="00C83F23">
              <w:t>H (skin)</w:t>
            </w:r>
            <w:r>
              <w:t xml:space="preserve">, </w:t>
            </w:r>
            <w:r w:rsidRPr="00C83F23">
              <w:t>Carcinogenicity – 3B</w:t>
            </w:r>
          </w:p>
        </w:tc>
      </w:tr>
      <w:tr w:rsidR="002E0D61" w:rsidRPr="004C23F4" w14:paraId="0817C95F" w14:textId="77777777" w:rsidTr="00812887">
        <w:trPr>
          <w:cantSplit/>
        </w:trPr>
        <w:tc>
          <w:tcPr>
            <w:tcW w:w="3227" w:type="dxa"/>
          </w:tcPr>
          <w:p w14:paraId="713C1E86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2A6BE408" w14:textId="1A099B02" w:rsidR="002E0D61" w:rsidRPr="00DD2F9B" w:rsidRDefault="00773B46" w:rsidP="00DD2F9B">
            <w:pPr>
              <w:pStyle w:val="Tablefont"/>
            </w:pPr>
            <w:r w:rsidRPr="00773B46">
              <w:t>Sensitisation (dermal)</w:t>
            </w:r>
          </w:p>
        </w:tc>
      </w:tr>
      <w:tr w:rsidR="002E0D61" w:rsidRPr="004C23F4" w14:paraId="52A51811" w14:textId="77777777" w:rsidTr="00812887">
        <w:trPr>
          <w:cantSplit/>
        </w:trPr>
        <w:tc>
          <w:tcPr>
            <w:tcW w:w="3227" w:type="dxa"/>
          </w:tcPr>
          <w:p w14:paraId="1394F969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5530F7F3" w14:textId="18494C33" w:rsidR="002E0D61" w:rsidRPr="00DD2F9B" w:rsidRDefault="00773B46" w:rsidP="00DD2F9B">
            <w:pPr>
              <w:pStyle w:val="Tablefont"/>
            </w:pPr>
            <w:r w:rsidRPr="00773B46">
              <w:t>Skin sensitiser</w:t>
            </w:r>
          </w:p>
        </w:tc>
      </w:tr>
      <w:tr w:rsidR="00386093" w:rsidRPr="004C23F4" w14:paraId="52B3FAB5" w14:textId="77777777" w:rsidTr="00812887">
        <w:trPr>
          <w:cantSplit/>
        </w:trPr>
        <w:tc>
          <w:tcPr>
            <w:tcW w:w="3227" w:type="dxa"/>
          </w:tcPr>
          <w:p w14:paraId="22992882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68B3BF04" w14:textId="44A2C19F" w:rsidR="00386093" w:rsidRPr="00DD2F9B" w:rsidRDefault="00773B46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9CC459C" w14:textId="77777777" w:rsidTr="00812887">
        <w:trPr>
          <w:cantSplit/>
        </w:trPr>
        <w:tc>
          <w:tcPr>
            <w:tcW w:w="3227" w:type="dxa"/>
          </w:tcPr>
          <w:p w14:paraId="5DA5CE10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3CDF33A0" w14:textId="72A019A1" w:rsidR="00386093" w:rsidRPr="00DD2F9B" w:rsidRDefault="00773B46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0C974C43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235570F8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4A142F30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1FDBB0A3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0AE9AE5A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03631357" w14:textId="56187634" w:rsidR="00932DCE" w:rsidRPr="004C23F4" w:rsidRDefault="0003065C" w:rsidP="00F9496B">
            <w:pPr>
              <w:pStyle w:val="Tablefont"/>
            </w:pPr>
            <w:r>
              <w:t>Insufficient data</w:t>
            </w:r>
            <w:r w:rsidR="000524BF">
              <w:t xml:space="preserve"> to assign a skin notation</w:t>
            </w:r>
            <w:r w:rsidR="009E45AB">
              <w:t>.</w:t>
            </w:r>
          </w:p>
        </w:tc>
      </w:tr>
    </w:tbl>
    <w:bookmarkEnd w:id="3"/>
    <w:p w14:paraId="41D25995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1B4AF866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3DC38D62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1213C3CB" w14:textId="4F0DDF08" w:rsidR="00EB3D1B" w:rsidRDefault="00773B46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262816A1" w14:textId="77777777" w:rsidR="00687890" w:rsidRPr="004C23F4" w:rsidRDefault="00B479A9" w:rsidP="00474E33">
      <w:pPr>
        <w:pStyle w:val="Heading2"/>
      </w:pPr>
      <w:r w:rsidRPr="004C23F4">
        <w:lastRenderedPageBreak/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0D70A80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AF8F374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6BA0A897" w14:textId="7649AABB" w:rsidR="001B79E5" w:rsidRDefault="00773B46" w:rsidP="001B79E5">
                <w:pPr>
                  <w:pStyle w:val="Tablefont"/>
                </w:pPr>
                <w:r w:rsidRPr="00773B46">
                  <w:t>229.1</w:t>
                </w:r>
                <w:r>
                  <w:t>0</w:t>
                </w:r>
              </w:p>
            </w:tc>
          </w:sdtContent>
        </w:sdt>
      </w:tr>
      <w:tr w:rsidR="00A31D99" w:rsidRPr="004C23F4" w14:paraId="68EB47F1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5EA3802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7573720D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4984E55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533E60F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30D8A71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7324C30C" w14:textId="77777777" w:rsidTr="00EA6243">
        <w:trPr>
          <w:cantSplit/>
        </w:trPr>
        <w:tc>
          <w:tcPr>
            <w:tcW w:w="4077" w:type="dxa"/>
            <w:vAlign w:val="center"/>
          </w:tcPr>
          <w:p w14:paraId="0A5F4813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45CB1FC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7D1E8CF3" w14:textId="77777777" w:rsidTr="00EA6243">
        <w:trPr>
          <w:cantSplit/>
        </w:trPr>
        <w:tc>
          <w:tcPr>
            <w:tcW w:w="4077" w:type="dxa"/>
            <w:vAlign w:val="center"/>
          </w:tcPr>
          <w:p w14:paraId="645B8D88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7518315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2F630211" w14:textId="77777777" w:rsidTr="00EA6243">
        <w:trPr>
          <w:cantSplit/>
        </w:trPr>
        <w:tc>
          <w:tcPr>
            <w:tcW w:w="4077" w:type="dxa"/>
            <w:vAlign w:val="center"/>
          </w:tcPr>
          <w:p w14:paraId="18123BB1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0E88C10E" w14:textId="77777777" w:rsidR="00E06F40" w:rsidRPr="00A006A0" w:rsidRDefault="00DB6662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045300B3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0D810700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7F4E812E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01BEBDB9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2E57094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29F64599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67D8CAB5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371C83AE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5BF4809B" w14:textId="089FE9D6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1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79DA7B99" w14:textId="219AABEB" w:rsidR="00773B46" w:rsidRDefault="00773B46" w:rsidP="00084859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(2002) </w:t>
      </w:r>
      <w:r w:rsidRPr="00773B46">
        <w:t>Picric acid</w:t>
      </w:r>
      <w:r>
        <w:t xml:space="preserve"> – MAK value documentation.</w:t>
      </w:r>
    </w:p>
    <w:p w14:paraId="0BD5C710" w14:textId="5265303F" w:rsidR="00773B46" w:rsidRDefault="00773B46" w:rsidP="00084859">
      <w:r>
        <w:t xml:space="preserve">European Chemicals Agency (ECHA) (2019) </w:t>
      </w:r>
      <w:r w:rsidRPr="00773B46">
        <w:t>picric acid</w:t>
      </w:r>
      <w:r>
        <w:t xml:space="preserve"> – REACH assessment.</w:t>
      </w:r>
    </w:p>
    <w:p w14:paraId="1BFA95A0" w14:textId="0CF72CC9" w:rsidR="00773B46" w:rsidRDefault="00773B46" w:rsidP="00084859">
      <w:r w:rsidRPr="002022B6">
        <w:t>EU Scientific Committee on Occupational Exposure Limits (SCOEL)</w:t>
      </w:r>
      <w:r>
        <w:t xml:space="preserve"> (</w:t>
      </w:r>
      <w:r w:rsidRPr="00773B46">
        <w:t>2010</w:t>
      </w:r>
      <w:r>
        <w:t xml:space="preserve">) Recommendation from the Scientific Committee on Occupational Exposure Limits for </w:t>
      </w:r>
      <w:r w:rsidRPr="00773B46">
        <w:t>picric acid</w:t>
      </w:r>
      <w:r>
        <w:t>. SCOEL/</w:t>
      </w:r>
      <w:r w:rsidRPr="00773B46">
        <w:t>SUM/92</w:t>
      </w:r>
      <w:r>
        <w:t>.</w:t>
      </w:r>
    </w:p>
    <w:p w14:paraId="380C0AFB" w14:textId="442B4A49" w:rsidR="00773B46" w:rsidRDefault="00773B46" w:rsidP="00084859">
      <w:r w:rsidRPr="002022B6">
        <w:t>Health Council of the Netherlands</w:t>
      </w:r>
      <w:r>
        <w:t xml:space="preserve"> (HCOTN) (</w:t>
      </w:r>
      <w:r w:rsidRPr="00773B46">
        <w:t>2002</w:t>
      </w:r>
      <w:r>
        <w:t xml:space="preserve">) </w:t>
      </w:r>
      <w:r w:rsidRPr="00773B46">
        <w:t>Picric acid</w:t>
      </w:r>
      <w:r w:rsidRPr="005F7416">
        <w:t xml:space="preserve">. Health-based calculated occupational cancer risk values. The Hague: Health Council of the Netherlands; publication no. </w:t>
      </w:r>
      <w:r w:rsidRPr="00773B46">
        <w:t>2000/15OSH/052</w:t>
      </w:r>
      <w:r>
        <w:t>.</w:t>
      </w:r>
    </w:p>
    <w:p w14:paraId="0D002424" w14:textId="75E1910F" w:rsidR="00773B46" w:rsidRPr="00351FE0" w:rsidRDefault="00773B46" w:rsidP="00084859">
      <w:r w:rsidRPr="00D86E03">
        <w:t>US National Institute for Occupational Safety and Health (NIOSH)</w:t>
      </w:r>
      <w:r>
        <w:t xml:space="preserve"> (</w:t>
      </w:r>
      <w:r w:rsidRPr="00773B46">
        <w:t>1994</w:t>
      </w:r>
      <w:r>
        <w:t xml:space="preserve">) </w:t>
      </w:r>
      <w:proofErr w:type="gramStart"/>
      <w:r>
        <w:t>Immediately</w:t>
      </w:r>
      <w:proofErr w:type="gramEnd"/>
      <w:r>
        <w:t xml:space="preserve"> dangerous to life or health concentrations – </w:t>
      </w:r>
      <w:r w:rsidRPr="00773B46">
        <w:t>picric acid</w:t>
      </w:r>
      <w:r>
        <w:t>.</w:t>
      </w:r>
    </w:p>
    <w:sectPr w:rsidR="00773B46" w:rsidRPr="00351FE0" w:rsidSect="005916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8C788" w14:textId="77777777" w:rsidR="00C358E5" w:rsidRDefault="00C358E5" w:rsidP="00F43AD5">
      <w:pPr>
        <w:spacing w:after="0" w:line="240" w:lineRule="auto"/>
      </w:pPr>
      <w:r>
        <w:separator/>
      </w:r>
    </w:p>
  </w:endnote>
  <w:endnote w:type="continuationSeparator" w:id="0">
    <w:p w14:paraId="0BB0AF36" w14:textId="77777777" w:rsidR="00C358E5" w:rsidRDefault="00C358E5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A4BB3" w14:textId="77777777" w:rsidR="00DB6662" w:rsidRDefault="00DB66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4878331"/>
      <w:docPartObj>
        <w:docPartGallery w:val="Page Numbers (Bottom of Page)"/>
        <w:docPartUnique/>
      </w:docPartObj>
    </w:sdtPr>
    <w:sdtEndPr/>
    <w:sdtContent>
      <w:p w14:paraId="29AD11F2" w14:textId="77777777" w:rsidR="00591692" w:rsidRDefault="00591692" w:rsidP="00591692">
        <w:pPr>
          <w:pStyle w:val="Footer"/>
          <w:rPr>
            <w:b/>
            <w:sz w:val="18"/>
            <w:szCs w:val="18"/>
          </w:rPr>
        </w:pPr>
      </w:p>
      <w:p w14:paraId="6F96359F" w14:textId="77777777" w:rsidR="00591692" w:rsidRDefault="00591692" w:rsidP="00591692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Picric Acid (88-89-1</w:t>
        </w:r>
        <w:proofErr w:type="gramStart"/>
        <w:r>
          <w:rPr>
            <w:b/>
            <w:sz w:val="18"/>
            <w:szCs w:val="18"/>
          </w:rPr>
          <w:t>)</w:t>
        </w:r>
        <w:proofErr w:type="gramEnd"/>
        <w:r>
          <w:rPr>
            <w:sz w:val="18"/>
            <w:szCs w:val="18"/>
          </w:rPr>
          <w:br/>
          <w:t xml:space="preserve">Safe Work Australia </w:t>
        </w:r>
        <w:r>
          <w:rPr>
            <w:rFonts w:ascii="Courier New" w:hAnsi="Courier New" w:cs="Courier New"/>
            <w:sz w:val="18"/>
            <w:szCs w:val="18"/>
          </w:rPr>
          <w:t>—</w:t>
        </w:r>
        <w:r>
          <w:rPr>
            <w:sz w:val="18"/>
            <w:szCs w:val="18"/>
          </w:rPr>
          <w:t xml:space="preserve"> 2019</w:t>
        </w:r>
        <w:bookmarkStart w:id="5" w:name="_GoBack"/>
        <w:bookmarkEnd w:id="5"/>
      </w:p>
      <w:p w14:paraId="70940441" w14:textId="103B237A" w:rsidR="00591692" w:rsidRDefault="00591692" w:rsidP="00591692">
        <w:pPr>
          <w:pStyle w:val="Footer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PAGE   \* MERGEFORMAT </w:instrText>
        </w:r>
        <w:r>
          <w:rPr>
            <w:sz w:val="18"/>
            <w:szCs w:val="18"/>
          </w:rPr>
          <w:fldChar w:fldCharType="separate"/>
        </w:r>
        <w:r w:rsidR="00DB6662">
          <w:rPr>
            <w:noProof/>
            <w:sz w:val="18"/>
            <w:szCs w:val="18"/>
          </w:rPr>
          <w:t>2</w:t>
        </w:r>
        <w:r>
          <w:rPr>
            <w:noProof/>
            <w:sz w:val="18"/>
            <w:szCs w:val="18"/>
          </w:rPr>
          <w:fldChar w:fldCharType="end"/>
        </w:r>
      </w:p>
    </w:sdtContent>
  </w:sdt>
  <w:p w14:paraId="7974163D" w14:textId="77777777" w:rsidR="00591692" w:rsidRDefault="00591692" w:rsidP="00591692">
    <w:pPr>
      <w:pStyle w:val="Footer"/>
    </w:pPr>
  </w:p>
  <w:p w14:paraId="766455F9" w14:textId="77777777" w:rsidR="00591692" w:rsidRDefault="005916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/>
    <w:sdtContent>
      <w:p w14:paraId="107A8AC2" w14:textId="77777777" w:rsidR="00591692" w:rsidRDefault="00591692" w:rsidP="00591692">
        <w:pPr>
          <w:pStyle w:val="Footer"/>
          <w:rPr>
            <w:b/>
            <w:sz w:val="18"/>
            <w:szCs w:val="18"/>
          </w:rPr>
        </w:pPr>
      </w:p>
      <w:p w14:paraId="4829DDB0" w14:textId="26227A7C" w:rsidR="00591692" w:rsidRDefault="00591692" w:rsidP="00591692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Picric Acid (88-89-1</w:t>
        </w:r>
        <w:proofErr w:type="gramStart"/>
        <w:r>
          <w:rPr>
            <w:b/>
            <w:sz w:val="18"/>
            <w:szCs w:val="18"/>
          </w:rPr>
          <w:t>)</w:t>
        </w:r>
        <w:proofErr w:type="gramEnd"/>
        <w:r>
          <w:rPr>
            <w:sz w:val="18"/>
            <w:szCs w:val="18"/>
          </w:rPr>
          <w:br/>
          <w:t xml:space="preserve">Safe Work Australia </w:t>
        </w:r>
        <w:r>
          <w:rPr>
            <w:rFonts w:ascii="Courier New" w:hAnsi="Courier New" w:cs="Courier New"/>
            <w:sz w:val="18"/>
            <w:szCs w:val="18"/>
          </w:rPr>
          <w:t>—</w:t>
        </w:r>
        <w:r>
          <w:rPr>
            <w:sz w:val="18"/>
            <w:szCs w:val="18"/>
          </w:rPr>
          <w:t xml:space="preserve"> 2019</w:t>
        </w:r>
      </w:p>
      <w:p w14:paraId="092A7F09" w14:textId="14623A86" w:rsidR="00591692" w:rsidRDefault="00591692" w:rsidP="00591692">
        <w:pPr>
          <w:pStyle w:val="Footer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PAGE   \* MERGEFORMAT </w:instrText>
        </w:r>
        <w:r>
          <w:rPr>
            <w:sz w:val="18"/>
            <w:szCs w:val="18"/>
          </w:rPr>
          <w:fldChar w:fldCharType="separate"/>
        </w:r>
        <w:r w:rsidR="00DB6662">
          <w:rPr>
            <w:noProof/>
            <w:sz w:val="18"/>
            <w:szCs w:val="18"/>
          </w:rPr>
          <w:t>1</w:t>
        </w:r>
        <w:r>
          <w:rPr>
            <w:noProof/>
            <w:sz w:val="18"/>
            <w:szCs w:val="18"/>
          </w:rPr>
          <w:fldChar w:fldCharType="end"/>
        </w:r>
      </w:p>
    </w:sdtContent>
  </w:sdt>
  <w:p w14:paraId="08B3FB85" w14:textId="77777777" w:rsidR="00591692" w:rsidRDefault="005916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B2F87" w14:textId="77777777" w:rsidR="00C358E5" w:rsidRDefault="00C358E5" w:rsidP="00F43AD5">
      <w:pPr>
        <w:spacing w:after="0" w:line="240" w:lineRule="auto"/>
      </w:pPr>
      <w:r>
        <w:separator/>
      </w:r>
    </w:p>
  </w:footnote>
  <w:footnote w:type="continuationSeparator" w:id="0">
    <w:p w14:paraId="628F4988" w14:textId="77777777" w:rsidR="00C358E5" w:rsidRDefault="00C358E5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E5913" w14:textId="77777777" w:rsidR="00DB6662" w:rsidRDefault="00DB66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0B4CA" w14:textId="69AB6B28" w:rsidR="00DB6662" w:rsidRDefault="00DB6662" w:rsidP="00DB6662">
    <w:pPr>
      <w:pStyle w:val="Header"/>
      <w:jc w:val="right"/>
    </w:pPr>
    <w:sdt>
      <w:sdtPr>
        <w:id w:val="-1162389943"/>
        <w:docPartObj>
          <w:docPartGallery w:val="Watermarks"/>
          <w:docPartUnique/>
        </w:docPartObj>
      </w:sdtPr>
      <w:sdtContent>
        <w:r>
          <w:pict w14:anchorId="46A31BE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8194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7A72549E" wp14:editId="06C90AAE">
          <wp:extent cx="2945130" cy="595630"/>
          <wp:effectExtent l="0" t="0" r="762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048D7C" w14:textId="77777777" w:rsidR="00DB6662" w:rsidRDefault="00DB6662" w:rsidP="00DB6662">
    <w:pPr>
      <w:pStyle w:val="Header"/>
      <w:jc w:val="right"/>
    </w:pPr>
  </w:p>
  <w:p w14:paraId="07CC4569" w14:textId="4AFA526D" w:rsidR="008A36CF" w:rsidRDefault="008A36CF" w:rsidP="00F43AD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4866E" w14:textId="03CDBEBB" w:rsidR="00DB6662" w:rsidRDefault="00DB6662" w:rsidP="00DB6662">
    <w:pPr>
      <w:pStyle w:val="Header"/>
      <w:jc w:val="right"/>
    </w:pPr>
    <w:sdt>
      <w:sdtPr>
        <w:id w:val="620417911"/>
        <w:docPartObj>
          <w:docPartGallery w:val="Watermarks"/>
          <w:docPartUnique/>
        </w:docPartObj>
      </w:sdtPr>
      <w:sdtContent>
        <w:r>
          <w:pict w14:anchorId="447B104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402C09E6" wp14:editId="3E6A01A4">
          <wp:extent cx="2945130" cy="595630"/>
          <wp:effectExtent l="0" t="0" r="7620" b="0"/>
          <wp:docPr id="2" name="Picture 2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262DEA" w14:textId="77777777" w:rsidR="00DB6662" w:rsidRDefault="00DB6662" w:rsidP="00DB6662">
    <w:pPr>
      <w:pStyle w:val="Header"/>
      <w:jc w:val="right"/>
    </w:pPr>
  </w:p>
  <w:p w14:paraId="085E92FB" w14:textId="40A9930C" w:rsidR="00591692" w:rsidRPr="00DB6662" w:rsidRDefault="00591692" w:rsidP="00DB66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3CA93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A653C3"/>
    <w:multiLevelType w:val="hybridMultilevel"/>
    <w:tmpl w:val="4D02AE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065C"/>
    <w:rsid w:val="00032B88"/>
    <w:rsid w:val="00046DF5"/>
    <w:rsid w:val="00052060"/>
    <w:rsid w:val="000524BF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709CE"/>
    <w:rsid w:val="00177CA1"/>
    <w:rsid w:val="00183823"/>
    <w:rsid w:val="00183942"/>
    <w:rsid w:val="00185E38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16E8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B04A9"/>
    <w:rsid w:val="002B1A2C"/>
    <w:rsid w:val="002B6E74"/>
    <w:rsid w:val="002C34F2"/>
    <w:rsid w:val="002C58FF"/>
    <w:rsid w:val="002C7AFE"/>
    <w:rsid w:val="002D05D2"/>
    <w:rsid w:val="002E0D61"/>
    <w:rsid w:val="002E4C7B"/>
    <w:rsid w:val="00303C9F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CA8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5BDA"/>
    <w:rsid w:val="004F65E8"/>
    <w:rsid w:val="0050005E"/>
    <w:rsid w:val="00502B88"/>
    <w:rsid w:val="005142C4"/>
    <w:rsid w:val="0051509C"/>
    <w:rsid w:val="0052097C"/>
    <w:rsid w:val="005272E2"/>
    <w:rsid w:val="0053108F"/>
    <w:rsid w:val="00532B56"/>
    <w:rsid w:val="00534B10"/>
    <w:rsid w:val="005446A2"/>
    <w:rsid w:val="00544D2F"/>
    <w:rsid w:val="00551BD8"/>
    <w:rsid w:val="0057746B"/>
    <w:rsid w:val="00581055"/>
    <w:rsid w:val="00591692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6D5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6669"/>
    <w:rsid w:val="006D79EA"/>
    <w:rsid w:val="006E5D05"/>
    <w:rsid w:val="00701053"/>
    <w:rsid w:val="00701507"/>
    <w:rsid w:val="00706A4F"/>
    <w:rsid w:val="00714021"/>
    <w:rsid w:val="00716A0F"/>
    <w:rsid w:val="00717D45"/>
    <w:rsid w:val="007208F7"/>
    <w:rsid w:val="007218AF"/>
    <w:rsid w:val="00731335"/>
    <w:rsid w:val="007365D1"/>
    <w:rsid w:val="00740E0E"/>
    <w:rsid w:val="00750212"/>
    <w:rsid w:val="00754779"/>
    <w:rsid w:val="0075716D"/>
    <w:rsid w:val="00765F14"/>
    <w:rsid w:val="00770E31"/>
    <w:rsid w:val="00773B46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54EC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1DF8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45AB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13AD"/>
    <w:rsid w:val="00A27E2D"/>
    <w:rsid w:val="00A31D99"/>
    <w:rsid w:val="00A357BA"/>
    <w:rsid w:val="00A35ADC"/>
    <w:rsid w:val="00A379A5"/>
    <w:rsid w:val="00A402A3"/>
    <w:rsid w:val="00A5241B"/>
    <w:rsid w:val="00A53681"/>
    <w:rsid w:val="00A633D4"/>
    <w:rsid w:val="00A6461A"/>
    <w:rsid w:val="00A66F6F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074CA"/>
    <w:rsid w:val="00B1422A"/>
    <w:rsid w:val="00B1765C"/>
    <w:rsid w:val="00B17B06"/>
    <w:rsid w:val="00B213C4"/>
    <w:rsid w:val="00B40C60"/>
    <w:rsid w:val="00B479A9"/>
    <w:rsid w:val="00B52EDF"/>
    <w:rsid w:val="00B71188"/>
    <w:rsid w:val="00B76A41"/>
    <w:rsid w:val="00B87D4C"/>
    <w:rsid w:val="00B920BA"/>
    <w:rsid w:val="00B93646"/>
    <w:rsid w:val="00BA0B38"/>
    <w:rsid w:val="00BA1DBB"/>
    <w:rsid w:val="00BA4510"/>
    <w:rsid w:val="00BA529A"/>
    <w:rsid w:val="00BB5D04"/>
    <w:rsid w:val="00BB612A"/>
    <w:rsid w:val="00BD499F"/>
    <w:rsid w:val="00BD56DE"/>
    <w:rsid w:val="00BE647D"/>
    <w:rsid w:val="00BF2406"/>
    <w:rsid w:val="00C06E43"/>
    <w:rsid w:val="00C16315"/>
    <w:rsid w:val="00C3091E"/>
    <w:rsid w:val="00C358E5"/>
    <w:rsid w:val="00C40FF1"/>
    <w:rsid w:val="00C419E2"/>
    <w:rsid w:val="00C44009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3F23"/>
    <w:rsid w:val="00C850A0"/>
    <w:rsid w:val="00C85A86"/>
    <w:rsid w:val="00C978F0"/>
    <w:rsid w:val="00CA58FE"/>
    <w:rsid w:val="00CB1CB1"/>
    <w:rsid w:val="00CB470B"/>
    <w:rsid w:val="00CB6BC1"/>
    <w:rsid w:val="00CB6CB8"/>
    <w:rsid w:val="00CC1A68"/>
    <w:rsid w:val="00CC2123"/>
    <w:rsid w:val="00CD2BFD"/>
    <w:rsid w:val="00CD4613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B6662"/>
    <w:rsid w:val="00DC2424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74CD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F233A"/>
    <w:rsid w:val="00EF303E"/>
    <w:rsid w:val="00EF3A40"/>
    <w:rsid w:val="00EF69BB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4800"/>
    <w:rsid w:val="00F56DD0"/>
    <w:rsid w:val="00F6491C"/>
    <w:rsid w:val="00F67BBB"/>
    <w:rsid w:val="00F87D92"/>
    <w:rsid w:val="00F90AA7"/>
    <w:rsid w:val="00F92498"/>
    <w:rsid w:val="00F9496B"/>
    <w:rsid w:val="00F96607"/>
    <w:rsid w:val="00F970C9"/>
    <w:rsid w:val="00FA06A8"/>
    <w:rsid w:val="00FA3DF5"/>
    <w:rsid w:val="00FA741F"/>
    <w:rsid w:val="00FB4E07"/>
    <w:rsid w:val="00FB755A"/>
    <w:rsid w:val="00FC38BB"/>
    <w:rsid w:val="00FC60A2"/>
    <w:rsid w:val="00FD1871"/>
    <w:rsid w:val="00FD3110"/>
    <w:rsid w:val="00FE54B6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090CACBD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F54800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3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8B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8B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8BB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cgih.org/tlv-bei-guidelines/policies-procedures-presentatio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32968BF93744FAABC5FC124DBE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2459-1556-46A4-AC27-2E79E2305DAC}"/>
      </w:docPartPr>
      <w:docPartBody>
        <w:p w:rsidR="00D21A9F" w:rsidRDefault="00D21A9F">
          <w:pPr>
            <w:pStyle w:val="EA32968BF93744FAABC5FC124DBE04B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88028D17E06E4E8C8966D15FB78B4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15058-1A38-43CA-BC53-EA62139BE0C5}"/>
      </w:docPartPr>
      <w:docPartBody>
        <w:p w:rsidR="00666ABB" w:rsidRDefault="00F75B04" w:rsidP="00F75B04">
          <w:pPr>
            <w:pStyle w:val="88028D17E06E4E8C8966D15FB78B4542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13C9BF3A5C7D46A6A58A538A07DF6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83159-6ACE-4768-AC6F-FCCC2CD90E35}"/>
      </w:docPartPr>
      <w:docPartBody>
        <w:p w:rsidR="00775C5D" w:rsidRDefault="000C7809" w:rsidP="000C7809">
          <w:pPr>
            <w:pStyle w:val="13C9BF3A5C7D46A6A58A538A07DF6F54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0C7809"/>
    <w:rsid w:val="003E3A3E"/>
    <w:rsid w:val="00636F26"/>
    <w:rsid w:val="00666ABB"/>
    <w:rsid w:val="00775C5D"/>
    <w:rsid w:val="00D21A9F"/>
    <w:rsid w:val="00F7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7809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33688B2C64D5448BB225DE6AF33E6B2F">
    <w:name w:val="33688B2C64D5448BB225DE6AF33E6B2F"/>
    <w:rsid w:val="00636F26"/>
  </w:style>
  <w:style w:type="paragraph" w:customStyle="1" w:styleId="5FC8F337A379414DAB97972B0F4C5783">
    <w:name w:val="5FC8F337A379414DAB97972B0F4C5783"/>
    <w:rsid w:val="00636F26"/>
  </w:style>
  <w:style w:type="paragraph" w:customStyle="1" w:styleId="C54CF1C15D3D45CD9076DC6A2A165E37">
    <w:name w:val="C54CF1C15D3D45CD9076DC6A2A165E37"/>
    <w:rsid w:val="00636F26"/>
  </w:style>
  <w:style w:type="paragraph" w:customStyle="1" w:styleId="58E5B725699C47CE95771041A6A7C427">
    <w:name w:val="58E5B725699C47CE95771041A6A7C427"/>
    <w:rsid w:val="00636F26"/>
  </w:style>
  <w:style w:type="paragraph" w:customStyle="1" w:styleId="025275383FCC45A093740FB33FEB69F3">
    <w:name w:val="025275383FCC45A093740FB33FEB69F3"/>
    <w:rsid w:val="00636F26"/>
  </w:style>
  <w:style w:type="paragraph" w:customStyle="1" w:styleId="13E4B645F5FC4A8DBD500BB3CE0C9E0A">
    <w:name w:val="13E4B645F5FC4A8DBD500BB3CE0C9E0A"/>
    <w:rsid w:val="00636F26"/>
  </w:style>
  <w:style w:type="paragraph" w:customStyle="1" w:styleId="94B679AF1A6B4825846F54A7A7C2721E">
    <w:name w:val="94B679AF1A6B4825846F54A7A7C2721E"/>
    <w:rsid w:val="00636F26"/>
  </w:style>
  <w:style w:type="paragraph" w:customStyle="1" w:styleId="21E40EEC302D4F53BE3746D25CC44064">
    <w:name w:val="21E40EEC302D4F53BE3746D25CC44064"/>
    <w:rsid w:val="00636F26"/>
  </w:style>
  <w:style w:type="paragraph" w:customStyle="1" w:styleId="A0BD03F4590842D6B6CB3FDE66D90602">
    <w:name w:val="A0BD03F4590842D6B6CB3FDE66D90602"/>
    <w:rsid w:val="00636F26"/>
  </w:style>
  <w:style w:type="paragraph" w:customStyle="1" w:styleId="3A8458ABBAD243D9B3F74E83F7A27EAB">
    <w:name w:val="3A8458ABBAD243D9B3F74E83F7A27EAB"/>
    <w:rsid w:val="00636F26"/>
  </w:style>
  <w:style w:type="paragraph" w:customStyle="1" w:styleId="5AC4BB8809114B2E88751AEC562F99E8">
    <w:name w:val="5AC4BB8809114B2E88751AEC562F99E8"/>
    <w:rsid w:val="00636F26"/>
  </w:style>
  <w:style w:type="paragraph" w:customStyle="1" w:styleId="DAFBB8E0BCA5480A866B635E015EF4E8">
    <w:name w:val="DAFBB8E0BCA5480A866B635E015EF4E8"/>
    <w:rsid w:val="00636F26"/>
  </w:style>
  <w:style w:type="paragraph" w:customStyle="1" w:styleId="88028D17E06E4E8C8966D15FB78B4542">
    <w:name w:val="88028D17E06E4E8C8966D15FB78B4542"/>
    <w:rsid w:val="00F75B04"/>
  </w:style>
  <w:style w:type="paragraph" w:customStyle="1" w:styleId="13C9BF3A5C7D46A6A58A538A07DF6F54">
    <w:name w:val="13C9BF3A5C7D46A6A58A538A07DF6F54"/>
    <w:rsid w:val="000C78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D3B4-E5FF-44D0-A85D-1656AEB7AF7B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bf54d604-3e62-4e70-ba33-9e9084b96a6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D47EA8-BC46-431D-82D0-F99B82CC0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7F224A-1AC9-4CD5-A9E0-FE99E6F1A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28E31DB1.dotm</Template>
  <TotalTime>162</TotalTime>
  <Pages>5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32</cp:revision>
  <cp:lastPrinted>2018-10-22T22:41:00Z</cp:lastPrinted>
  <dcterms:created xsi:type="dcterms:W3CDTF">2019-09-26T04:40:00Z</dcterms:created>
  <dcterms:modified xsi:type="dcterms:W3CDTF">2020-02-27T21:19:00Z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