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66311D8" w14:textId="50E0DE40" w:rsidR="00BD499F" w:rsidRPr="004C23F4" w:rsidRDefault="00CF6A93" w:rsidP="00B40C60">
          <w:pPr>
            <w:pStyle w:val="Heading1"/>
            <w:jc w:val="center"/>
            <w:rPr>
              <w:rFonts w:ascii="Arial" w:hAnsi="Arial" w:cs="Arial"/>
            </w:rPr>
          </w:pPr>
          <w:r w:rsidRPr="00CF6A93">
            <w:rPr>
              <w:rFonts w:ascii="Arial" w:hAnsi="Arial" w:cs="Arial"/>
            </w:rPr>
            <w:t>Potassium hydroxide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2"/>
        <w:gridCol w:w="5034"/>
      </w:tblGrid>
      <w:tr w:rsidR="00F43AD5" w:rsidRPr="004C23F4" w14:paraId="1F4AD274" w14:textId="77777777" w:rsidTr="00B76A41">
        <w:trPr>
          <w:cantSplit/>
          <w:tblHeader/>
        </w:trPr>
        <w:tc>
          <w:tcPr>
            <w:tcW w:w="4077" w:type="dxa"/>
          </w:tcPr>
          <w:p w14:paraId="31B069BB" w14:textId="77777777" w:rsidR="00F43AD5" w:rsidRPr="00921DE7" w:rsidRDefault="00CB1CB1" w:rsidP="00B76A41">
            <w:pPr>
              <w:pStyle w:val="Tablerowright"/>
            </w:pPr>
            <w:r w:rsidRPr="00921DE7">
              <w:t>CAS number:</w:t>
            </w:r>
          </w:p>
        </w:tc>
        <w:tc>
          <w:tcPr>
            <w:tcW w:w="5165" w:type="dxa"/>
          </w:tcPr>
          <w:p w14:paraId="57D4F1BD" w14:textId="781FE703" w:rsidR="00F43AD5" w:rsidRPr="00717D45" w:rsidRDefault="00AF7453" w:rsidP="00B76A41">
            <w:pPr>
              <w:pStyle w:val="Tablefont"/>
            </w:pPr>
            <w:r w:rsidRPr="00AF7453">
              <w:t>1310-58-3</w:t>
            </w:r>
          </w:p>
        </w:tc>
      </w:tr>
      <w:tr w:rsidR="00F43AD5" w:rsidRPr="004C23F4" w14:paraId="02532EA0" w14:textId="77777777" w:rsidTr="00B76A41">
        <w:trPr>
          <w:cantSplit/>
        </w:trPr>
        <w:tc>
          <w:tcPr>
            <w:tcW w:w="4077" w:type="dxa"/>
          </w:tcPr>
          <w:p w14:paraId="14786A1C" w14:textId="77777777" w:rsidR="00F43AD5" w:rsidRPr="00921DE7" w:rsidRDefault="00CB1CB1" w:rsidP="00B76A41">
            <w:pPr>
              <w:pStyle w:val="Tablerowright"/>
            </w:pPr>
            <w:r w:rsidRPr="00921DE7">
              <w:t>Synonyms:</w:t>
            </w:r>
          </w:p>
        </w:tc>
        <w:tc>
          <w:tcPr>
            <w:tcW w:w="5165" w:type="dxa"/>
          </w:tcPr>
          <w:p w14:paraId="6A8B6FF6" w14:textId="7BED1521" w:rsidR="00F43AD5" w:rsidRPr="00717D45" w:rsidRDefault="00AF7453" w:rsidP="00B76A41">
            <w:pPr>
              <w:pStyle w:val="Tablefont"/>
            </w:pPr>
            <w:r>
              <w:t>Caustic potash</w:t>
            </w:r>
          </w:p>
        </w:tc>
      </w:tr>
      <w:tr w:rsidR="00F43AD5" w:rsidRPr="004C23F4" w14:paraId="6A55302E" w14:textId="77777777" w:rsidTr="00B76A41">
        <w:trPr>
          <w:cantSplit/>
        </w:trPr>
        <w:tc>
          <w:tcPr>
            <w:tcW w:w="4077" w:type="dxa"/>
          </w:tcPr>
          <w:p w14:paraId="4C306613" w14:textId="77777777" w:rsidR="00F43AD5" w:rsidRPr="00921DE7" w:rsidRDefault="00CB1CB1" w:rsidP="00B76A41">
            <w:pPr>
              <w:pStyle w:val="Tablerowright"/>
            </w:pPr>
            <w:r w:rsidRPr="00921DE7">
              <w:t>Chemical formula:</w:t>
            </w:r>
          </w:p>
        </w:tc>
        <w:tc>
          <w:tcPr>
            <w:tcW w:w="5165" w:type="dxa"/>
          </w:tcPr>
          <w:p w14:paraId="77C8B859" w14:textId="150FC2D4" w:rsidR="00F43AD5" w:rsidRPr="00717D45" w:rsidRDefault="00AF7453" w:rsidP="00B76A41">
            <w:pPr>
              <w:pStyle w:val="Tablefont"/>
            </w:pPr>
            <w:r>
              <w:t>KOH</w:t>
            </w:r>
          </w:p>
        </w:tc>
      </w:tr>
      <w:tr w:rsidR="00F43AD5" w:rsidRPr="004C23F4" w14:paraId="73F27AA0" w14:textId="77777777" w:rsidTr="00B76A41">
        <w:trPr>
          <w:cantSplit/>
        </w:trPr>
        <w:tc>
          <w:tcPr>
            <w:tcW w:w="4077" w:type="dxa"/>
          </w:tcPr>
          <w:p w14:paraId="61264CAB" w14:textId="77777777" w:rsidR="00F43AD5" w:rsidRPr="00921DE7" w:rsidRDefault="00CB1CB1" w:rsidP="00B76A41">
            <w:pPr>
              <w:pStyle w:val="Tablerowright"/>
            </w:pPr>
            <w:r w:rsidRPr="00921DE7">
              <w:t>Structural formula:</w:t>
            </w:r>
          </w:p>
        </w:tc>
        <w:tc>
          <w:tcPr>
            <w:tcW w:w="5165" w:type="dxa"/>
          </w:tcPr>
          <w:p w14:paraId="155834E9" w14:textId="5010EF57" w:rsidR="00F43AD5" w:rsidRPr="00B40C60" w:rsidRDefault="00AF7453" w:rsidP="00B76A41">
            <w:pPr>
              <w:pStyle w:val="Tablerowheading"/>
              <w:rPr>
                <w:b w:val="0"/>
              </w:rPr>
            </w:pPr>
            <w:r>
              <w:t>—</w:t>
            </w:r>
          </w:p>
        </w:tc>
      </w:tr>
    </w:tbl>
    <w:p w14:paraId="38573DDE" w14:textId="7FD362EC"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6A6123">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5CC3B5E3" w14:textId="77777777" w:rsidTr="00386533">
        <w:trPr>
          <w:cantSplit/>
          <w:tblHeader/>
        </w:trPr>
        <w:tc>
          <w:tcPr>
            <w:tcW w:w="4010" w:type="dxa"/>
            <w:vAlign w:val="center"/>
          </w:tcPr>
          <w:p w14:paraId="05ED3D4D" w14:textId="77777777" w:rsidR="002C7AFE" w:rsidRPr="002C58FF" w:rsidRDefault="00921DE7" w:rsidP="00921DE7">
            <w:pPr>
              <w:pStyle w:val="Tablerowright"/>
            </w:pPr>
            <w:r>
              <w:t>TWA:</w:t>
            </w:r>
          </w:p>
        </w:tc>
        <w:tc>
          <w:tcPr>
            <w:tcW w:w="5016" w:type="dxa"/>
          </w:tcPr>
          <w:p w14:paraId="795569AB" w14:textId="12F13808" w:rsidR="002C7AFE" w:rsidRPr="00EB3D1B" w:rsidRDefault="00386533" w:rsidP="00017C82">
            <w:pPr>
              <w:pStyle w:val="Tablefont"/>
              <w:rPr>
                <w:b/>
              </w:rPr>
            </w:pPr>
            <w:r w:rsidRPr="00386533">
              <w:rPr>
                <w:b/>
              </w:rPr>
              <w:t>—</w:t>
            </w:r>
          </w:p>
        </w:tc>
      </w:tr>
      <w:tr w:rsidR="002C7AFE" w:rsidRPr="004C23F4" w14:paraId="666FCE57" w14:textId="77777777" w:rsidTr="00386533">
        <w:trPr>
          <w:cantSplit/>
        </w:trPr>
        <w:tc>
          <w:tcPr>
            <w:tcW w:w="4010" w:type="dxa"/>
            <w:vAlign w:val="center"/>
          </w:tcPr>
          <w:p w14:paraId="5B25AD8A" w14:textId="77777777" w:rsidR="002C7AFE" w:rsidRPr="002C58FF" w:rsidRDefault="002C7AFE" w:rsidP="00921DE7">
            <w:pPr>
              <w:pStyle w:val="Tablerowright"/>
            </w:pPr>
            <w:r w:rsidRPr="002C58FF">
              <w:t>STEL</w:t>
            </w:r>
            <w:r w:rsidR="00921DE7">
              <w:t>:</w:t>
            </w:r>
          </w:p>
        </w:tc>
        <w:tc>
          <w:tcPr>
            <w:tcW w:w="5016" w:type="dxa"/>
          </w:tcPr>
          <w:p w14:paraId="4F7F6C6F" w14:textId="2061B731" w:rsidR="002C7AFE" w:rsidRPr="00EB3D1B" w:rsidRDefault="00386533" w:rsidP="00017C82">
            <w:pPr>
              <w:pStyle w:val="Tablefont"/>
              <w:rPr>
                <w:b/>
              </w:rPr>
            </w:pPr>
            <w:r w:rsidRPr="00386533">
              <w:rPr>
                <w:b/>
              </w:rPr>
              <w:t>—</w:t>
            </w:r>
          </w:p>
        </w:tc>
      </w:tr>
      <w:tr w:rsidR="002C7AFE" w:rsidRPr="004C23F4" w14:paraId="31176071" w14:textId="77777777" w:rsidTr="00386533">
        <w:trPr>
          <w:cantSplit/>
        </w:trPr>
        <w:tc>
          <w:tcPr>
            <w:tcW w:w="4010" w:type="dxa"/>
            <w:vAlign w:val="center"/>
          </w:tcPr>
          <w:p w14:paraId="6A4BCEA6" w14:textId="77777777" w:rsidR="002C7AFE" w:rsidRPr="002C58FF" w:rsidRDefault="00921DE7" w:rsidP="00921DE7">
            <w:pPr>
              <w:pStyle w:val="Tablerowright"/>
            </w:pPr>
            <w:r>
              <w:t>Peak limitation:</w:t>
            </w:r>
          </w:p>
        </w:tc>
        <w:tc>
          <w:tcPr>
            <w:tcW w:w="5016" w:type="dxa"/>
          </w:tcPr>
          <w:p w14:paraId="7943977C" w14:textId="361B1D21" w:rsidR="002C7AFE" w:rsidRPr="00EB3D1B" w:rsidRDefault="006A6123" w:rsidP="00017C82">
            <w:pPr>
              <w:pStyle w:val="Tablefont"/>
              <w:rPr>
                <w:b/>
              </w:rPr>
            </w:pPr>
            <w:r>
              <w:rPr>
                <w:b/>
              </w:rPr>
              <w:t>2 mg/m</w:t>
            </w:r>
            <w:r w:rsidRPr="006A6123">
              <w:rPr>
                <w:b/>
                <w:vertAlign w:val="superscript"/>
              </w:rPr>
              <w:t>3</w:t>
            </w:r>
          </w:p>
        </w:tc>
      </w:tr>
      <w:tr w:rsidR="002C7AFE" w:rsidRPr="004C23F4" w14:paraId="682E5210" w14:textId="77777777" w:rsidTr="00386533">
        <w:trPr>
          <w:cantSplit/>
        </w:trPr>
        <w:tc>
          <w:tcPr>
            <w:tcW w:w="4010" w:type="dxa"/>
          </w:tcPr>
          <w:p w14:paraId="68DB9435"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016" w:type="dxa"/>
          </w:tcPr>
          <w:p w14:paraId="4AD1A832" w14:textId="31050834" w:rsidR="002C7AFE" w:rsidRPr="00EB3D1B" w:rsidRDefault="00386533" w:rsidP="008A36CF">
            <w:pPr>
              <w:pStyle w:val="Tablefont"/>
              <w:rPr>
                <w:b/>
              </w:rPr>
            </w:pPr>
            <w:r w:rsidRPr="00386533">
              <w:rPr>
                <w:b/>
              </w:rPr>
              <w:t>—</w:t>
            </w:r>
          </w:p>
        </w:tc>
      </w:tr>
      <w:tr w:rsidR="002C7AFE" w:rsidRPr="004C23F4" w14:paraId="61769DE7" w14:textId="77777777" w:rsidTr="00386533">
        <w:trPr>
          <w:cantSplit/>
        </w:trPr>
        <w:tc>
          <w:tcPr>
            <w:tcW w:w="4010" w:type="dxa"/>
            <w:vAlign w:val="center"/>
          </w:tcPr>
          <w:p w14:paraId="540F3017" w14:textId="77777777" w:rsidR="00F10C97" w:rsidRPr="002C58FF" w:rsidRDefault="00921DE7" w:rsidP="009F04D2">
            <w:pPr>
              <w:pStyle w:val="Tablerowright"/>
            </w:pPr>
            <w:r>
              <w:t>IDLH:</w:t>
            </w:r>
          </w:p>
        </w:tc>
        <w:tc>
          <w:tcPr>
            <w:tcW w:w="5016" w:type="dxa"/>
          </w:tcPr>
          <w:p w14:paraId="65B4BAFE" w14:textId="43C875B3" w:rsidR="002C7AFE" w:rsidRPr="00386533" w:rsidRDefault="00AF7453" w:rsidP="00017C82">
            <w:pPr>
              <w:pStyle w:val="Tablefont"/>
              <w:rPr>
                <w:b/>
              </w:rPr>
            </w:pPr>
            <w:r w:rsidRPr="00386533">
              <w:rPr>
                <w:b/>
              </w:rPr>
              <w:t>—</w:t>
            </w:r>
          </w:p>
        </w:tc>
      </w:tr>
      <w:tr w:rsidR="00386533" w:rsidRPr="004C23F4" w14:paraId="45CC9B9D" w14:textId="77777777" w:rsidTr="00A572CD">
        <w:trPr>
          <w:cantSplit/>
        </w:trPr>
        <w:tc>
          <w:tcPr>
            <w:tcW w:w="9026" w:type="dxa"/>
            <w:gridSpan w:val="2"/>
            <w:vAlign w:val="center"/>
          </w:tcPr>
          <w:p w14:paraId="462CF555" w14:textId="1B0965C0" w:rsidR="00386533" w:rsidRPr="00386533" w:rsidRDefault="00386533" w:rsidP="00017C82">
            <w:pPr>
              <w:pStyle w:val="Tablefont"/>
              <w:rPr>
                <w:b/>
              </w:rPr>
            </w:pPr>
            <w:r w:rsidRPr="00386533">
              <w:rPr>
                <w:b/>
              </w:rPr>
              <w:t>Sampling and analysis:</w:t>
            </w:r>
            <w:r>
              <w:rPr>
                <w:b/>
              </w:rPr>
              <w:t xml:space="preserve"> </w:t>
            </w:r>
            <w:sdt>
              <w:sdtPr>
                <w:rPr>
                  <w:rStyle w:val="WESstatus"/>
                  <w:color w:val="auto"/>
                </w:rPr>
                <w:id w:val="-2105258949"/>
                <w:placeholder>
                  <w:docPart w:val="9B4A683EEB994891A87C52F45E3783CD"/>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D13321">
                  <w:rPr>
                    <w:rStyle w:val="WESstatus"/>
                    <w:color w:val="auto"/>
                  </w:rPr>
                  <w:t xml:space="preserve">The recommended value is quantifiable through available sampling and analysis techniques. </w:t>
                </w:r>
              </w:sdtContent>
            </w:sdt>
          </w:p>
        </w:tc>
      </w:tr>
    </w:tbl>
    <w:p w14:paraId="557AB8CA" w14:textId="77777777" w:rsidR="00CB1CB1" w:rsidRPr="003365A5" w:rsidRDefault="00F10C97" w:rsidP="003365A5">
      <w:pPr>
        <w:pStyle w:val="Heading2"/>
      </w:pPr>
      <w:r>
        <w:t>Recommendation and basis for workplace exposure standard</w:t>
      </w:r>
    </w:p>
    <w:p w14:paraId="601006A8" w14:textId="67A56714" w:rsidR="006639B4" w:rsidRPr="004C23F4" w:rsidRDefault="006A6123" w:rsidP="000C139A">
      <w:pPr>
        <w:rPr>
          <w:rFonts w:cs="Arial"/>
        </w:rPr>
      </w:pPr>
      <w:r w:rsidRPr="003A62A1">
        <w:rPr>
          <w:rFonts w:cs="Arial"/>
        </w:rPr>
        <w:t xml:space="preserve">A peak limitation of </w:t>
      </w:r>
      <w:r>
        <w:rPr>
          <w:rFonts w:cs="Arial"/>
        </w:rPr>
        <w:t xml:space="preserve">2 </w:t>
      </w:r>
      <w:r w:rsidRPr="003A62A1">
        <w:rPr>
          <w:rFonts w:cs="Arial"/>
        </w:rPr>
        <w:t>mg/m</w:t>
      </w:r>
      <w:r w:rsidRPr="003A62A1">
        <w:rPr>
          <w:rFonts w:cs="Arial"/>
          <w:vertAlign w:val="superscript"/>
        </w:rPr>
        <w:t>3</w:t>
      </w:r>
      <w:r w:rsidRPr="003A62A1">
        <w:rPr>
          <w:rFonts w:cs="Arial"/>
        </w:rPr>
        <w:t xml:space="preserve"> is recommended</w:t>
      </w:r>
      <w:r>
        <w:rPr>
          <w:rFonts w:cs="Arial"/>
        </w:rPr>
        <w:t xml:space="preserve"> to protect for dermal, ocular and </w:t>
      </w:r>
      <w:r>
        <w:t>respiratory tract irritation</w:t>
      </w:r>
      <w:r w:rsidR="00293F44">
        <w:t xml:space="preserve"> and corrosive effects</w:t>
      </w:r>
      <w:r>
        <w:t xml:space="preserve"> in exposed workers.</w:t>
      </w:r>
    </w:p>
    <w:p w14:paraId="61DC3CBC" w14:textId="77777777" w:rsidR="00C7155E" w:rsidRPr="004C23F4" w:rsidRDefault="00F10C97" w:rsidP="003365A5">
      <w:pPr>
        <w:pStyle w:val="Heading2"/>
      </w:pPr>
      <w:r>
        <w:t>Discussion and conclusions</w:t>
      </w:r>
    </w:p>
    <w:p w14:paraId="675B07DB" w14:textId="4DE458E7" w:rsidR="00293F44" w:rsidRDefault="00C81D18" w:rsidP="006639B4">
      <w:r>
        <w:rPr>
          <w:rFonts w:cs="Arial"/>
        </w:rPr>
        <w:t xml:space="preserve">Potassium hydroxide </w:t>
      </w:r>
      <w:r w:rsidR="00D15CD6">
        <w:rPr>
          <w:rFonts w:cs="Arial"/>
        </w:rPr>
        <w:t xml:space="preserve">(KOH) </w:t>
      </w:r>
      <w:r>
        <w:rPr>
          <w:rFonts w:cs="Arial"/>
        </w:rPr>
        <w:t xml:space="preserve">has a </w:t>
      </w:r>
      <w:r>
        <w:t xml:space="preserve">variety of uses including in paint and varnish removers, electroplating, photoengraving, drain cleaners, liquid soap manufacture and as a mordant for wood. </w:t>
      </w:r>
    </w:p>
    <w:p w14:paraId="7CEB63A2" w14:textId="77777777" w:rsidR="00CC6536" w:rsidRDefault="00026A5C" w:rsidP="006639B4">
      <w:r>
        <w:t xml:space="preserve">The critical effects </w:t>
      </w:r>
      <w:r w:rsidR="00314FD3">
        <w:t xml:space="preserve">of </w:t>
      </w:r>
      <w:r w:rsidR="00293F44">
        <w:t xml:space="preserve">exposure </w:t>
      </w:r>
      <w:r>
        <w:t xml:space="preserve">are identified as irritation of the skin, eyes and respiratory tract (ACGIH, </w:t>
      </w:r>
      <w:r w:rsidR="005F1555">
        <w:t>2018</w:t>
      </w:r>
      <w:r>
        <w:t xml:space="preserve">). </w:t>
      </w:r>
    </w:p>
    <w:p w14:paraId="63F6F51C" w14:textId="6395A30B" w:rsidR="005D24DC" w:rsidRDefault="005063E5" w:rsidP="006639B4">
      <w:r>
        <w:t>Very l</w:t>
      </w:r>
      <w:r w:rsidR="005D24DC">
        <w:t>imited data exists in humans and animals</w:t>
      </w:r>
      <w:r w:rsidR="00293F44">
        <w:t>.</w:t>
      </w:r>
      <w:r>
        <w:t xml:space="preserve"> </w:t>
      </w:r>
      <w:r w:rsidR="00293F44">
        <w:t>D</w:t>
      </w:r>
      <w:r>
        <w:t xml:space="preserve">ata </w:t>
      </w:r>
      <w:r w:rsidR="00293F44">
        <w:t>in</w:t>
      </w:r>
      <w:r>
        <w:t xml:space="preserve"> humans generally </w:t>
      </w:r>
      <w:r w:rsidR="00547ED5">
        <w:t>relates to</w:t>
      </w:r>
      <w:r>
        <w:t xml:space="preserve"> accidental or </w:t>
      </w:r>
      <w:r w:rsidR="00293F44">
        <w:t xml:space="preserve">deliberate </w:t>
      </w:r>
      <w:r w:rsidR="00CC6536">
        <w:t>high-level</w:t>
      </w:r>
      <w:r>
        <w:t xml:space="preserve"> ingestion</w:t>
      </w:r>
      <w:r w:rsidR="00293F44">
        <w:t xml:space="preserve"> with skin and mucous membrane corrosion and necrosis reported in humans and animals</w:t>
      </w:r>
      <w:r>
        <w:t xml:space="preserve">. </w:t>
      </w:r>
      <w:r w:rsidR="006849CE">
        <w:rPr>
          <w:rFonts w:cs="Arial"/>
        </w:rPr>
        <w:t xml:space="preserve">No inhalational </w:t>
      </w:r>
      <w:r w:rsidR="00293F44">
        <w:rPr>
          <w:rFonts w:cs="Arial"/>
        </w:rPr>
        <w:t>data are available and</w:t>
      </w:r>
      <w:r w:rsidR="006849CE">
        <w:rPr>
          <w:rFonts w:cs="Arial"/>
        </w:rPr>
        <w:t xml:space="preserve"> </w:t>
      </w:r>
      <w:r w:rsidR="006849CE">
        <w:t xml:space="preserve">repeat dose </w:t>
      </w:r>
      <w:r w:rsidR="00293F44">
        <w:t>data is limited to</w:t>
      </w:r>
      <w:r w:rsidR="006849CE">
        <w:t xml:space="preserve"> a dermal study (ACGIH, </w:t>
      </w:r>
      <w:r w:rsidR="00750D7F">
        <w:t>2018</w:t>
      </w:r>
      <w:r w:rsidR="006849CE">
        <w:t>; HCOTN, 2004).</w:t>
      </w:r>
      <w:r w:rsidR="00D15CD6">
        <w:t xml:space="preserve"> </w:t>
      </w:r>
      <w:r w:rsidR="00902D40">
        <w:t>Based on similar properties and effects to sodium hydroxide (</w:t>
      </w:r>
      <w:proofErr w:type="spellStart"/>
      <w:r w:rsidR="00902D40">
        <w:t>NaOH</w:t>
      </w:r>
      <w:proofErr w:type="spellEnd"/>
      <w:r w:rsidR="00902D40">
        <w:t>), ACGIH recommended a TLV-Ceiling of 2 mg/</w:t>
      </w:r>
      <w:r w:rsidR="00902D40" w:rsidRPr="00902D40">
        <w:t>m</w:t>
      </w:r>
      <w:r w:rsidR="00902D40" w:rsidRPr="00902D40">
        <w:rPr>
          <w:vertAlign w:val="superscript"/>
        </w:rPr>
        <w:t>3</w:t>
      </w:r>
      <w:r w:rsidR="00902D40">
        <w:t xml:space="preserve"> (</w:t>
      </w:r>
      <w:r w:rsidR="00056EAC">
        <w:t>as per that assigned</w:t>
      </w:r>
      <w:r w:rsidR="00902D40">
        <w:t xml:space="preserve"> to </w:t>
      </w:r>
      <w:proofErr w:type="spellStart"/>
      <w:r w:rsidR="00902D40">
        <w:t>NaOH</w:t>
      </w:r>
      <w:proofErr w:type="spellEnd"/>
      <w:r w:rsidR="00902D40">
        <w:t>)</w:t>
      </w:r>
      <w:r w:rsidR="00056EAC">
        <w:t>.</w:t>
      </w:r>
      <w:r w:rsidR="00296007">
        <w:t xml:space="preserve"> </w:t>
      </w:r>
    </w:p>
    <w:p w14:paraId="07061005" w14:textId="4F6B4158" w:rsidR="00D15CD6" w:rsidRPr="004C23F4" w:rsidRDefault="00F05AEF" w:rsidP="006639B4">
      <w:pPr>
        <w:rPr>
          <w:rFonts w:cs="Arial"/>
        </w:rPr>
      </w:pPr>
      <w:r>
        <w:t>Noting the limited data available, t</w:t>
      </w:r>
      <w:r w:rsidR="00CC6536">
        <w:t xml:space="preserve">he </w:t>
      </w:r>
      <w:r w:rsidR="00D15CD6">
        <w:t xml:space="preserve">peak limitation </w:t>
      </w:r>
      <w:r w:rsidR="00293F44">
        <w:t xml:space="preserve">of 2 </w:t>
      </w:r>
      <w:r w:rsidR="00293F44" w:rsidRPr="00293F44">
        <w:rPr>
          <w:rFonts w:cs="Arial"/>
        </w:rPr>
        <w:t>mg/m</w:t>
      </w:r>
      <w:r w:rsidR="00293F44" w:rsidRPr="00293F44">
        <w:rPr>
          <w:rFonts w:cs="Arial"/>
          <w:vertAlign w:val="superscript"/>
        </w:rPr>
        <w:t>3</w:t>
      </w:r>
      <w:r w:rsidR="00293F44" w:rsidRPr="00293F44">
        <w:rPr>
          <w:sz w:val="18"/>
        </w:rPr>
        <w:t xml:space="preserve"> </w:t>
      </w:r>
      <w:r w:rsidR="00D15CD6">
        <w:t xml:space="preserve">is recommended to be retained </w:t>
      </w:r>
      <w:r w:rsidR="00056EAC">
        <w:t>and is considered protective of irritation to skin, eyes and respiratory tract</w:t>
      </w:r>
      <w:r w:rsidR="00293F44">
        <w:t xml:space="preserve"> and corrosive effects</w:t>
      </w:r>
      <w:r w:rsidR="00056EAC">
        <w:t xml:space="preserve"> in exposed workers</w:t>
      </w:r>
      <w:r>
        <w:t>.</w:t>
      </w:r>
    </w:p>
    <w:p w14:paraId="4705217C" w14:textId="77777777" w:rsidR="004529F0" w:rsidRPr="004C23F4" w:rsidRDefault="004529F0" w:rsidP="004529F0">
      <w:pPr>
        <w:pStyle w:val="Heading2"/>
      </w:pPr>
      <w:r>
        <w:t>Recommendation for notations</w:t>
      </w:r>
    </w:p>
    <w:p w14:paraId="191DFD1E" w14:textId="7187E092" w:rsidR="00AF7453" w:rsidRPr="006A6123" w:rsidRDefault="00AF7453" w:rsidP="00AF7453">
      <w:pPr>
        <w:rPr>
          <w:rFonts w:cs="Arial"/>
        </w:rPr>
      </w:pPr>
      <w:r w:rsidRPr="006A6123">
        <w:rPr>
          <w:rFonts w:cs="Arial"/>
        </w:rPr>
        <w:t>Not classified as a carcinogen according to the Globally Harmonized System of Classification and Labelling o</w:t>
      </w:r>
      <w:r w:rsidR="006A6123" w:rsidRPr="006A6123">
        <w:rPr>
          <w:rFonts w:cs="Arial"/>
        </w:rPr>
        <w:t>f</w:t>
      </w:r>
      <w:r w:rsidRPr="006A6123">
        <w:rPr>
          <w:rFonts w:cs="Arial"/>
        </w:rPr>
        <w:t xml:space="preserve"> Chemicals (GHS). </w:t>
      </w:r>
    </w:p>
    <w:p w14:paraId="2E843620" w14:textId="6CB0467B" w:rsidR="00AF7453" w:rsidRPr="006A6123" w:rsidRDefault="00AF7453" w:rsidP="00AF7453">
      <w:pPr>
        <w:rPr>
          <w:rFonts w:cs="Arial"/>
        </w:rPr>
      </w:pPr>
      <w:r w:rsidRPr="006A6123">
        <w:rPr>
          <w:rFonts w:cs="Arial"/>
        </w:rPr>
        <w:t xml:space="preserve">Not classified as a skin </w:t>
      </w:r>
      <w:r w:rsidR="006A6123" w:rsidRPr="006A6123">
        <w:rPr>
          <w:rFonts w:cs="Arial"/>
        </w:rPr>
        <w:t xml:space="preserve">sensitiser </w:t>
      </w:r>
      <w:r w:rsidRPr="006A6123">
        <w:rPr>
          <w:rFonts w:cs="Arial"/>
        </w:rPr>
        <w:t>or respiratory sensitiser according to the GHS.</w:t>
      </w:r>
    </w:p>
    <w:p w14:paraId="49B98780" w14:textId="166F6FAE" w:rsidR="0025734A" w:rsidRPr="004C23F4" w:rsidRDefault="00750D7F">
      <w:pPr>
        <w:rPr>
          <w:rFonts w:cs="Arial"/>
        </w:rPr>
      </w:pPr>
      <w:r>
        <w:rPr>
          <w:rFonts w:cs="Arial"/>
        </w:rPr>
        <w:t xml:space="preserve">There </w:t>
      </w:r>
      <w:r w:rsidR="00293F44">
        <w:rPr>
          <w:rFonts w:cs="Arial"/>
        </w:rPr>
        <w:t>are</w:t>
      </w:r>
      <w:r>
        <w:rPr>
          <w:rFonts w:cs="Arial"/>
        </w:rPr>
        <w:t xml:space="preserve"> i</w:t>
      </w:r>
      <w:r w:rsidR="00AF7453" w:rsidRPr="006A6123">
        <w:rPr>
          <w:rFonts w:cs="Arial"/>
        </w:rPr>
        <w:t xml:space="preserve">nsufficient </w:t>
      </w:r>
      <w:r>
        <w:rPr>
          <w:rFonts w:cs="Arial"/>
        </w:rPr>
        <w:t>data</w:t>
      </w:r>
      <w:r w:rsidRPr="006A6123">
        <w:rPr>
          <w:rFonts w:cs="Arial"/>
        </w:rPr>
        <w:t xml:space="preserve"> </w:t>
      </w:r>
      <w:r w:rsidR="00AF7453" w:rsidRPr="006A6123">
        <w:rPr>
          <w:rFonts w:cs="Arial"/>
        </w:rPr>
        <w:t>to recommend a skin notation.</w:t>
      </w:r>
    </w:p>
    <w:p w14:paraId="7A1D5DA1"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539DE4E5"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50D01CB7" w14:textId="77777777" w:rsidTr="00DE26E8">
        <w:trPr>
          <w:gridAfter w:val="1"/>
          <w:wAfter w:w="8" w:type="pct"/>
          <w:cantSplit/>
          <w:trHeight w:val="393"/>
          <w:tblHeader/>
        </w:trPr>
        <w:tc>
          <w:tcPr>
            <w:tcW w:w="4992" w:type="pct"/>
            <w:shd w:val="clear" w:color="auto" w:fill="BFBFBF" w:themeFill="background1" w:themeFillShade="BF"/>
            <w:vAlign w:val="center"/>
          </w:tcPr>
          <w:p w14:paraId="6B630552"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6F028787" w14:textId="77777777" w:rsidTr="00DE26E8">
        <w:trPr>
          <w:cantSplit/>
        </w:trPr>
        <w:tc>
          <w:tcPr>
            <w:tcW w:w="5000" w:type="pct"/>
            <w:gridSpan w:val="2"/>
            <w:shd w:val="clear" w:color="auto" w:fill="F2F2F2" w:themeFill="background1" w:themeFillShade="F2"/>
          </w:tcPr>
          <w:p w14:paraId="5AEA711F" w14:textId="2CCC3B38"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8F7407">
                  <w:t>1991</w:t>
                </w:r>
              </w:sdtContent>
            </w:sdt>
            <w:r w:rsidRPr="003365A5">
              <w:tab/>
            </w:r>
            <w:r>
              <w:tab/>
            </w:r>
            <w:sdt>
              <w:sdtPr>
                <w:alias w:val="SWA WES"/>
                <w:tag w:val="SWA WES"/>
                <w:id w:val="857077202"/>
                <w:placeholder>
                  <w:docPart w:val="81CFEC2FDBC5451289F394E66D92D1A0"/>
                </w:placeholder>
              </w:sdtPr>
              <w:sdtEndPr/>
              <w:sdtContent>
                <w:r w:rsidR="008F7407">
                  <w:t>Peak limitation: 2 mg/m</w:t>
                </w:r>
                <w:r w:rsidR="008F7407" w:rsidRPr="008F7407">
                  <w:rPr>
                    <w:vertAlign w:val="superscript"/>
                  </w:rPr>
                  <w:t>3</w:t>
                </w:r>
              </w:sdtContent>
            </w:sdt>
          </w:p>
        </w:tc>
      </w:tr>
      <w:tr w:rsidR="00C978F0" w:rsidRPr="00DA352E" w14:paraId="22E28409" w14:textId="77777777" w:rsidTr="00DE26E8">
        <w:trPr>
          <w:gridAfter w:val="1"/>
          <w:wAfter w:w="8" w:type="pct"/>
          <w:cantSplit/>
        </w:trPr>
        <w:tc>
          <w:tcPr>
            <w:tcW w:w="4992" w:type="pct"/>
          </w:tcPr>
          <w:p w14:paraId="4F163B01" w14:textId="77777777" w:rsidR="00C978F0" w:rsidRPr="00DA352E" w:rsidRDefault="00C978F0" w:rsidP="003365A5">
            <w:pPr>
              <w:pStyle w:val="Tabletextprimarysource"/>
            </w:pPr>
          </w:p>
        </w:tc>
      </w:tr>
      <w:tr w:rsidR="00C978F0" w:rsidRPr="00DA352E" w14:paraId="21FA3E4F" w14:textId="77777777" w:rsidTr="00DE26E8">
        <w:trPr>
          <w:gridAfter w:val="1"/>
          <w:wAfter w:w="8" w:type="pct"/>
          <w:cantSplit/>
        </w:trPr>
        <w:tc>
          <w:tcPr>
            <w:tcW w:w="4992" w:type="pct"/>
            <w:shd w:val="clear" w:color="auto" w:fill="F2F2F2" w:themeFill="background1" w:themeFillShade="F2"/>
          </w:tcPr>
          <w:p w14:paraId="66F00B9C" w14:textId="36A7DA42"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8F7407">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8F7407">
                  <w:t>TLV-Ceiling: 2 mg/m</w:t>
                </w:r>
                <w:r w:rsidR="008F7407" w:rsidRPr="008F7407">
                  <w:rPr>
                    <w:vertAlign w:val="superscript"/>
                  </w:rPr>
                  <w:t>3</w:t>
                </w:r>
              </w:sdtContent>
            </w:sdt>
          </w:p>
        </w:tc>
      </w:tr>
      <w:tr w:rsidR="00C978F0" w:rsidRPr="00DA352E" w14:paraId="4918E4BB" w14:textId="77777777" w:rsidTr="00DE26E8">
        <w:trPr>
          <w:gridAfter w:val="1"/>
          <w:wAfter w:w="8" w:type="pct"/>
          <w:cantSplit/>
        </w:trPr>
        <w:tc>
          <w:tcPr>
            <w:tcW w:w="4992" w:type="pct"/>
          </w:tcPr>
          <w:p w14:paraId="6C1E26EF" w14:textId="77777777" w:rsidR="00293F44" w:rsidRDefault="00952281" w:rsidP="00786331">
            <w:pPr>
              <w:pStyle w:val="Tabletextprimarysource"/>
            </w:pPr>
            <w:r>
              <w:t>TLV-Ceiling recommended to minimise irritation to respiratory tract, eyes and skin.</w:t>
            </w:r>
            <w:r w:rsidR="002F10D9">
              <w:t xml:space="preserve"> </w:t>
            </w:r>
          </w:p>
          <w:p w14:paraId="1A07CCEE" w14:textId="30774EFE" w:rsidR="00C978F0" w:rsidRDefault="00B56405" w:rsidP="00786331">
            <w:pPr>
              <w:pStyle w:val="Tabletextprimarysource"/>
            </w:pPr>
            <w:r>
              <w:t>TLV</w:t>
            </w:r>
            <w:r w:rsidR="002F10D9">
              <w:t xml:space="preserve"> based on analogy </w:t>
            </w:r>
            <w:r w:rsidR="00750D7F">
              <w:t>to</w:t>
            </w:r>
            <w:r w:rsidR="002F10D9">
              <w:t xml:space="preserve"> </w:t>
            </w:r>
            <w:proofErr w:type="spellStart"/>
            <w:r w:rsidR="002F10D9">
              <w:t>NaOH</w:t>
            </w:r>
            <w:proofErr w:type="spellEnd"/>
            <w:r w:rsidR="002F10D9">
              <w:t>.</w:t>
            </w:r>
          </w:p>
          <w:p w14:paraId="3B204F5D" w14:textId="245C9055" w:rsidR="00952281" w:rsidRDefault="00952281" w:rsidP="00786331">
            <w:pPr>
              <w:pStyle w:val="Tabletextprimarysource"/>
            </w:pPr>
            <w:r>
              <w:t>Summary of data:</w:t>
            </w:r>
          </w:p>
          <w:p w14:paraId="61917607" w14:textId="77777777" w:rsidR="00952281" w:rsidRDefault="00952281" w:rsidP="00786331">
            <w:pPr>
              <w:pStyle w:val="Tabletextprimarysource"/>
            </w:pPr>
            <w:r>
              <w:t>Human data:</w:t>
            </w:r>
          </w:p>
          <w:p w14:paraId="41B1929A" w14:textId="71BCCD8A" w:rsidR="00952281" w:rsidRDefault="002E2C22" w:rsidP="00750D7F">
            <w:pPr>
              <w:pStyle w:val="ListBullet"/>
              <w:spacing w:before="60" w:after="60"/>
              <w:ind w:left="714" w:hanging="357"/>
              <w:contextualSpacing w:val="0"/>
            </w:pPr>
            <w:r>
              <w:t>Numerous accounts of accidental and suicidal ingestion with death resulting from shock, perforation of the oesophagus, aspiration from the oesophagus into the trachea, pneumonitis, chest cavity inflammation or inanition and infection</w:t>
            </w:r>
          </w:p>
          <w:p w14:paraId="6440DBD3" w14:textId="664A4D34" w:rsidR="002E2C22" w:rsidRDefault="002E2C22" w:rsidP="00750D7F">
            <w:pPr>
              <w:pStyle w:val="ListBullet"/>
              <w:spacing w:before="60" w:after="60"/>
              <w:ind w:left="714" w:hanging="357"/>
              <w:contextualSpacing w:val="0"/>
            </w:pPr>
            <w:r>
              <w:t xml:space="preserve">Similar effects to </w:t>
            </w:r>
            <w:proofErr w:type="spellStart"/>
            <w:r w:rsidR="00B56405">
              <w:t>NaOH</w:t>
            </w:r>
            <w:proofErr w:type="spellEnd"/>
          </w:p>
          <w:p w14:paraId="4DE830FB" w14:textId="77777777" w:rsidR="002E2C22" w:rsidRDefault="00EF7438" w:rsidP="00750D7F">
            <w:pPr>
              <w:pStyle w:val="ListBullet"/>
              <w:spacing w:before="60" w:after="60"/>
              <w:ind w:left="714" w:hanging="357"/>
              <w:contextualSpacing w:val="0"/>
            </w:pPr>
            <w:r>
              <w:t>Eye and respiratory tract irritation and lesions of the nasal septum can occur following exposure to dust or mist</w:t>
            </w:r>
          </w:p>
          <w:p w14:paraId="58C0BADF" w14:textId="308BA85C" w:rsidR="00EF7438" w:rsidRDefault="00EF7438" w:rsidP="00750D7F">
            <w:pPr>
              <w:pStyle w:val="ListBullet"/>
              <w:spacing w:before="60" w:after="60"/>
              <w:ind w:left="714" w:hanging="357"/>
              <w:contextualSpacing w:val="0"/>
            </w:pPr>
            <w:r>
              <w:t>Rapid tissue destruction occurs following skin contact</w:t>
            </w:r>
          </w:p>
          <w:p w14:paraId="78C6B1C7" w14:textId="61BCB33D" w:rsidR="00014248" w:rsidRDefault="00F05AEF" w:rsidP="00750D7F">
            <w:pPr>
              <w:pStyle w:val="ListBullet"/>
              <w:spacing w:before="60" w:after="60"/>
              <w:ind w:left="714" w:hanging="357"/>
              <w:contextualSpacing w:val="0"/>
            </w:pPr>
            <w:r>
              <w:t>One</w:t>
            </w:r>
            <w:r w:rsidR="00014248">
              <w:t xml:space="preserve"> case of oesophageal carcinoma</w:t>
            </w:r>
            <w:r w:rsidR="00293F44">
              <w:t xml:space="preserve"> </w:t>
            </w:r>
            <w:r>
              <w:t>reported</w:t>
            </w:r>
            <w:r w:rsidR="00B56405">
              <w:t>.</w:t>
            </w:r>
          </w:p>
          <w:p w14:paraId="665E5D10" w14:textId="77777777" w:rsidR="00EF7438" w:rsidRDefault="00EF7438" w:rsidP="00786331">
            <w:pPr>
              <w:pStyle w:val="Tabletextprimarysource"/>
            </w:pPr>
            <w:r>
              <w:t>Animal data:</w:t>
            </w:r>
          </w:p>
          <w:p w14:paraId="2440205A" w14:textId="6C0FB6E9" w:rsidR="00293F44" w:rsidRDefault="001C34C5" w:rsidP="00750D7F">
            <w:pPr>
              <w:pStyle w:val="ListBullet"/>
              <w:spacing w:before="60" w:after="60"/>
              <w:ind w:left="714" w:hanging="357"/>
              <w:contextualSpacing w:val="0"/>
            </w:pPr>
            <w:r>
              <w:t xml:space="preserve">Identical pH to </w:t>
            </w:r>
            <w:proofErr w:type="spellStart"/>
            <w:r w:rsidR="00B56405">
              <w:t>Na</w:t>
            </w:r>
            <w:r>
              <w:t>OH</w:t>
            </w:r>
            <w:proofErr w:type="spellEnd"/>
            <w:r>
              <w:t xml:space="preserve"> (based on </w:t>
            </w:r>
            <w:proofErr w:type="spellStart"/>
            <w:r>
              <w:t>equimolar</w:t>
            </w:r>
            <w:proofErr w:type="spellEnd"/>
            <w:r>
              <w:t xml:space="preserve"> concentrations)</w:t>
            </w:r>
            <w:r w:rsidR="00F05AEF">
              <w:t>:</w:t>
            </w:r>
          </w:p>
          <w:p w14:paraId="0A115D2C" w14:textId="732620B4" w:rsidR="00EF7438" w:rsidRDefault="001C34C5" w:rsidP="00293F44">
            <w:pPr>
              <w:pStyle w:val="ListBullet"/>
              <w:numPr>
                <w:ilvl w:val="0"/>
                <w:numId w:val="7"/>
              </w:numPr>
              <w:spacing w:before="60" w:after="60"/>
              <w:contextualSpacing w:val="0"/>
            </w:pPr>
            <w:r>
              <w:t>some evidence that KOH poses greater hazard</w:t>
            </w:r>
          </w:p>
          <w:p w14:paraId="498ADF28" w14:textId="77777777" w:rsidR="001C34C5" w:rsidRDefault="001C34C5" w:rsidP="00750D7F">
            <w:pPr>
              <w:pStyle w:val="ListBullet"/>
              <w:spacing w:before="60" w:after="60"/>
              <w:ind w:left="714" w:hanging="357"/>
              <w:contextualSpacing w:val="0"/>
            </w:pPr>
            <w:r>
              <w:t>Oral doses administered to dogs (concentrations not provided) caused haemorrhagic gastritis</w:t>
            </w:r>
          </w:p>
          <w:p w14:paraId="0BE4EBE9" w14:textId="6C513DA1" w:rsidR="001C34C5" w:rsidRDefault="001C34C5" w:rsidP="00750D7F">
            <w:pPr>
              <w:pStyle w:val="ListBullet"/>
              <w:spacing w:before="60" w:after="60"/>
              <w:ind w:left="714" w:hanging="357"/>
              <w:contextualSpacing w:val="0"/>
            </w:pPr>
            <w:r>
              <w:t>1 mL (25–36% aqueous hydroxide solution) administered to cats caused oesophageal necrosis</w:t>
            </w:r>
            <w:r w:rsidR="000F0588">
              <w:t>.</w:t>
            </w:r>
          </w:p>
          <w:p w14:paraId="13DE0571" w14:textId="77777777" w:rsidR="00293F44" w:rsidRDefault="00293F44" w:rsidP="00786331">
            <w:pPr>
              <w:pStyle w:val="Tabletextprimarysource"/>
            </w:pPr>
          </w:p>
          <w:p w14:paraId="4706C4BA" w14:textId="77777777" w:rsidR="001C34C5" w:rsidRDefault="001C34C5" w:rsidP="00786331">
            <w:pPr>
              <w:pStyle w:val="Tabletextprimarysource"/>
            </w:pPr>
            <w:r>
              <w:t>Insufficient data to recommend skin, SEN or carcinogenicity notations.</w:t>
            </w:r>
          </w:p>
          <w:p w14:paraId="18351FFD" w14:textId="6D072AED" w:rsidR="00293F44" w:rsidRPr="00DA352E" w:rsidRDefault="00293F44" w:rsidP="00786331">
            <w:pPr>
              <w:pStyle w:val="Tabletextprimarysource"/>
            </w:pPr>
          </w:p>
        </w:tc>
      </w:tr>
      <w:tr w:rsidR="00C978F0" w:rsidRPr="00DA352E" w14:paraId="6CD6CF43" w14:textId="77777777" w:rsidTr="00DE26E8">
        <w:trPr>
          <w:gridAfter w:val="1"/>
          <w:wAfter w:w="8" w:type="pct"/>
          <w:cantSplit/>
        </w:trPr>
        <w:tc>
          <w:tcPr>
            <w:tcW w:w="4992" w:type="pct"/>
            <w:shd w:val="clear" w:color="auto" w:fill="F2F2F2" w:themeFill="background1" w:themeFillShade="F2"/>
          </w:tcPr>
          <w:p w14:paraId="5B0BC022" w14:textId="423059DD"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8F7407">
                  <w:t>NA</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proofErr w:type="spellStart"/>
                <w:r w:rsidR="008F7407">
                  <w:t>NA</w:t>
                </w:r>
                <w:proofErr w:type="spellEnd"/>
              </w:sdtContent>
            </w:sdt>
          </w:p>
        </w:tc>
      </w:tr>
      <w:tr w:rsidR="00C978F0" w:rsidRPr="00DA352E" w14:paraId="563C2013" w14:textId="77777777" w:rsidTr="00DE26E8">
        <w:trPr>
          <w:gridAfter w:val="1"/>
          <w:wAfter w:w="8" w:type="pct"/>
          <w:cantSplit/>
        </w:trPr>
        <w:tc>
          <w:tcPr>
            <w:tcW w:w="4992" w:type="pct"/>
          </w:tcPr>
          <w:p w14:paraId="07DA214C" w14:textId="2359AFF3" w:rsidR="00C978F0" w:rsidRPr="00DA352E" w:rsidRDefault="008F7407" w:rsidP="003365A5">
            <w:pPr>
              <w:pStyle w:val="Tabletextprimarysource"/>
            </w:pPr>
            <w:r>
              <w:t>No report</w:t>
            </w:r>
            <w:r w:rsidR="00786331">
              <w:t>.</w:t>
            </w:r>
          </w:p>
        </w:tc>
      </w:tr>
      <w:tr w:rsidR="00C978F0" w:rsidRPr="00DA352E" w14:paraId="3C40BEA7" w14:textId="77777777" w:rsidTr="00DE26E8">
        <w:trPr>
          <w:gridAfter w:val="1"/>
          <w:wAfter w:w="8" w:type="pct"/>
          <w:cantSplit/>
        </w:trPr>
        <w:tc>
          <w:tcPr>
            <w:tcW w:w="4992" w:type="pct"/>
            <w:shd w:val="clear" w:color="auto" w:fill="F2F2F2" w:themeFill="background1" w:themeFillShade="F2"/>
          </w:tcPr>
          <w:p w14:paraId="5BA74CF8" w14:textId="5B1AAE93"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8F7407">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sdt>
                  <w:sdtPr>
                    <w:id w:val="723261311"/>
                    <w:placeholder>
                      <w:docPart w:val="BE82ADF4B9204757A52FE68FB449403A"/>
                    </w:placeholder>
                    <w:text/>
                  </w:sdtPr>
                  <w:sdtEndPr/>
                  <w:sdtContent>
                    <w:proofErr w:type="spellStart"/>
                    <w:r w:rsidR="008F7407">
                      <w:t>NA</w:t>
                    </w:r>
                    <w:proofErr w:type="spellEnd"/>
                  </w:sdtContent>
                </w:sdt>
              </w:sdtContent>
            </w:sdt>
          </w:p>
        </w:tc>
      </w:tr>
      <w:tr w:rsidR="00C978F0" w:rsidRPr="00DA352E" w14:paraId="75BC29B2" w14:textId="77777777" w:rsidTr="00DE26E8">
        <w:trPr>
          <w:gridAfter w:val="1"/>
          <w:wAfter w:w="8" w:type="pct"/>
          <w:cantSplit/>
        </w:trPr>
        <w:tc>
          <w:tcPr>
            <w:tcW w:w="4992" w:type="pct"/>
          </w:tcPr>
          <w:p w14:paraId="1ADEF07A" w14:textId="42BFC06A" w:rsidR="00C978F0" w:rsidRPr="00DA352E" w:rsidRDefault="008F7407" w:rsidP="003365A5">
            <w:pPr>
              <w:pStyle w:val="Tabletextprimarysource"/>
            </w:pPr>
            <w:r>
              <w:t>No report</w:t>
            </w:r>
            <w:r w:rsidR="00786331">
              <w:t>.</w:t>
            </w:r>
          </w:p>
        </w:tc>
      </w:tr>
      <w:tr w:rsidR="00DA352E" w:rsidRPr="00DA352E" w14:paraId="4C68F742" w14:textId="77777777" w:rsidTr="00DE26E8">
        <w:trPr>
          <w:gridAfter w:val="1"/>
          <w:wAfter w:w="8" w:type="pct"/>
          <w:cantSplit/>
        </w:trPr>
        <w:tc>
          <w:tcPr>
            <w:tcW w:w="4992" w:type="pct"/>
            <w:shd w:val="clear" w:color="auto" w:fill="F2F2F2" w:themeFill="background1" w:themeFillShade="F2"/>
          </w:tcPr>
          <w:p w14:paraId="4E988667" w14:textId="253FD723"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8F7407">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sdt>
                  <w:sdtPr>
                    <w:id w:val="1195967972"/>
                    <w:placeholder>
                      <w:docPart w:val="06BA2EE3B33943AF83395EE3AC4D0326"/>
                    </w:placeholder>
                    <w:text/>
                  </w:sdtPr>
                  <w:sdtEndPr/>
                  <w:sdtContent>
                    <w:proofErr w:type="spellStart"/>
                    <w:r w:rsidR="008F7407">
                      <w:t>NA</w:t>
                    </w:r>
                    <w:proofErr w:type="spellEnd"/>
                  </w:sdtContent>
                </w:sdt>
              </w:sdtContent>
            </w:sdt>
          </w:p>
        </w:tc>
      </w:tr>
      <w:tr w:rsidR="00DA352E" w:rsidRPr="00DA352E" w14:paraId="170869B2" w14:textId="77777777" w:rsidTr="00DE26E8">
        <w:trPr>
          <w:gridAfter w:val="1"/>
          <w:wAfter w:w="8" w:type="pct"/>
          <w:cantSplit/>
        </w:trPr>
        <w:tc>
          <w:tcPr>
            <w:tcW w:w="4992" w:type="pct"/>
          </w:tcPr>
          <w:p w14:paraId="71E270A5" w14:textId="514572C1" w:rsidR="00DA352E" w:rsidRPr="00DA352E" w:rsidRDefault="008F7407" w:rsidP="003365A5">
            <w:pPr>
              <w:pStyle w:val="Tabletextprimarysource"/>
            </w:pPr>
            <w:r>
              <w:t>No report</w:t>
            </w:r>
            <w:r w:rsidR="00786331">
              <w:t>.</w:t>
            </w:r>
          </w:p>
        </w:tc>
      </w:tr>
      <w:tr w:rsidR="00DA352E" w:rsidRPr="00DA352E" w14:paraId="76C49973" w14:textId="77777777" w:rsidTr="00DE26E8">
        <w:trPr>
          <w:gridAfter w:val="1"/>
          <w:wAfter w:w="8" w:type="pct"/>
          <w:cantSplit/>
        </w:trPr>
        <w:tc>
          <w:tcPr>
            <w:tcW w:w="4992" w:type="pct"/>
            <w:shd w:val="clear" w:color="auto" w:fill="F2F2F2" w:themeFill="background1" w:themeFillShade="F2"/>
          </w:tcPr>
          <w:p w14:paraId="38CB9FF7" w14:textId="41B5A9DB"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8F7407">
                  <w:t>2004</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0114DC" w:rsidRPr="000114DC">
                  <w:t>Ceiling limit</w:t>
                </w:r>
                <w:r w:rsidR="000114DC">
                  <w:t>: 2 mg/m</w:t>
                </w:r>
                <w:r w:rsidR="000114DC" w:rsidRPr="000114DC">
                  <w:rPr>
                    <w:vertAlign w:val="superscript"/>
                  </w:rPr>
                  <w:t>3</w:t>
                </w:r>
              </w:sdtContent>
            </w:sdt>
          </w:p>
        </w:tc>
      </w:tr>
      <w:tr w:rsidR="00DA352E" w:rsidRPr="00DA352E" w14:paraId="7B8F1DF7" w14:textId="77777777" w:rsidTr="00293F44">
        <w:trPr>
          <w:gridAfter w:val="1"/>
          <w:wAfter w:w="8" w:type="pct"/>
        </w:trPr>
        <w:tc>
          <w:tcPr>
            <w:tcW w:w="4992" w:type="pct"/>
          </w:tcPr>
          <w:p w14:paraId="23DFC62B" w14:textId="77777777" w:rsidR="00DA352E" w:rsidRDefault="001C34C5" w:rsidP="00786331">
            <w:pPr>
              <w:pStyle w:val="Tabletextprimarysource"/>
            </w:pPr>
            <w:r>
              <w:t>Summary of additional data:</w:t>
            </w:r>
          </w:p>
          <w:p w14:paraId="3FCDD43F" w14:textId="2ABBB68F" w:rsidR="001C34C5" w:rsidRDefault="00014248" w:rsidP="00750D7F">
            <w:pPr>
              <w:pStyle w:val="ListBullet"/>
              <w:spacing w:before="60" w:after="60"/>
              <w:ind w:left="714" w:hanging="357"/>
              <w:contextualSpacing w:val="0"/>
            </w:pPr>
            <w:r>
              <w:t>10% of workers developed allergic dermatitis when exposed during ascorbic acid production</w:t>
            </w:r>
          </w:p>
          <w:p w14:paraId="66CFD161" w14:textId="731F5027" w:rsidR="00014248" w:rsidRDefault="00014248" w:rsidP="00750D7F">
            <w:pPr>
              <w:pStyle w:val="ListBullet"/>
              <w:spacing w:before="60" w:after="60"/>
              <w:ind w:left="714" w:hanging="357"/>
              <w:contextualSpacing w:val="0"/>
            </w:pPr>
            <w:r>
              <w:t>Dermal application of 1</w:t>
            </w:r>
            <w:r w:rsidR="00786331">
              <w:t>–</w:t>
            </w:r>
            <w:r>
              <w:t>10% aqueous solutions corrosive and/or severely irritating to rabbits (after 4 h and 24 h)</w:t>
            </w:r>
          </w:p>
          <w:p w14:paraId="5B37DE7A" w14:textId="6E309BB0" w:rsidR="00014248" w:rsidRDefault="00014248" w:rsidP="00750D7F">
            <w:pPr>
              <w:pStyle w:val="ListBullet"/>
              <w:spacing w:before="60" w:after="60"/>
              <w:ind w:left="714" w:hanging="357"/>
              <w:contextualSpacing w:val="0"/>
            </w:pPr>
            <w:r>
              <w:t>0.5</w:t>
            </w:r>
            <w:r w:rsidR="00786331">
              <w:t>–</w:t>
            </w:r>
            <w:r>
              <w:t>5% solutions irritating to corrosive in rabbit eye</w:t>
            </w:r>
          </w:p>
          <w:p w14:paraId="399DD420" w14:textId="77777777" w:rsidR="00014248" w:rsidRDefault="00014248" w:rsidP="00750D7F">
            <w:pPr>
              <w:pStyle w:val="ListBullet"/>
              <w:spacing w:before="60" w:after="60"/>
              <w:ind w:left="714" w:hanging="357"/>
              <w:contextualSpacing w:val="0"/>
            </w:pPr>
            <w:r>
              <w:t xml:space="preserve">Not sensitising to guinea pigs following repeated </w:t>
            </w:r>
            <w:proofErr w:type="spellStart"/>
            <w:r>
              <w:t>intracutaneous</w:t>
            </w:r>
            <w:proofErr w:type="spellEnd"/>
            <w:r>
              <w:t xml:space="preserve"> injections</w:t>
            </w:r>
          </w:p>
          <w:p w14:paraId="1CF5D139" w14:textId="7E576350" w:rsidR="00014248" w:rsidRDefault="00014248" w:rsidP="00750D7F">
            <w:pPr>
              <w:pStyle w:val="ListBullet"/>
              <w:spacing w:before="60" w:after="60"/>
              <w:ind w:left="714" w:hanging="357"/>
              <w:contextualSpacing w:val="0"/>
            </w:pPr>
            <w:r>
              <w:t>LD</w:t>
            </w:r>
            <w:r w:rsidRPr="00014248">
              <w:rPr>
                <w:vertAlign w:val="subscript"/>
              </w:rPr>
              <w:t>50</w:t>
            </w:r>
            <w:r>
              <w:t xml:space="preserve">: </w:t>
            </w:r>
            <w:r w:rsidR="00BC59F3">
              <w:t>214</w:t>
            </w:r>
            <w:r w:rsidR="00786331">
              <w:t>–</w:t>
            </w:r>
            <w:r w:rsidR="00BC59F3">
              <w:t>1,890 mg/kg (rat, oral)</w:t>
            </w:r>
          </w:p>
          <w:p w14:paraId="44A2BB32" w14:textId="112B24E8" w:rsidR="00293F44" w:rsidRDefault="000B3BCB" w:rsidP="00750D7F">
            <w:pPr>
              <w:pStyle w:val="ListBullet"/>
              <w:spacing w:before="60" w:after="60"/>
              <w:ind w:left="714" w:hanging="357"/>
              <w:contextualSpacing w:val="0"/>
            </w:pPr>
            <w:r>
              <w:lastRenderedPageBreak/>
              <w:t xml:space="preserve">Negative in </w:t>
            </w:r>
            <w:r>
              <w:rPr>
                <w:i/>
              </w:rPr>
              <w:t xml:space="preserve">in vitro </w:t>
            </w:r>
            <w:r>
              <w:t xml:space="preserve">test for </w:t>
            </w:r>
            <w:proofErr w:type="spellStart"/>
            <w:r>
              <w:t>genotoxicity</w:t>
            </w:r>
            <w:proofErr w:type="spellEnd"/>
            <w:r>
              <w:t xml:space="preserve"> with </w:t>
            </w:r>
            <w:r>
              <w:rPr>
                <w:i/>
              </w:rPr>
              <w:t>E. coli</w:t>
            </w:r>
            <w:r>
              <w:t>; positive result with Chinese hamster ovary K1 cells (with metabolic activation)</w:t>
            </w:r>
            <w:r w:rsidR="000F0588">
              <w:t xml:space="preserve"> and interfered with G- and C- banding patterns of human chromosomes</w:t>
            </w:r>
            <w:r w:rsidR="00F05AEF">
              <w:t>:</w:t>
            </w:r>
          </w:p>
          <w:p w14:paraId="6B2201DE" w14:textId="7182DE9A" w:rsidR="000B3BCB" w:rsidRDefault="000F0588" w:rsidP="00293F44">
            <w:pPr>
              <w:pStyle w:val="ListBullet"/>
              <w:numPr>
                <w:ilvl w:val="0"/>
                <w:numId w:val="7"/>
              </w:numPr>
              <w:spacing w:before="60" w:after="60"/>
              <w:contextualSpacing w:val="0"/>
            </w:pPr>
            <w:r>
              <w:t>positive responses considered likely due to high pH in the culture medium</w:t>
            </w:r>
          </w:p>
          <w:p w14:paraId="788A9906" w14:textId="3AA0881E" w:rsidR="00293F44" w:rsidRDefault="000B3BCB" w:rsidP="00750D7F">
            <w:pPr>
              <w:pStyle w:val="ListBullet"/>
              <w:spacing w:before="60" w:after="60"/>
              <w:ind w:left="714" w:hanging="357"/>
              <w:contextualSpacing w:val="0"/>
            </w:pPr>
            <w:r>
              <w:t>Following repeated applications (3–6% aqueous solutions) to m</w:t>
            </w:r>
            <w:r w:rsidR="00293F44">
              <w:t>ous</w:t>
            </w:r>
            <w:r>
              <w:t xml:space="preserve">e skin (46 </w:t>
            </w:r>
            <w:proofErr w:type="spellStart"/>
            <w:r>
              <w:t>wk</w:t>
            </w:r>
            <w:proofErr w:type="spellEnd"/>
            <w:r>
              <w:t>), increased incidence of skin tumours</w:t>
            </w:r>
            <w:r w:rsidR="00386533">
              <w:t>, associated with severe skin damage causing epidermal hyperplasia</w:t>
            </w:r>
            <w:r w:rsidR="00F05AEF">
              <w:t>:</w:t>
            </w:r>
          </w:p>
          <w:p w14:paraId="6293A60A" w14:textId="18B5A332" w:rsidR="00B56405" w:rsidRDefault="00386533" w:rsidP="00293F44">
            <w:pPr>
              <w:pStyle w:val="ListBullet"/>
              <w:numPr>
                <w:ilvl w:val="0"/>
                <w:numId w:val="7"/>
              </w:numPr>
              <w:spacing w:before="60" w:after="60"/>
              <w:contextualSpacing w:val="0"/>
            </w:pPr>
            <w:r>
              <w:t>n</w:t>
            </w:r>
            <w:r w:rsidR="000B3BCB">
              <w:t>on-genotoxic mechanism assumed</w:t>
            </w:r>
          </w:p>
          <w:p w14:paraId="3E954ADF" w14:textId="77777777" w:rsidR="00386533" w:rsidRDefault="00B56405" w:rsidP="00750D7F">
            <w:pPr>
              <w:pStyle w:val="ListBullet"/>
              <w:spacing w:before="60" w:after="60"/>
              <w:ind w:left="714" w:hanging="357"/>
              <w:contextualSpacing w:val="0"/>
            </w:pPr>
            <w:r>
              <w:t xml:space="preserve">Committee concluded that insufficient information to </w:t>
            </w:r>
            <w:r w:rsidR="005063E5">
              <w:t>comment on administrative value or recommend health-based OEL</w:t>
            </w:r>
            <w:r w:rsidR="000F0588">
              <w:t>.</w:t>
            </w:r>
          </w:p>
          <w:p w14:paraId="6F3FBEFF" w14:textId="66935E4B" w:rsidR="00F40D3A" w:rsidRPr="00DA352E" w:rsidRDefault="00F40D3A" w:rsidP="00293F44">
            <w:pPr>
              <w:pStyle w:val="ListBullet"/>
              <w:numPr>
                <w:ilvl w:val="0"/>
                <w:numId w:val="0"/>
              </w:numPr>
              <w:spacing w:before="60" w:after="60"/>
              <w:ind w:left="714"/>
              <w:contextualSpacing w:val="0"/>
            </w:pPr>
          </w:p>
        </w:tc>
      </w:tr>
    </w:tbl>
    <w:p w14:paraId="3C7D8B23" w14:textId="77777777" w:rsidR="00A20751" w:rsidRPr="004C23F4" w:rsidRDefault="00A20751" w:rsidP="003365A5">
      <w:pPr>
        <w:pStyle w:val="Heading3"/>
      </w:pPr>
      <w:bookmarkStart w:id="0" w:name="SecondSource"/>
      <w:r w:rsidRPr="004C23F4">
        <w:lastRenderedPageBreak/>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6"/>
        <w:gridCol w:w="423"/>
        <w:gridCol w:w="661"/>
        <w:gridCol w:w="6446"/>
      </w:tblGrid>
      <w:tr w:rsidR="004966BF" w:rsidRPr="00263255" w14:paraId="47939240" w14:textId="77777777" w:rsidTr="00770057">
        <w:trPr>
          <w:cantSplit/>
          <w:trHeight w:val="393"/>
          <w:tblHeader/>
        </w:trPr>
        <w:tc>
          <w:tcPr>
            <w:tcW w:w="1496" w:type="dxa"/>
            <w:shd w:val="clear" w:color="auto" w:fill="BFBFBF" w:themeFill="background1" w:themeFillShade="BF"/>
            <w:vAlign w:val="center"/>
          </w:tcPr>
          <w:p w14:paraId="374F81AD" w14:textId="77777777" w:rsidR="004966BF" w:rsidRPr="00263255" w:rsidRDefault="004966BF" w:rsidP="00263255">
            <w:pPr>
              <w:pStyle w:val="Tableheader"/>
            </w:pPr>
            <w:r w:rsidRPr="00263255">
              <w:t>Source</w:t>
            </w:r>
          </w:p>
        </w:tc>
        <w:tc>
          <w:tcPr>
            <w:tcW w:w="423" w:type="dxa"/>
            <w:shd w:val="clear" w:color="auto" w:fill="BFBFBF" w:themeFill="background1" w:themeFillShade="BF"/>
            <w:vAlign w:val="center"/>
          </w:tcPr>
          <w:p w14:paraId="002E9A06" w14:textId="77777777" w:rsidR="004966BF" w:rsidRPr="00263255" w:rsidRDefault="004966BF" w:rsidP="00263255">
            <w:pPr>
              <w:pStyle w:val="Tableheader"/>
            </w:pPr>
          </w:p>
        </w:tc>
        <w:tc>
          <w:tcPr>
            <w:tcW w:w="661" w:type="dxa"/>
            <w:shd w:val="clear" w:color="auto" w:fill="BFBFBF" w:themeFill="background1" w:themeFillShade="BF"/>
            <w:vAlign w:val="center"/>
          </w:tcPr>
          <w:p w14:paraId="16D7994C" w14:textId="77777777" w:rsidR="004966BF" w:rsidRPr="00263255" w:rsidRDefault="004966BF" w:rsidP="00263255">
            <w:pPr>
              <w:pStyle w:val="Tableheader"/>
            </w:pPr>
            <w:r>
              <w:t>Year</w:t>
            </w:r>
          </w:p>
        </w:tc>
        <w:tc>
          <w:tcPr>
            <w:tcW w:w="6446" w:type="dxa"/>
            <w:shd w:val="clear" w:color="auto" w:fill="BFBFBF" w:themeFill="background1" w:themeFillShade="BF"/>
            <w:vAlign w:val="center"/>
          </w:tcPr>
          <w:p w14:paraId="6820A62A" w14:textId="77777777" w:rsidR="004966BF" w:rsidRPr="00263255" w:rsidRDefault="004966BF" w:rsidP="00263255">
            <w:pPr>
              <w:pStyle w:val="Tableheader"/>
            </w:pPr>
            <w:r>
              <w:t>Additional information</w:t>
            </w:r>
          </w:p>
        </w:tc>
      </w:tr>
      <w:tr w:rsidR="004966BF" w:rsidRPr="004C23F4" w14:paraId="327BC7FF" w14:textId="77777777" w:rsidTr="00770057">
        <w:trPr>
          <w:cantSplit/>
        </w:trPr>
        <w:tc>
          <w:tcPr>
            <w:tcW w:w="1496" w:type="dxa"/>
          </w:tcPr>
          <w:p w14:paraId="0A2756E0" w14:textId="77777777" w:rsidR="004966BF" w:rsidRPr="004C23F4" w:rsidRDefault="004966BF" w:rsidP="00224EE2">
            <w:pPr>
              <w:pStyle w:val="Tablefont"/>
            </w:pPr>
            <w:r>
              <w:t>NICNAS</w:t>
            </w:r>
          </w:p>
        </w:tc>
        <w:tc>
          <w:tcPr>
            <w:tcW w:w="423" w:type="dxa"/>
          </w:tcPr>
          <w:p w14:paraId="223C7657" w14:textId="5347CD04" w:rsidR="004966BF" w:rsidRPr="00CE617F" w:rsidRDefault="00F739A2"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0F0588">
                  <w:rPr>
                    <w:rStyle w:val="checkbox"/>
                  </w:rPr>
                  <w:t></w:t>
                </w:r>
              </w:sdtContent>
            </w:sdt>
          </w:p>
        </w:tc>
        <w:tc>
          <w:tcPr>
            <w:tcW w:w="661" w:type="dxa"/>
          </w:tcPr>
          <w:p w14:paraId="0494AC78" w14:textId="31310DDF" w:rsidR="004966BF" w:rsidRPr="004C23F4" w:rsidRDefault="000F0588" w:rsidP="00717D45">
            <w:pPr>
              <w:pStyle w:val="Tablefont"/>
              <w:rPr>
                <w:rStyle w:val="checkbox"/>
                <w:rFonts w:ascii="Arial" w:hAnsi="Arial" w:cs="Arial"/>
              </w:rPr>
            </w:pPr>
            <w:r>
              <w:rPr>
                <w:rStyle w:val="checkbox"/>
                <w:rFonts w:ascii="Arial" w:hAnsi="Arial" w:cs="Arial"/>
              </w:rPr>
              <w:t>2015</w:t>
            </w:r>
          </w:p>
        </w:tc>
        <w:tc>
          <w:tcPr>
            <w:tcW w:w="6446" w:type="dxa"/>
          </w:tcPr>
          <w:p w14:paraId="56A9284C" w14:textId="53BD456A" w:rsidR="004966BF" w:rsidRPr="004C23F4" w:rsidRDefault="00770057" w:rsidP="00750D7F">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 xml:space="preserve">No </w:t>
            </w:r>
            <w:r w:rsidRPr="00750D7F">
              <w:t>additional</w:t>
            </w:r>
            <w:r>
              <w:rPr>
                <w:rStyle w:val="checkbox"/>
                <w:rFonts w:ascii="Arial" w:hAnsi="Arial" w:cs="Arial"/>
              </w:rPr>
              <w:t xml:space="preserve"> information</w:t>
            </w:r>
            <w:r w:rsidR="00DE0F83">
              <w:rPr>
                <w:rStyle w:val="checkbox"/>
                <w:rFonts w:ascii="Arial" w:hAnsi="Arial" w:cs="Arial"/>
              </w:rPr>
              <w:t>.</w:t>
            </w:r>
          </w:p>
        </w:tc>
      </w:tr>
      <w:tr w:rsidR="004966BF" w:rsidRPr="004C23F4" w14:paraId="6258396F" w14:textId="77777777" w:rsidTr="00770057">
        <w:trPr>
          <w:cantSplit/>
        </w:trPr>
        <w:tc>
          <w:tcPr>
            <w:tcW w:w="1496" w:type="dxa"/>
          </w:tcPr>
          <w:p w14:paraId="0B1A4A65" w14:textId="77777777" w:rsidR="004966BF" w:rsidRPr="004C23F4" w:rsidRDefault="004966BF" w:rsidP="00224EE2">
            <w:pPr>
              <w:pStyle w:val="Tablefont"/>
            </w:pPr>
            <w:r>
              <w:t>ECHA</w:t>
            </w:r>
          </w:p>
        </w:tc>
        <w:tc>
          <w:tcPr>
            <w:tcW w:w="423" w:type="dxa"/>
          </w:tcPr>
          <w:p w14:paraId="0AA4C2E3" w14:textId="39838BAE" w:rsidR="004966BF" w:rsidRPr="00CE617F" w:rsidRDefault="00F739A2"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770057">
                  <w:rPr>
                    <w:rStyle w:val="checkbox"/>
                  </w:rPr>
                  <w:t></w:t>
                </w:r>
              </w:sdtContent>
            </w:sdt>
          </w:p>
        </w:tc>
        <w:tc>
          <w:tcPr>
            <w:tcW w:w="661" w:type="dxa"/>
          </w:tcPr>
          <w:p w14:paraId="6DD528CC" w14:textId="40373ADD" w:rsidR="004966BF" w:rsidRPr="004C23F4" w:rsidRDefault="00770057" w:rsidP="00717D45">
            <w:pPr>
              <w:pStyle w:val="Tablefont"/>
              <w:rPr>
                <w:rStyle w:val="checkbox"/>
                <w:rFonts w:ascii="Arial" w:hAnsi="Arial" w:cs="Arial"/>
              </w:rPr>
            </w:pPr>
            <w:r>
              <w:rPr>
                <w:rStyle w:val="checkbox"/>
                <w:rFonts w:ascii="Arial" w:hAnsi="Arial" w:cs="Arial"/>
              </w:rPr>
              <w:t>2019</w:t>
            </w:r>
          </w:p>
        </w:tc>
        <w:tc>
          <w:tcPr>
            <w:tcW w:w="6446" w:type="dxa"/>
          </w:tcPr>
          <w:p w14:paraId="0F74B92D" w14:textId="0B427B73" w:rsidR="00293F44" w:rsidRDefault="00004237" w:rsidP="00750D7F">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 xml:space="preserve">Not </w:t>
            </w:r>
            <w:r w:rsidRPr="00750D7F">
              <w:t>expected</w:t>
            </w:r>
            <w:r>
              <w:rPr>
                <w:rStyle w:val="checkbox"/>
                <w:rFonts w:ascii="Arial" w:hAnsi="Arial" w:cs="Arial"/>
              </w:rPr>
              <w:t xml:space="preserve"> to be systemically available </w:t>
            </w:r>
            <w:r w:rsidR="00287C65">
              <w:rPr>
                <w:rStyle w:val="checkbox"/>
                <w:rFonts w:ascii="Arial" w:hAnsi="Arial" w:cs="Arial"/>
              </w:rPr>
              <w:t>during</w:t>
            </w:r>
            <w:r>
              <w:rPr>
                <w:rStyle w:val="checkbox"/>
                <w:rFonts w:ascii="Arial" w:hAnsi="Arial" w:cs="Arial"/>
              </w:rPr>
              <w:t xml:space="preserve"> normal handling and use</w:t>
            </w:r>
          </w:p>
          <w:p w14:paraId="60777AB1" w14:textId="66380DC2" w:rsidR="004966BF" w:rsidRDefault="00287C65" w:rsidP="00293F44">
            <w:pPr>
              <w:pStyle w:val="ListBullet"/>
              <w:numPr>
                <w:ilvl w:val="0"/>
                <w:numId w:val="7"/>
              </w:numPr>
              <w:spacing w:before="60" w:after="60"/>
              <w:contextualSpacing w:val="0"/>
              <w:rPr>
                <w:rStyle w:val="checkbox"/>
                <w:rFonts w:ascii="Arial" w:hAnsi="Arial" w:cs="Arial"/>
                <w:lang w:eastAsia="en-AU"/>
              </w:rPr>
            </w:pPr>
            <w:r>
              <w:rPr>
                <w:rStyle w:val="checkbox"/>
                <w:rFonts w:ascii="Arial" w:hAnsi="Arial" w:cs="Arial"/>
              </w:rPr>
              <w:t xml:space="preserve">systemic effects after repeated exposure not </w:t>
            </w:r>
            <w:r w:rsidRPr="00750D7F">
              <w:t>expected</w:t>
            </w:r>
          </w:p>
          <w:p w14:paraId="258B0C01" w14:textId="402F5EB2" w:rsidR="00287C65" w:rsidRPr="004C23F4" w:rsidRDefault="002F10D9" w:rsidP="00750D7F">
            <w:pPr>
              <w:pStyle w:val="ListBullet"/>
              <w:spacing w:before="60" w:after="60"/>
              <w:ind w:left="714" w:hanging="357"/>
              <w:contextualSpacing w:val="0"/>
              <w:rPr>
                <w:rStyle w:val="checkbox"/>
                <w:rFonts w:ascii="Arial" w:hAnsi="Arial" w:cs="Arial"/>
              </w:rPr>
            </w:pPr>
            <w:r>
              <w:rPr>
                <w:rStyle w:val="checkbox"/>
                <w:rFonts w:ascii="Arial" w:hAnsi="Arial" w:cs="Arial"/>
              </w:rPr>
              <w:t>By analogy to NOEL of 1 mg/m</w:t>
            </w:r>
            <w:r w:rsidRPr="002F10D9">
              <w:rPr>
                <w:rStyle w:val="checkbox"/>
                <w:rFonts w:ascii="Arial" w:hAnsi="Arial" w:cs="Arial"/>
                <w:vertAlign w:val="superscript"/>
              </w:rPr>
              <w:t>3</w:t>
            </w:r>
            <w:r>
              <w:rPr>
                <w:rStyle w:val="checkbox"/>
                <w:rFonts w:ascii="Arial" w:hAnsi="Arial" w:cs="Arial"/>
              </w:rPr>
              <w:t xml:space="preserve"> for </w:t>
            </w:r>
            <w:proofErr w:type="spellStart"/>
            <w:r>
              <w:rPr>
                <w:rStyle w:val="checkbox"/>
                <w:rFonts w:ascii="Arial" w:hAnsi="Arial" w:cs="Arial"/>
              </w:rPr>
              <w:t>NaOH</w:t>
            </w:r>
            <w:proofErr w:type="spellEnd"/>
            <w:r>
              <w:rPr>
                <w:rStyle w:val="checkbox"/>
                <w:rFonts w:ascii="Arial" w:hAnsi="Arial" w:cs="Arial"/>
              </w:rPr>
              <w:t xml:space="preserve"> mist </w:t>
            </w:r>
            <w:r w:rsidR="00DE0F83">
              <w:rPr>
                <w:rStyle w:val="checkbox"/>
                <w:rFonts w:ascii="Arial" w:hAnsi="Arial" w:cs="Arial"/>
              </w:rPr>
              <w:t>(</w:t>
            </w:r>
            <w:r>
              <w:rPr>
                <w:rStyle w:val="checkbox"/>
                <w:rFonts w:ascii="Arial" w:hAnsi="Arial" w:cs="Arial"/>
              </w:rPr>
              <w:t>based on respiratory irritation</w:t>
            </w:r>
            <w:r w:rsidR="00DE0F83">
              <w:rPr>
                <w:rStyle w:val="checkbox"/>
                <w:rFonts w:ascii="Arial" w:hAnsi="Arial" w:cs="Arial"/>
              </w:rPr>
              <w:t>),</w:t>
            </w:r>
            <w:r>
              <w:rPr>
                <w:rStyle w:val="checkbox"/>
                <w:rFonts w:ascii="Arial" w:hAnsi="Arial" w:cs="Arial"/>
              </w:rPr>
              <w:t xml:space="preserve"> DNEL is 1 mg/m</w:t>
            </w:r>
            <w:r w:rsidRPr="002F10D9">
              <w:rPr>
                <w:rStyle w:val="checkbox"/>
                <w:rFonts w:ascii="Arial" w:hAnsi="Arial" w:cs="Arial"/>
                <w:vertAlign w:val="superscript"/>
              </w:rPr>
              <w:t>3</w:t>
            </w:r>
            <w:r>
              <w:rPr>
                <w:rStyle w:val="checkbox"/>
                <w:rFonts w:ascii="Arial" w:hAnsi="Arial" w:cs="Arial"/>
              </w:rPr>
              <w:t>.</w:t>
            </w:r>
          </w:p>
        </w:tc>
      </w:tr>
      <w:tr w:rsidR="004966BF" w:rsidRPr="004C23F4" w14:paraId="41E5A99B" w14:textId="77777777" w:rsidTr="00770057">
        <w:trPr>
          <w:cantSplit/>
        </w:trPr>
        <w:tc>
          <w:tcPr>
            <w:tcW w:w="1496" w:type="dxa"/>
          </w:tcPr>
          <w:p w14:paraId="561251EF" w14:textId="77777777" w:rsidR="004966BF" w:rsidRDefault="004966BF" w:rsidP="00224EE2">
            <w:pPr>
              <w:pStyle w:val="Tablefont"/>
            </w:pPr>
            <w:r>
              <w:t>US NIOSH</w:t>
            </w:r>
          </w:p>
        </w:tc>
        <w:tc>
          <w:tcPr>
            <w:tcW w:w="423" w:type="dxa"/>
          </w:tcPr>
          <w:p w14:paraId="17DE1498" w14:textId="3B594E88" w:rsidR="004966BF" w:rsidRDefault="00F739A2"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770057">
                  <w:rPr>
                    <w:rStyle w:val="checkbox"/>
                  </w:rPr>
                  <w:t></w:t>
                </w:r>
              </w:sdtContent>
            </w:sdt>
          </w:p>
        </w:tc>
        <w:tc>
          <w:tcPr>
            <w:tcW w:w="661" w:type="dxa"/>
          </w:tcPr>
          <w:p w14:paraId="3DC8CBBC" w14:textId="3C6AECC0" w:rsidR="004966BF" w:rsidRPr="004C23F4" w:rsidRDefault="00770057" w:rsidP="00717D45">
            <w:pPr>
              <w:pStyle w:val="Tablefont"/>
              <w:rPr>
                <w:rStyle w:val="checkbox"/>
                <w:rFonts w:ascii="Arial" w:hAnsi="Arial" w:cs="Arial"/>
              </w:rPr>
            </w:pPr>
            <w:r>
              <w:rPr>
                <w:rStyle w:val="checkbox"/>
                <w:rFonts w:ascii="Arial" w:hAnsi="Arial" w:cs="Arial"/>
              </w:rPr>
              <w:t>2007</w:t>
            </w:r>
          </w:p>
        </w:tc>
        <w:tc>
          <w:tcPr>
            <w:tcW w:w="6446" w:type="dxa"/>
          </w:tcPr>
          <w:p w14:paraId="5B3CADD5" w14:textId="332F2A19" w:rsidR="004966BF" w:rsidRPr="004C23F4" w:rsidRDefault="00770057" w:rsidP="00750D7F">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REL =2 mg/m</w:t>
            </w:r>
            <w:r w:rsidRPr="00770057">
              <w:rPr>
                <w:rStyle w:val="checkbox"/>
                <w:rFonts w:ascii="Arial" w:hAnsi="Arial" w:cs="Arial"/>
                <w:vertAlign w:val="superscript"/>
              </w:rPr>
              <w:t>3</w:t>
            </w:r>
            <w:r>
              <w:rPr>
                <w:rStyle w:val="checkbox"/>
                <w:rFonts w:ascii="Arial" w:hAnsi="Arial" w:cs="Arial"/>
              </w:rPr>
              <w:t xml:space="preserve"> </w:t>
            </w:r>
            <w:r w:rsidRPr="00750D7F">
              <w:t>ceiling</w:t>
            </w:r>
            <w:r w:rsidR="00DE0F83">
              <w:rPr>
                <w:rStyle w:val="checkbox"/>
                <w:rFonts w:ascii="Arial" w:hAnsi="Arial" w:cs="Arial"/>
              </w:rPr>
              <w:t>.</w:t>
            </w:r>
          </w:p>
        </w:tc>
      </w:tr>
    </w:tbl>
    <w:bookmarkEnd w:id="0"/>
    <w:p w14:paraId="3683FE39"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3DE848A1" w14:textId="77777777" w:rsidTr="00287C65">
        <w:trPr>
          <w:trHeight w:val="454"/>
          <w:tblHeader/>
        </w:trPr>
        <w:tc>
          <w:tcPr>
            <w:tcW w:w="6603" w:type="dxa"/>
            <w:vAlign w:val="center"/>
          </w:tcPr>
          <w:p w14:paraId="00BCB185"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61F2E281" w14:textId="5E3CE8EE" w:rsidR="002E0D61" w:rsidRDefault="00DE0F83" w:rsidP="00C3091E">
                <w:pPr>
                  <w:pStyle w:val="Tablefont"/>
                  <w:keepNext/>
                  <w:keepLines/>
                  <w:spacing w:before="40" w:after="40"/>
                </w:pPr>
                <w:r>
                  <w:t>No</w:t>
                </w:r>
              </w:p>
            </w:tc>
          </w:sdtContent>
        </w:sdt>
      </w:tr>
      <w:tr w:rsidR="008A36CF" w14:paraId="72219E5A" w14:textId="77777777" w:rsidTr="00287C65">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62B32D4E" w14:textId="06972DE7" w:rsidR="008A36CF" w:rsidRPr="006901A2" w:rsidRDefault="00DE0F83"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0EDDE833" w14:textId="77777777" w:rsidR="008A36CF" w:rsidRDefault="008A36CF" w:rsidP="008A36CF">
            <w:pPr>
              <w:pStyle w:val="Tablefont"/>
              <w:keepNext/>
              <w:keepLines/>
              <w:spacing w:before="40" w:after="40"/>
            </w:pPr>
          </w:p>
        </w:tc>
      </w:tr>
    </w:tbl>
    <w:bookmarkEnd w:id="1"/>
    <w:p w14:paraId="7D859811"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5D05B2E8" w14:textId="77777777" w:rsidTr="00812887">
        <w:trPr>
          <w:cantSplit/>
          <w:tblHeader/>
        </w:trPr>
        <w:tc>
          <w:tcPr>
            <w:tcW w:w="3227" w:type="dxa"/>
            <w:shd w:val="clear" w:color="auto" w:fill="BFBFBF" w:themeFill="background1" w:themeFillShade="BF"/>
            <w:vAlign w:val="center"/>
          </w:tcPr>
          <w:p w14:paraId="0927C92D"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565D86B5" w14:textId="77777777" w:rsidR="00687890" w:rsidRPr="004C23F4" w:rsidRDefault="00687890" w:rsidP="00F4402E">
            <w:pPr>
              <w:pStyle w:val="Tableheader"/>
              <w:tabs>
                <w:tab w:val="right" w:pos="5272"/>
              </w:tabs>
            </w:pPr>
            <w:r w:rsidRPr="004C23F4">
              <w:t>Notations</w:t>
            </w:r>
            <w:r w:rsidR="003A2B94">
              <w:tab/>
            </w:r>
          </w:p>
        </w:tc>
      </w:tr>
      <w:tr w:rsidR="00687890" w:rsidRPr="004C23F4" w14:paraId="46839030" w14:textId="77777777" w:rsidTr="00812887">
        <w:trPr>
          <w:cantSplit/>
        </w:trPr>
        <w:tc>
          <w:tcPr>
            <w:tcW w:w="3227" w:type="dxa"/>
          </w:tcPr>
          <w:p w14:paraId="3EAD505D" w14:textId="77777777" w:rsidR="004079B4" w:rsidRPr="004C23F4" w:rsidRDefault="00084513" w:rsidP="00F4402E">
            <w:pPr>
              <w:pStyle w:val="Tablefont"/>
            </w:pPr>
            <w:r w:rsidRPr="004C23F4">
              <w:t>SWA</w:t>
            </w:r>
          </w:p>
        </w:tc>
        <w:tc>
          <w:tcPr>
            <w:tcW w:w="6015" w:type="dxa"/>
          </w:tcPr>
          <w:p w14:paraId="19F0D0B6" w14:textId="5B410019" w:rsidR="00687890" w:rsidRPr="00DD2F9B" w:rsidRDefault="000114DC" w:rsidP="00DD2F9B">
            <w:pPr>
              <w:pStyle w:val="Tablefont"/>
            </w:pPr>
            <w:r w:rsidRPr="000114DC">
              <w:t>—</w:t>
            </w:r>
          </w:p>
        </w:tc>
      </w:tr>
      <w:tr w:rsidR="007925F0" w:rsidRPr="004C23F4" w14:paraId="24C13D6A" w14:textId="77777777" w:rsidTr="00812887">
        <w:trPr>
          <w:cantSplit/>
        </w:trPr>
        <w:tc>
          <w:tcPr>
            <w:tcW w:w="3227" w:type="dxa"/>
          </w:tcPr>
          <w:p w14:paraId="403F5283" w14:textId="77777777" w:rsidR="004079B4" w:rsidRPr="004C23F4" w:rsidRDefault="007925F0" w:rsidP="00F4402E">
            <w:pPr>
              <w:pStyle w:val="Tablefont"/>
            </w:pPr>
            <w:r>
              <w:t>HCIS</w:t>
            </w:r>
          </w:p>
        </w:tc>
        <w:tc>
          <w:tcPr>
            <w:tcW w:w="6015" w:type="dxa"/>
          </w:tcPr>
          <w:p w14:paraId="584D3398" w14:textId="4E7791E3" w:rsidR="007925F0" w:rsidRPr="00DD2F9B" w:rsidRDefault="000114DC" w:rsidP="00DD2F9B">
            <w:pPr>
              <w:pStyle w:val="Tablefont"/>
            </w:pPr>
            <w:r w:rsidRPr="000114DC">
              <w:t>—</w:t>
            </w:r>
          </w:p>
        </w:tc>
      </w:tr>
      <w:tr w:rsidR="00AF483F" w:rsidRPr="004C23F4" w14:paraId="599105AE" w14:textId="77777777" w:rsidTr="00812887">
        <w:trPr>
          <w:cantSplit/>
        </w:trPr>
        <w:tc>
          <w:tcPr>
            <w:tcW w:w="3227" w:type="dxa"/>
          </w:tcPr>
          <w:p w14:paraId="245DD444" w14:textId="77777777" w:rsidR="00AF483F" w:rsidRPr="004C23F4" w:rsidRDefault="00AF483F" w:rsidP="00F4402E">
            <w:pPr>
              <w:pStyle w:val="Tablefont"/>
            </w:pPr>
            <w:r>
              <w:t>NICNAS</w:t>
            </w:r>
          </w:p>
        </w:tc>
        <w:tc>
          <w:tcPr>
            <w:tcW w:w="6015" w:type="dxa"/>
          </w:tcPr>
          <w:p w14:paraId="3EA4F67E" w14:textId="295D3B99" w:rsidR="00AF483F" w:rsidRPr="00DD2F9B" w:rsidRDefault="000114DC" w:rsidP="00DD2F9B">
            <w:pPr>
              <w:pStyle w:val="Tablefont"/>
            </w:pPr>
            <w:r w:rsidRPr="000114DC">
              <w:t>—</w:t>
            </w:r>
          </w:p>
        </w:tc>
      </w:tr>
      <w:tr w:rsidR="00687890" w:rsidRPr="004C23F4" w14:paraId="7D210DBA" w14:textId="77777777" w:rsidTr="00812887">
        <w:trPr>
          <w:cantSplit/>
        </w:trPr>
        <w:tc>
          <w:tcPr>
            <w:tcW w:w="3227" w:type="dxa"/>
          </w:tcPr>
          <w:p w14:paraId="2B93D01C" w14:textId="77777777" w:rsidR="004079B4" w:rsidRPr="004C23F4" w:rsidRDefault="00687890" w:rsidP="00F4402E">
            <w:pPr>
              <w:pStyle w:val="Tablefont"/>
            </w:pPr>
            <w:r w:rsidRPr="004C23F4">
              <w:t>EU Annex</w:t>
            </w:r>
          </w:p>
        </w:tc>
        <w:tc>
          <w:tcPr>
            <w:tcW w:w="6015" w:type="dxa"/>
          </w:tcPr>
          <w:p w14:paraId="60A38B3A" w14:textId="13242AEE" w:rsidR="00687890" w:rsidRPr="00DD2F9B" w:rsidRDefault="000114DC" w:rsidP="00DD2F9B">
            <w:pPr>
              <w:pStyle w:val="Tablefont"/>
            </w:pPr>
            <w:r>
              <w:t>NA</w:t>
            </w:r>
          </w:p>
        </w:tc>
      </w:tr>
      <w:tr w:rsidR="00E41A26" w:rsidRPr="004C23F4" w14:paraId="56D24F70" w14:textId="77777777" w:rsidTr="00812887">
        <w:trPr>
          <w:cantSplit/>
        </w:trPr>
        <w:tc>
          <w:tcPr>
            <w:tcW w:w="3227" w:type="dxa"/>
          </w:tcPr>
          <w:p w14:paraId="78189AB8" w14:textId="77777777" w:rsidR="00E41A26" w:rsidRDefault="00E41A26" w:rsidP="00F4402E">
            <w:pPr>
              <w:pStyle w:val="Tablefont"/>
            </w:pPr>
            <w:r>
              <w:t>ECHA</w:t>
            </w:r>
          </w:p>
        </w:tc>
        <w:tc>
          <w:tcPr>
            <w:tcW w:w="6015" w:type="dxa"/>
          </w:tcPr>
          <w:p w14:paraId="62F47250" w14:textId="7853FD40" w:rsidR="00E41A26" w:rsidRPr="00DD2F9B" w:rsidRDefault="000114DC" w:rsidP="00DD2F9B">
            <w:pPr>
              <w:pStyle w:val="Tablefont"/>
            </w:pPr>
            <w:r w:rsidRPr="000114DC">
              <w:t>—</w:t>
            </w:r>
          </w:p>
        </w:tc>
      </w:tr>
      <w:tr w:rsidR="002E0D61" w:rsidRPr="004C23F4" w14:paraId="1D36BF73" w14:textId="77777777" w:rsidTr="00812887">
        <w:trPr>
          <w:cantSplit/>
        </w:trPr>
        <w:tc>
          <w:tcPr>
            <w:tcW w:w="3227" w:type="dxa"/>
          </w:tcPr>
          <w:p w14:paraId="5D3E5680" w14:textId="77777777" w:rsidR="004079B4" w:rsidRPr="004C23F4" w:rsidRDefault="002E0D61" w:rsidP="00F4402E">
            <w:pPr>
              <w:pStyle w:val="Tablefont"/>
            </w:pPr>
            <w:r>
              <w:t>ACGIH</w:t>
            </w:r>
          </w:p>
        </w:tc>
        <w:tc>
          <w:tcPr>
            <w:tcW w:w="6015" w:type="dxa"/>
          </w:tcPr>
          <w:p w14:paraId="3B894C09" w14:textId="60C711F5" w:rsidR="002E0D61" w:rsidRPr="00DD2F9B" w:rsidRDefault="000114DC" w:rsidP="00DD2F9B">
            <w:pPr>
              <w:pStyle w:val="Tablefont"/>
            </w:pPr>
            <w:r w:rsidRPr="000114DC">
              <w:t>—</w:t>
            </w:r>
          </w:p>
        </w:tc>
      </w:tr>
      <w:tr w:rsidR="002E0D61" w:rsidRPr="004C23F4" w14:paraId="0CD3ACC6" w14:textId="77777777" w:rsidTr="00812887">
        <w:trPr>
          <w:cantSplit/>
        </w:trPr>
        <w:tc>
          <w:tcPr>
            <w:tcW w:w="3227" w:type="dxa"/>
          </w:tcPr>
          <w:p w14:paraId="585B71DF" w14:textId="77777777" w:rsidR="004079B4" w:rsidRPr="004C23F4" w:rsidRDefault="002E0D61" w:rsidP="00F4402E">
            <w:pPr>
              <w:pStyle w:val="Tablefont"/>
            </w:pPr>
            <w:r>
              <w:t>DFG</w:t>
            </w:r>
          </w:p>
        </w:tc>
        <w:tc>
          <w:tcPr>
            <w:tcW w:w="6015" w:type="dxa"/>
          </w:tcPr>
          <w:p w14:paraId="472C62B6" w14:textId="05C49CAC" w:rsidR="002E0D61" w:rsidRPr="00DD2F9B" w:rsidRDefault="000114DC" w:rsidP="00DD2F9B">
            <w:pPr>
              <w:pStyle w:val="Tablefont"/>
            </w:pPr>
            <w:r>
              <w:t>NA</w:t>
            </w:r>
          </w:p>
        </w:tc>
      </w:tr>
      <w:tr w:rsidR="002E0D61" w:rsidRPr="004C23F4" w14:paraId="7C0F21B2" w14:textId="77777777" w:rsidTr="00812887">
        <w:trPr>
          <w:cantSplit/>
        </w:trPr>
        <w:tc>
          <w:tcPr>
            <w:tcW w:w="3227" w:type="dxa"/>
          </w:tcPr>
          <w:p w14:paraId="2F97D470" w14:textId="77777777" w:rsidR="004079B4" w:rsidRPr="004C23F4" w:rsidRDefault="002E0D61" w:rsidP="00F4402E">
            <w:pPr>
              <w:pStyle w:val="Tablefont"/>
            </w:pPr>
            <w:r>
              <w:t>SCOEL</w:t>
            </w:r>
          </w:p>
        </w:tc>
        <w:tc>
          <w:tcPr>
            <w:tcW w:w="6015" w:type="dxa"/>
          </w:tcPr>
          <w:p w14:paraId="6EBDA27A" w14:textId="3FB2F789" w:rsidR="002E0D61" w:rsidRPr="00DD2F9B" w:rsidRDefault="000114DC" w:rsidP="00DD2F9B">
            <w:pPr>
              <w:pStyle w:val="Tablefont"/>
            </w:pPr>
            <w:r>
              <w:t>NA</w:t>
            </w:r>
          </w:p>
        </w:tc>
      </w:tr>
      <w:tr w:rsidR="002E0D61" w:rsidRPr="004C23F4" w14:paraId="2D9F05EF" w14:textId="77777777" w:rsidTr="00812887">
        <w:trPr>
          <w:cantSplit/>
        </w:trPr>
        <w:tc>
          <w:tcPr>
            <w:tcW w:w="3227" w:type="dxa"/>
          </w:tcPr>
          <w:p w14:paraId="6B8CA1C6" w14:textId="77777777" w:rsidR="004079B4" w:rsidRDefault="002E0D61" w:rsidP="00F4402E">
            <w:pPr>
              <w:pStyle w:val="Tablefont"/>
            </w:pPr>
            <w:r>
              <w:t>HCOTN</w:t>
            </w:r>
          </w:p>
        </w:tc>
        <w:tc>
          <w:tcPr>
            <w:tcW w:w="6015" w:type="dxa"/>
          </w:tcPr>
          <w:p w14:paraId="0D27095E" w14:textId="381994AD" w:rsidR="002E0D61" w:rsidRPr="00DD2F9B" w:rsidRDefault="000114DC" w:rsidP="00DD2F9B">
            <w:pPr>
              <w:pStyle w:val="Tablefont"/>
            </w:pPr>
            <w:r w:rsidRPr="000114DC">
              <w:t>—</w:t>
            </w:r>
          </w:p>
        </w:tc>
      </w:tr>
      <w:tr w:rsidR="00386093" w:rsidRPr="004C23F4" w14:paraId="0D012D35" w14:textId="77777777" w:rsidTr="00812887">
        <w:trPr>
          <w:cantSplit/>
        </w:trPr>
        <w:tc>
          <w:tcPr>
            <w:tcW w:w="3227" w:type="dxa"/>
          </w:tcPr>
          <w:p w14:paraId="48B370CC" w14:textId="77777777" w:rsidR="004079B4" w:rsidRDefault="00386093" w:rsidP="00F4402E">
            <w:pPr>
              <w:pStyle w:val="Tablefont"/>
            </w:pPr>
            <w:r>
              <w:t>IARC</w:t>
            </w:r>
          </w:p>
        </w:tc>
        <w:tc>
          <w:tcPr>
            <w:tcW w:w="6015" w:type="dxa"/>
          </w:tcPr>
          <w:p w14:paraId="26FB2D2F" w14:textId="0BC4014E" w:rsidR="00386093" w:rsidRPr="00DD2F9B" w:rsidRDefault="000114DC" w:rsidP="00DD2F9B">
            <w:pPr>
              <w:pStyle w:val="Tablefont"/>
            </w:pPr>
            <w:r>
              <w:t>NA</w:t>
            </w:r>
          </w:p>
        </w:tc>
      </w:tr>
      <w:tr w:rsidR="00386093" w:rsidRPr="004C23F4" w14:paraId="2FF663F5" w14:textId="77777777" w:rsidTr="00812887">
        <w:trPr>
          <w:cantSplit/>
        </w:trPr>
        <w:tc>
          <w:tcPr>
            <w:tcW w:w="3227" w:type="dxa"/>
          </w:tcPr>
          <w:p w14:paraId="01300886" w14:textId="77777777" w:rsidR="004079B4" w:rsidRDefault="00386093" w:rsidP="00F4402E">
            <w:pPr>
              <w:pStyle w:val="Tablefont"/>
              <w:keepNext/>
            </w:pPr>
            <w:r>
              <w:lastRenderedPageBreak/>
              <w:t>US NIOSH</w:t>
            </w:r>
          </w:p>
        </w:tc>
        <w:tc>
          <w:tcPr>
            <w:tcW w:w="6015" w:type="dxa"/>
          </w:tcPr>
          <w:p w14:paraId="2AC3ADFC" w14:textId="1C812A73" w:rsidR="00386093" w:rsidRPr="00DD2F9B" w:rsidRDefault="000114DC" w:rsidP="00D87570">
            <w:pPr>
              <w:pStyle w:val="Tablefont"/>
              <w:keepNext/>
            </w:pPr>
            <w:r>
              <w:t>NA</w:t>
            </w:r>
          </w:p>
        </w:tc>
      </w:tr>
    </w:tbl>
    <w:bookmarkEnd w:id="2"/>
    <w:p w14:paraId="1A6570F4"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40AB12A6"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6CC14B1C" w14:textId="77777777" w:rsidTr="00EA6243">
        <w:trPr>
          <w:cantSplit/>
          <w:tblHeader/>
        </w:trPr>
        <w:tc>
          <w:tcPr>
            <w:tcW w:w="5000" w:type="pct"/>
            <w:vAlign w:val="center"/>
          </w:tcPr>
          <w:p w14:paraId="44EDAAE1" w14:textId="04C26DFE" w:rsidR="00932DCE" w:rsidRPr="004C23F4" w:rsidRDefault="00494612" w:rsidP="00F9496B">
            <w:pPr>
              <w:pStyle w:val="Tablefont"/>
            </w:pPr>
            <w:bookmarkStart w:id="3" w:name="SkinNot"/>
            <w:r>
              <w:t xml:space="preserve">Insufficient </w:t>
            </w:r>
            <w:r w:rsidR="00786331">
              <w:t xml:space="preserve">data </w:t>
            </w:r>
            <w:r>
              <w:t>to assign skin notation</w:t>
            </w:r>
            <w:r w:rsidR="00293F44">
              <w:t>.</w:t>
            </w:r>
          </w:p>
        </w:tc>
      </w:tr>
    </w:tbl>
    <w:bookmarkEnd w:id="3"/>
    <w:p w14:paraId="4E6B550D"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14:paraId="50916FB8" w14:textId="77777777" w:rsidTr="00610F2E">
        <w:trPr>
          <w:trHeight w:val="454"/>
          <w:tblHeader/>
        </w:trPr>
        <w:tc>
          <w:tcPr>
            <w:tcW w:w="4361" w:type="dxa"/>
            <w:vAlign w:val="center"/>
          </w:tcPr>
          <w:p w14:paraId="06AAB283"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5D8EF673" w14:textId="03114490" w:rsidR="00EB3D1B" w:rsidRDefault="000114DC" w:rsidP="00EB3D1B">
                <w:pPr>
                  <w:pStyle w:val="Tablefont"/>
                </w:pPr>
                <w:r>
                  <w:t>No</w:t>
                </w:r>
              </w:p>
            </w:tc>
          </w:sdtContent>
        </w:sdt>
      </w:tr>
    </w:tbl>
    <w:p w14:paraId="7677CCCB"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26AF6573" w14:textId="77777777" w:rsidTr="00EA6243">
        <w:trPr>
          <w:cantSplit/>
          <w:tblHeader/>
        </w:trPr>
        <w:tc>
          <w:tcPr>
            <w:tcW w:w="4077" w:type="dxa"/>
            <w:vAlign w:val="center"/>
          </w:tcPr>
          <w:p w14:paraId="6CF8779D"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1311A338" w14:textId="2220F5A7" w:rsidR="001B79E5" w:rsidRDefault="000114DC" w:rsidP="001B79E5">
                <w:pPr>
                  <w:pStyle w:val="Tablefont"/>
                </w:pPr>
                <w:r w:rsidRPr="000114DC">
                  <w:t>56.10</w:t>
                </w:r>
              </w:p>
            </w:tc>
          </w:sdtContent>
        </w:sdt>
      </w:tr>
      <w:tr w:rsidR="00A31D99" w:rsidRPr="004C23F4" w14:paraId="404A72F0" w14:textId="77777777" w:rsidTr="00EA6243">
        <w:trPr>
          <w:cantSplit/>
          <w:tblHeader/>
        </w:trPr>
        <w:tc>
          <w:tcPr>
            <w:tcW w:w="4077" w:type="dxa"/>
            <w:vAlign w:val="center"/>
          </w:tcPr>
          <w:p w14:paraId="31D3B8E8" w14:textId="77777777" w:rsidR="00A31D99" w:rsidRPr="00263255" w:rsidRDefault="00A31D99" w:rsidP="00A31D99">
            <w:pPr>
              <w:pStyle w:val="Tablefont"/>
            </w:pPr>
            <w:r>
              <w:t>Conversion factors at 25</w:t>
            </w:r>
            <w:r>
              <w:rPr>
                <w:rFonts w:cs="Arial"/>
              </w:rPr>
              <w:t>°</w:t>
            </w:r>
            <w:r>
              <w:t xml:space="preserve">C and 101.3 </w:t>
            </w:r>
            <w:proofErr w:type="spellStart"/>
            <w:r>
              <w:t>kPa</w:t>
            </w:r>
            <w:proofErr w:type="spellEnd"/>
            <w:r>
              <w:t xml:space="preserve">: </w:t>
            </w:r>
          </w:p>
        </w:tc>
        <w:tc>
          <w:tcPr>
            <w:tcW w:w="5165" w:type="dxa"/>
            <w:vAlign w:val="center"/>
          </w:tcPr>
          <w:p w14:paraId="226964BD"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60910966" w14:textId="77777777" w:rsidTr="00EA6243">
        <w:trPr>
          <w:cantSplit/>
          <w:tblHeader/>
        </w:trPr>
        <w:tc>
          <w:tcPr>
            <w:tcW w:w="4077" w:type="dxa"/>
            <w:vAlign w:val="center"/>
          </w:tcPr>
          <w:p w14:paraId="03283795"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38E9132A"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76C6B538" w14:textId="77777777" w:rsidTr="00EA6243">
        <w:trPr>
          <w:cantSplit/>
        </w:trPr>
        <w:tc>
          <w:tcPr>
            <w:tcW w:w="4077" w:type="dxa"/>
            <w:vAlign w:val="center"/>
          </w:tcPr>
          <w:p w14:paraId="3722886A"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2D815BC"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2C8B7D26" w14:textId="77777777" w:rsidTr="00EA6243">
        <w:trPr>
          <w:cantSplit/>
        </w:trPr>
        <w:tc>
          <w:tcPr>
            <w:tcW w:w="4077" w:type="dxa"/>
            <w:vAlign w:val="center"/>
          </w:tcPr>
          <w:p w14:paraId="40232313"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1F0561F3"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56B39670" w14:textId="77777777" w:rsidTr="00EA6243">
        <w:trPr>
          <w:cantSplit/>
        </w:trPr>
        <w:tc>
          <w:tcPr>
            <w:tcW w:w="4077" w:type="dxa"/>
            <w:vAlign w:val="center"/>
          </w:tcPr>
          <w:p w14:paraId="7E4CD46C"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647E2739" w14:textId="77777777" w:rsidR="00E06F40" w:rsidRPr="00A006A0" w:rsidRDefault="00F739A2"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429F33A2"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60FB39F1" w14:textId="77777777" w:rsidTr="00F053FA">
        <w:trPr>
          <w:tblHeader/>
        </w:trPr>
        <w:tc>
          <w:tcPr>
            <w:tcW w:w="4077" w:type="dxa"/>
            <w:shd w:val="clear" w:color="auto" w:fill="BFBFBF" w:themeFill="background1" w:themeFillShade="BF"/>
            <w:vAlign w:val="center"/>
          </w:tcPr>
          <w:p w14:paraId="708CABBC"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5FA53BFD" w14:textId="77777777" w:rsidR="00224EE2" w:rsidRPr="004C23F4" w:rsidRDefault="00224EE2" w:rsidP="00EB3D1B">
            <w:pPr>
              <w:pStyle w:val="Tableheader"/>
              <w:keepNext/>
              <w:keepLines/>
            </w:pPr>
            <w:r>
              <w:t>Standard</w:t>
            </w:r>
          </w:p>
        </w:tc>
      </w:tr>
      <w:tr w:rsidR="007F1005" w:rsidRPr="004C23F4" w14:paraId="0B994CD2" w14:textId="77777777" w:rsidTr="00F053FA">
        <w:trPr>
          <w:tblHeader/>
        </w:trPr>
        <w:sdt>
          <w:sdtPr>
            <w:id w:val="-25557549"/>
            <w:placeholder>
              <w:docPart w:val="2BF891C0AB704CDAB9BC6E80D556473F"/>
            </w:placeholder>
            <w:showingPlcHdr/>
            <w:text/>
          </w:sdtPr>
          <w:sdtEndPr/>
          <w:sdtContent>
            <w:tc>
              <w:tcPr>
                <w:tcW w:w="4077" w:type="dxa"/>
                <w:vAlign w:val="center"/>
              </w:tcPr>
              <w:p w14:paraId="20EAB502"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672EDB20" w14:textId="77777777" w:rsidR="007F1005" w:rsidRPr="004C23F4" w:rsidRDefault="007F1005" w:rsidP="00EB3D1B">
            <w:pPr>
              <w:pStyle w:val="Tablefont"/>
              <w:keepLines/>
            </w:pPr>
          </w:p>
        </w:tc>
      </w:tr>
    </w:tbl>
    <w:bookmarkEnd w:id="4"/>
    <w:p w14:paraId="1324C0E0" w14:textId="77777777" w:rsidR="00F87D92" w:rsidRDefault="00F87D92" w:rsidP="00786331">
      <w:pPr>
        <w:pStyle w:val="Heading2"/>
        <w:tabs>
          <w:tab w:val="right" w:pos="8505"/>
        </w:tabs>
      </w:pPr>
      <w:r>
        <w:t>References</w:t>
      </w:r>
      <w:r w:rsidR="00EF7F78">
        <w:tab/>
      </w:r>
    </w:p>
    <w:p w14:paraId="040807C7" w14:textId="689F9ACB" w:rsidR="007F1005" w:rsidRDefault="006650FE" w:rsidP="00750D7F">
      <w:pPr>
        <w:keepNext/>
      </w:pPr>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1"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4E024A2B" w14:textId="0BF1FAE5" w:rsidR="000114DC" w:rsidRDefault="000114DC" w:rsidP="00750D7F">
      <w:pPr>
        <w:keepNext/>
      </w:pPr>
      <w:r>
        <w:t>European Chemicals Agency (ECHA) (2019) Potassium hydroxide – REACH assessment.</w:t>
      </w:r>
    </w:p>
    <w:p w14:paraId="5572BBEE" w14:textId="2BC93A07" w:rsidR="000114DC" w:rsidRDefault="000114DC" w:rsidP="00750D7F">
      <w:pPr>
        <w:keepNext/>
      </w:pPr>
      <w:r>
        <w:t xml:space="preserve">Health Council of the Netherlands (HCOTN) (2004) Potassium hydroxide. Health-based calculated occupational cancer risk values. The Hague: Health Council of the Netherlands; publication no. </w:t>
      </w:r>
      <w:r w:rsidRPr="000114DC">
        <w:t>2000/15OSH/110</w:t>
      </w:r>
      <w:r>
        <w:t>.</w:t>
      </w:r>
    </w:p>
    <w:p w14:paraId="50C3CE15" w14:textId="5873DBDF" w:rsidR="000114DC" w:rsidRDefault="000114DC" w:rsidP="00750D7F">
      <w:pPr>
        <w:keepNext/>
      </w:pPr>
      <w:r>
        <w:t>National Industrial Chemicals Notification and Assessment Scheme (NICNAS) (</w:t>
      </w:r>
      <w:r w:rsidRPr="000114DC">
        <w:t>2015</w:t>
      </w:r>
      <w:r>
        <w:t xml:space="preserve">) </w:t>
      </w:r>
      <w:r w:rsidRPr="000114DC">
        <w:t>Potassium hydroxide</w:t>
      </w:r>
      <w:r>
        <w:t xml:space="preserve">: Human health </w:t>
      </w:r>
      <w:r w:rsidRPr="000114DC">
        <w:t>tier II</w:t>
      </w:r>
      <w:r>
        <w:t xml:space="preserve"> assessment – IMAP report.</w:t>
      </w:r>
    </w:p>
    <w:p w14:paraId="0DEFA85C" w14:textId="2BC4D0A7" w:rsidR="000114DC" w:rsidRPr="00351FE0" w:rsidRDefault="00770057" w:rsidP="00750D7F">
      <w:pPr>
        <w:keepNext/>
      </w:pPr>
      <w:r>
        <w:t xml:space="preserve">US National Institute for Occupational Safety and Health (NIOSH) (2007) NIOSH Pocket Guide </w:t>
      </w:r>
      <w:proofErr w:type="gramStart"/>
      <w:r>
        <w:t>To</w:t>
      </w:r>
      <w:proofErr w:type="gramEnd"/>
      <w:r>
        <w:t xml:space="preserve"> Chemical Hazards – Potassium hydroxide.</w:t>
      </w:r>
    </w:p>
    <w:sectPr w:rsidR="000114DC" w:rsidRPr="00351FE0" w:rsidSect="00B87D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4AFEB" w14:textId="77777777" w:rsidR="006343F7" w:rsidRDefault="006343F7" w:rsidP="00F43AD5">
      <w:pPr>
        <w:spacing w:after="0" w:line="240" w:lineRule="auto"/>
      </w:pPr>
      <w:r>
        <w:separator/>
      </w:r>
    </w:p>
  </w:endnote>
  <w:endnote w:type="continuationSeparator" w:id="0">
    <w:p w14:paraId="060772F2" w14:textId="77777777" w:rsidR="006343F7" w:rsidRDefault="006343F7"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9922" w14:textId="77777777" w:rsidR="00F739A2" w:rsidRDefault="00F73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D60C" w14:textId="77777777" w:rsidR="00F739A2" w:rsidRDefault="00F73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56405" w14:textId="77777777" w:rsidR="00F739A2" w:rsidRDefault="00F7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C7D1" w14:textId="77777777" w:rsidR="006343F7" w:rsidRDefault="006343F7" w:rsidP="00F43AD5">
      <w:pPr>
        <w:spacing w:after="0" w:line="240" w:lineRule="auto"/>
      </w:pPr>
      <w:r>
        <w:separator/>
      </w:r>
    </w:p>
  </w:footnote>
  <w:footnote w:type="continuationSeparator" w:id="0">
    <w:p w14:paraId="78082067" w14:textId="77777777" w:rsidR="006343F7" w:rsidRDefault="006343F7"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209E" w14:textId="77777777" w:rsidR="00F739A2" w:rsidRDefault="00F73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GoBack"/>
  <w:p w14:paraId="410E77FF" w14:textId="3A80DC46" w:rsidR="00F739A2" w:rsidRDefault="00F739A2" w:rsidP="00F739A2">
    <w:pPr>
      <w:pStyle w:val="Header"/>
      <w:jc w:val="right"/>
    </w:pPr>
    <w:sdt>
      <w:sdtPr>
        <w:id w:val="620417911"/>
        <w:docPartObj>
          <w:docPartGallery w:val="Watermarks"/>
          <w:docPartUnique/>
        </w:docPartObj>
      </w:sdtPr>
      <w:sdtContent>
        <w:r>
          <w:pict w14:anchorId="13AA2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01C36BE2" wp14:editId="3F0EEC02">
          <wp:extent cx="2945130" cy="595630"/>
          <wp:effectExtent l="0" t="0" r="762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225" cy="590550"/>
                  </a:xfrm>
                  <a:prstGeom prst="rect">
                    <a:avLst/>
                  </a:prstGeom>
                </pic:spPr>
              </pic:pic>
            </a:graphicData>
          </a:graphic>
        </wp:inline>
      </w:drawing>
    </w:r>
  </w:p>
  <w:p w14:paraId="631E42A2" w14:textId="77777777" w:rsidR="00F739A2" w:rsidRDefault="00F739A2" w:rsidP="00F739A2">
    <w:pPr>
      <w:pStyle w:val="Header"/>
      <w:jc w:val="right"/>
    </w:pPr>
  </w:p>
  <w:bookmarkEnd w:id="5"/>
  <w:p w14:paraId="19156FC7" w14:textId="77777777" w:rsidR="008A36CF" w:rsidRDefault="008A36CF" w:rsidP="00F43A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50C1" w14:textId="77777777" w:rsidR="00F739A2" w:rsidRDefault="00F73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A2B9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58F6886"/>
    <w:multiLevelType w:val="hybridMultilevel"/>
    <w:tmpl w:val="84A667BE"/>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4237"/>
    <w:rsid w:val="00007B80"/>
    <w:rsid w:val="000114DC"/>
    <w:rsid w:val="00013A22"/>
    <w:rsid w:val="00014248"/>
    <w:rsid w:val="00014C3F"/>
    <w:rsid w:val="00017C82"/>
    <w:rsid w:val="00026A5C"/>
    <w:rsid w:val="00032B88"/>
    <w:rsid w:val="00046DF5"/>
    <w:rsid w:val="00052060"/>
    <w:rsid w:val="0005574A"/>
    <w:rsid w:val="00055FE1"/>
    <w:rsid w:val="00056EAC"/>
    <w:rsid w:val="00056EC2"/>
    <w:rsid w:val="00060B48"/>
    <w:rsid w:val="00067F32"/>
    <w:rsid w:val="00071807"/>
    <w:rsid w:val="000803E1"/>
    <w:rsid w:val="00084513"/>
    <w:rsid w:val="00084859"/>
    <w:rsid w:val="00092D94"/>
    <w:rsid w:val="000B0868"/>
    <w:rsid w:val="000B3BCB"/>
    <w:rsid w:val="000B3E12"/>
    <w:rsid w:val="000B3E78"/>
    <w:rsid w:val="000B7B48"/>
    <w:rsid w:val="000C096D"/>
    <w:rsid w:val="000C139A"/>
    <w:rsid w:val="000C2053"/>
    <w:rsid w:val="000C248C"/>
    <w:rsid w:val="000D291C"/>
    <w:rsid w:val="000E5A54"/>
    <w:rsid w:val="000E63D3"/>
    <w:rsid w:val="000E67CF"/>
    <w:rsid w:val="000F0588"/>
    <w:rsid w:val="0010461E"/>
    <w:rsid w:val="00106FAA"/>
    <w:rsid w:val="00113443"/>
    <w:rsid w:val="001269A7"/>
    <w:rsid w:val="00131092"/>
    <w:rsid w:val="00140E6A"/>
    <w:rsid w:val="00146545"/>
    <w:rsid w:val="00146B75"/>
    <w:rsid w:val="0015266D"/>
    <w:rsid w:val="0015288A"/>
    <w:rsid w:val="00160F47"/>
    <w:rsid w:val="00177CA1"/>
    <w:rsid w:val="00183823"/>
    <w:rsid w:val="00183942"/>
    <w:rsid w:val="00193B7E"/>
    <w:rsid w:val="001A009E"/>
    <w:rsid w:val="001A1287"/>
    <w:rsid w:val="001A3859"/>
    <w:rsid w:val="001A3C9D"/>
    <w:rsid w:val="001A43F8"/>
    <w:rsid w:val="001B79E5"/>
    <w:rsid w:val="001C34C5"/>
    <w:rsid w:val="001D56F0"/>
    <w:rsid w:val="001D663B"/>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76494"/>
    <w:rsid w:val="00277B0C"/>
    <w:rsid w:val="00287C65"/>
    <w:rsid w:val="00293F44"/>
    <w:rsid w:val="00296007"/>
    <w:rsid w:val="002B1A2C"/>
    <w:rsid w:val="002C34F2"/>
    <w:rsid w:val="002C58FF"/>
    <w:rsid w:val="002C7AFE"/>
    <w:rsid w:val="002D05D2"/>
    <w:rsid w:val="002E0D61"/>
    <w:rsid w:val="002E2C22"/>
    <w:rsid w:val="002E4C7B"/>
    <w:rsid w:val="002F10D9"/>
    <w:rsid w:val="0030740C"/>
    <w:rsid w:val="00314FD3"/>
    <w:rsid w:val="00315833"/>
    <w:rsid w:val="003215EE"/>
    <w:rsid w:val="003224BF"/>
    <w:rsid w:val="003241A8"/>
    <w:rsid w:val="003253F0"/>
    <w:rsid w:val="003337DA"/>
    <w:rsid w:val="00334EFB"/>
    <w:rsid w:val="00335CDE"/>
    <w:rsid w:val="003365A5"/>
    <w:rsid w:val="00347192"/>
    <w:rsid w:val="0034744C"/>
    <w:rsid w:val="00351FE0"/>
    <w:rsid w:val="00352615"/>
    <w:rsid w:val="0035412B"/>
    <w:rsid w:val="003567A8"/>
    <w:rsid w:val="00362895"/>
    <w:rsid w:val="00370DBF"/>
    <w:rsid w:val="00386093"/>
    <w:rsid w:val="00386533"/>
    <w:rsid w:val="003904A4"/>
    <w:rsid w:val="00391841"/>
    <w:rsid w:val="00391B6D"/>
    <w:rsid w:val="00394922"/>
    <w:rsid w:val="003A0E32"/>
    <w:rsid w:val="003A2B94"/>
    <w:rsid w:val="003B387D"/>
    <w:rsid w:val="003C0D58"/>
    <w:rsid w:val="003D4FA3"/>
    <w:rsid w:val="003E0807"/>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E44"/>
    <w:rsid w:val="004509E2"/>
    <w:rsid w:val="004515EE"/>
    <w:rsid w:val="004529F0"/>
    <w:rsid w:val="00460A03"/>
    <w:rsid w:val="00472A11"/>
    <w:rsid w:val="00472AAD"/>
    <w:rsid w:val="00474E33"/>
    <w:rsid w:val="00476803"/>
    <w:rsid w:val="00485BFD"/>
    <w:rsid w:val="004867A2"/>
    <w:rsid w:val="004873F2"/>
    <w:rsid w:val="00490D4C"/>
    <w:rsid w:val="00493A35"/>
    <w:rsid w:val="00494612"/>
    <w:rsid w:val="0049527A"/>
    <w:rsid w:val="004966BF"/>
    <w:rsid w:val="00497984"/>
    <w:rsid w:val="004A5088"/>
    <w:rsid w:val="004C1E3F"/>
    <w:rsid w:val="004C23F4"/>
    <w:rsid w:val="004C3475"/>
    <w:rsid w:val="004C58B6"/>
    <w:rsid w:val="004D16A3"/>
    <w:rsid w:val="004D4AA1"/>
    <w:rsid w:val="004D6D68"/>
    <w:rsid w:val="004E5EDD"/>
    <w:rsid w:val="004F448A"/>
    <w:rsid w:val="004F493D"/>
    <w:rsid w:val="004F65E8"/>
    <w:rsid w:val="0050005E"/>
    <w:rsid w:val="00502B88"/>
    <w:rsid w:val="005063E5"/>
    <w:rsid w:val="005142C4"/>
    <w:rsid w:val="0051509C"/>
    <w:rsid w:val="005272E2"/>
    <w:rsid w:val="0053108F"/>
    <w:rsid w:val="00532B56"/>
    <w:rsid w:val="00534B10"/>
    <w:rsid w:val="005446A2"/>
    <w:rsid w:val="00544D2F"/>
    <w:rsid w:val="00547ED5"/>
    <w:rsid w:val="00551BD8"/>
    <w:rsid w:val="00581055"/>
    <w:rsid w:val="00591E38"/>
    <w:rsid w:val="005A19C5"/>
    <w:rsid w:val="005A3034"/>
    <w:rsid w:val="005A462D"/>
    <w:rsid w:val="005B253B"/>
    <w:rsid w:val="005B771D"/>
    <w:rsid w:val="005C5D16"/>
    <w:rsid w:val="005D24DC"/>
    <w:rsid w:val="005D3193"/>
    <w:rsid w:val="005D4A6E"/>
    <w:rsid w:val="005E6979"/>
    <w:rsid w:val="005E75CB"/>
    <w:rsid w:val="005F1555"/>
    <w:rsid w:val="006013C1"/>
    <w:rsid w:val="0060669E"/>
    <w:rsid w:val="00610F2E"/>
    <w:rsid w:val="00611399"/>
    <w:rsid w:val="00624C4E"/>
    <w:rsid w:val="00625200"/>
    <w:rsid w:val="006343F7"/>
    <w:rsid w:val="006363A8"/>
    <w:rsid w:val="00636DB7"/>
    <w:rsid w:val="00650905"/>
    <w:rsid w:val="006532ED"/>
    <w:rsid w:val="006549F2"/>
    <w:rsid w:val="006567B7"/>
    <w:rsid w:val="00657BFB"/>
    <w:rsid w:val="0066333C"/>
    <w:rsid w:val="006639B4"/>
    <w:rsid w:val="006650FE"/>
    <w:rsid w:val="0067305D"/>
    <w:rsid w:val="00677D9B"/>
    <w:rsid w:val="006849CE"/>
    <w:rsid w:val="006867F3"/>
    <w:rsid w:val="00687890"/>
    <w:rsid w:val="006901A2"/>
    <w:rsid w:val="00690368"/>
    <w:rsid w:val="0069079C"/>
    <w:rsid w:val="00690B53"/>
    <w:rsid w:val="00695B72"/>
    <w:rsid w:val="006A6123"/>
    <w:rsid w:val="006B160A"/>
    <w:rsid w:val="006B4E6C"/>
    <w:rsid w:val="006B50B6"/>
    <w:rsid w:val="006D79EA"/>
    <w:rsid w:val="006E5D05"/>
    <w:rsid w:val="00701053"/>
    <w:rsid w:val="00701507"/>
    <w:rsid w:val="00714021"/>
    <w:rsid w:val="00716A0F"/>
    <w:rsid w:val="00717D45"/>
    <w:rsid w:val="007208F7"/>
    <w:rsid w:val="007218AF"/>
    <w:rsid w:val="007365D1"/>
    <w:rsid w:val="00740E0E"/>
    <w:rsid w:val="00750212"/>
    <w:rsid w:val="00750D7F"/>
    <w:rsid w:val="00754779"/>
    <w:rsid w:val="0075716D"/>
    <w:rsid w:val="00765F14"/>
    <w:rsid w:val="00770057"/>
    <w:rsid w:val="00770E31"/>
    <w:rsid w:val="007770F1"/>
    <w:rsid w:val="00783FB1"/>
    <w:rsid w:val="00785CDD"/>
    <w:rsid w:val="00786331"/>
    <w:rsid w:val="00791847"/>
    <w:rsid w:val="007925F0"/>
    <w:rsid w:val="007939B3"/>
    <w:rsid w:val="0079509C"/>
    <w:rsid w:val="00796708"/>
    <w:rsid w:val="007B1B42"/>
    <w:rsid w:val="007C30EB"/>
    <w:rsid w:val="007E063C"/>
    <w:rsid w:val="007E2A4B"/>
    <w:rsid w:val="007E307D"/>
    <w:rsid w:val="007E6A4E"/>
    <w:rsid w:val="007E6C94"/>
    <w:rsid w:val="007F1005"/>
    <w:rsid w:val="007F25E0"/>
    <w:rsid w:val="007F5328"/>
    <w:rsid w:val="00804F5A"/>
    <w:rsid w:val="00810C6D"/>
    <w:rsid w:val="00812887"/>
    <w:rsid w:val="00826F21"/>
    <w:rsid w:val="00834CC8"/>
    <w:rsid w:val="00835E00"/>
    <w:rsid w:val="00837113"/>
    <w:rsid w:val="008414E4"/>
    <w:rsid w:val="00843E21"/>
    <w:rsid w:val="0084508E"/>
    <w:rsid w:val="00857A8A"/>
    <w:rsid w:val="008630EE"/>
    <w:rsid w:val="00864D13"/>
    <w:rsid w:val="00871CD5"/>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7B64"/>
    <w:rsid w:val="008F5DCD"/>
    <w:rsid w:val="008F7407"/>
    <w:rsid w:val="00900951"/>
    <w:rsid w:val="00902D40"/>
    <w:rsid w:val="00907453"/>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281"/>
    <w:rsid w:val="0095260E"/>
    <w:rsid w:val="009578DD"/>
    <w:rsid w:val="00961124"/>
    <w:rsid w:val="009621B6"/>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53681"/>
    <w:rsid w:val="00A633D4"/>
    <w:rsid w:val="00A6461A"/>
    <w:rsid w:val="00A84504"/>
    <w:rsid w:val="00A8672F"/>
    <w:rsid w:val="00A93057"/>
    <w:rsid w:val="00A968B0"/>
    <w:rsid w:val="00AB2672"/>
    <w:rsid w:val="00AB2817"/>
    <w:rsid w:val="00AB43C4"/>
    <w:rsid w:val="00AC32E7"/>
    <w:rsid w:val="00AC3A9F"/>
    <w:rsid w:val="00AC6D2F"/>
    <w:rsid w:val="00AE2745"/>
    <w:rsid w:val="00AE2F64"/>
    <w:rsid w:val="00AF42CB"/>
    <w:rsid w:val="00AF483F"/>
    <w:rsid w:val="00AF5E07"/>
    <w:rsid w:val="00AF5F06"/>
    <w:rsid w:val="00AF7453"/>
    <w:rsid w:val="00B00A25"/>
    <w:rsid w:val="00B1422A"/>
    <w:rsid w:val="00B1765C"/>
    <w:rsid w:val="00B213C4"/>
    <w:rsid w:val="00B40C60"/>
    <w:rsid w:val="00B479A9"/>
    <w:rsid w:val="00B52EDF"/>
    <w:rsid w:val="00B56405"/>
    <w:rsid w:val="00B71188"/>
    <w:rsid w:val="00B76A41"/>
    <w:rsid w:val="00B87D4C"/>
    <w:rsid w:val="00B93646"/>
    <w:rsid w:val="00BA0B38"/>
    <w:rsid w:val="00BA1DBB"/>
    <w:rsid w:val="00BA4510"/>
    <w:rsid w:val="00BA529A"/>
    <w:rsid w:val="00BB612A"/>
    <w:rsid w:val="00BC59F3"/>
    <w:rsid w:val="00BD499F"/>
    <w:rsid w:val="00BD56DE"/>
    <w:rsid w:val="00BF2406"/>
    <w:rsid w:val="00C06E43"/>
    <w:rsid w:val="00C16315"/>
    <w:rsid w:val="00C3091E"/>
    <w:rsid w:val="00C40FF1"/>
    <w:rsid w:val="00C419E2"/>
    <w:rsid w:val="00C5020E"/>
    <w:rsid w:val="00C57452"/>
    <w:rsid w:val="00C61EDF"/>
    <w:rsid w:val="00C6239D"/>
    <w:rsid w:val="00C6594B"/>
    <w:rsid w:val="00C67FFB"/>
    <w:rsid w:val="00C7155E"/>
    <w:rsid w:val="00C71D1E"/>
    <w:rsid w:val="00C71D7D"/>
    <w:rsid w:val="00C74833"/>
    <w:rsid w:val="00C81D18"/>
    <w:rsid w:val="00C850A0"/>
    <w:rsid w:val="00C85A86"/>
    <w:rsid w:val="00C91317"/>
    <w:rsid w:val="00C978F0"/>
    <w:rsid w:val="00CA58FE"/>
    <w:rsid w:val="00CB1CB1"/>
    <w:rsid w:val="00CB6BC1"/>
    <w:rsid w:val="00CB6CB8"/>
    <w:rsid w:val="00CC1A68"/>
    <w:rsid w:val="00CC2123"/>
    <w:rsid w:val="00CC6536"/>
    <w:rsid w:val="00CD2BFD"/>
    <w:rsid w:val="00CE5AD6"/>
    <w:rsid w:val="00CE617F"/>
    <w:rsid w:val="00CE78EF"/>
    <w:rsid w:val="00CF6A93"/>
    <w:rsid w:val="00D048F7"/>
    <w:rsid w:val="00D0517E"/>
    <w:rsid w:val="00D13321"/>
    <w:rsid w:val="00D140FC"/>
    <w:rsid w:val="00D15CD6"/>
    <w:rsid w:val="00D21D8C"/>
    <w:rsid w:val="00D31357"/>
    <w:rsid w:val="00D33220"/>
    <w:rsid w:val="00D334D1"/>
    <w:rsid w:val="00D44C89"/>
    <w:rsid w:val="00D516CD"/>
    <w:rsid w:val="00D668E6"/>
    <w:rsid w:val="00D70670"/>
    <w:rsid w:val="00D74D80"/>
    <w:rsid w:val="00D76624"/>
    <w:rsid w:val="00D87570"/>
    <w:rsid w:val="00D91CB9"/>
    <w:rsid w:val="00D97989"/>
    <w:rsid w:val="00D97D8D"/>
    <w:rsid w:val="00DA352E"/>
    <w:rsid w:val="00DC7694"/>
    <w:rsid w:val="00DD1BF6"/>
    <w:rsid w:val="00DD2F9B"/>
    <w:rsid w:val="00DE0F83"/>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66BC"/>
    <w:rsid w:val="00EF233A"/>
    <w:rsid w:val="00EF303E"/>
    <w:rsid w:val="00EF3A40"/>
    <w:rsid w:val="00EF7438"/>
    <w:rsid w:val="00EF7F78"/>
    <w:rsid w:val="00F01B08"/>
    <w:rsid w:val="00F01C4D"/>
    <w:rsid w:val="00F053FA"/>
    <w:rsid w:val="00F05AEF"/>
    <w:rsid w:val="00F061C9"/>
    <w:rsid w:val="00F10C97"/>
    <w:rsid w:val="00F11C71"/>
    <w:rsid w:val="00F16019"/>
    <w:rsid w:val="00F20E68"/>
    <w:rsid w:val="00F22093"/>
    <w:rsid w:val="00F236DF"/>
    <w:rsid w:val="00F40D3A"/>
    <w:rsid w:val="00F43AD5"/>
    <w:rsid w:val="00F4402E"/>
    <w:rsid w:val="00F56DD0"/>
    <w:rsid w:val="00F6491C"/>
    <w:rsid w:val="00F67BBB"/>
    <w:rsid w:val="00F739A2"/>
    <w:rsid w:val="00F87D92"/>
    <w:rsid w:val="00F90AA7"/>
    <w:rsid w:val="00F92498"/>
    <w:rsid w:val="00F9496B"/>
    <w:rsid w:val="00F970C9"/>
    <w:rsid w:val="00FA06A8"/>
    <w:rsid w:val="00FA3DF5"/>
    <w:rsid w:val="00FA741F"/>
    <w:rsid w:val="00FB1E13"/>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90CACBD"/>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952281"/>
    <w:pPr>
      <w:numPr>
        <w:numId w:val="1"/>
      </w:numPr>
      <w:contextualSpacing/>
    </w:pPr>
  </w:style>
  <w:style w:type="character" w:styleId="CommentReference">
    <w:name w:val="annotation reference"/>
    <w:basedOn w:val="DefaultParagraphFont"/>
    <w:uiPriority w:val="99"/>
    <w:semiHidden/>
    <w:unhideWhenUsed/>
    <w:rsid w:val="00FB1E13"/>
    <w:rPr>
      <w:sz w:val="16"/>
      <w:szCs w:val="16"/>
    </w:rPr>
  </w:style>
  <w:style w:type="paragraph" w:styleId="CommentText">
    <w:name w:val="annotation text"/>
    <w:basedOn w:val="Normal"/>
    <w:link w:val="CommentTextChar"/>
    <w:uiPriority w:val="99"/>
    <w:semiHidden/>
    <w:unhideWhenUsed/>
    <w:rsid w:val="00FB1E13"/>
    <w:pPr>
      <w:spacing w:line="240" w:lineRule="auto"/>
    </w:pPr>
    <w:rPr>
      <w:szCs w:val="20"/>
    </w:rPr>
  </w:style>
  <w:style w:type="character" w:customStyle="1" w:styleId="CommentTextChar">
    <w:name w:val="Comment Text Char"/>
    <w:basedOn w:val="DefaultParagraphFont"/>
    <w:link w:val="CommentText"/>
    <w:uiPriority w:val="99"/>
    <w:semiHidden/>
    <w:rsid w:val="00FB1E13"/>
    <w:rPr>
      <w:szCs w:val="20"/>
    </w:rPr>
  </w:style>
  <w:style w:type="paragraph" w:styleId="CommentSubject">
    <w:name w:val="annotation subject"/>
    <w:basedOn w:val="CommentText"/>
    <w:next w:val="CommentText"/>
    <w:link w:val="CommentSubjectChar"/>
    <w:uiPriority w:val="99"/>
    <w:semiHidden/>
    <w:unhideWhenUsed/>
    <w:rsid w:val="00FB1E13"/>
    <w:rPr>
      <w:b/>
      <w:bCs/>
    </w:rPr>
  </w:style>
  <w:style w:type="character" w:customStyle="1" w:styleId="CommentSubjectChar">
    <w:name w:val="Comment Subject Char"/>
    <w:basedOn w:val="CommentTextChar"/>
    <w:link w:val="CommentSubject"/>
    <w:uiPriority w:val="99"/>
    <w:semiHidden/>
    <w:rsid w:val="00FB1E1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2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ih.org/tlv-bei-guidelines/policies-procedures-presen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BE82ADF4B9204757A52FE68FB449403A"/>
        <w:category>
          <w:name w:val="General"/>
          <w:gallery w:val="placeholder"/>
        </w:category>
        <w:types>
          <w:type w:val="bbPlcHdr"/>
        </w:types>
        <w:behaviors>
          <w:behavior w:val="content"/>
        </w:behaviors>
        <w:guid w:val="{6744DD35-A8E7-4203-9AF7-E548496A2F74}"/>
      </w:docPartPr>
      <w:docPartBody>
        <w:p w:rsidR="004A1C91" w:rsidRDefault="006938F2" w:rsidP="006938F2">
          <w:pPr>
            <w:pStyle w:val="BE82ADF4B9204757A52FE68FB449403A"/>
          </w:pPr>
          <w:r>
            <w:rPr>
              <w:rStyle w:val="PlaceholderText"/>
            </w:rPr>
            <w:t>Y</w:t>
          </w:r>
          <w:r w:rsidRPr="003365A5">
            <w:rPr>
              <w:rStyle w:val="PlaceholderText"/>
            </w:rPr>
            <w:t>ear</w:t>
          </w:r>
        </w:p>
      </w:docPartBody>
    </w:docPart>
    <w:docPart>
      <w:docPartPr>
        <w:name w:val="06BA2EE3B33943AF83395EE3AC4D0326"/>
        <w:category>
          <w:name w:val="General"/>
          <w:gallery w:val="placeholder"/>
        </w:category>
        <w:types>
          <w:type w:val="bbPlcHdr"/>
        </w:types>
        <w:behaviors>
          <w:behavior w:val="content"/>
        </w:behaviors>
        <w:guid w:val="{4E9F4CFF-6724-4C37-B10E-06AD458EF1CD}"/>
      </w:docPartPr>
      <w:docPartBody>
        <w:p w:rsidR="004A1C91" w:rsidRDefault="006938F2" w:rsidP="006938F2">
          <w:pPr>
            <w:pStyle w:val="06BA2EE3B33943AF83395EE3AC4D0326"/>
          </w:pPr>
          <w:r>
            <w:rPr>
              <w:rStyle w:val="PlaceholderText"/>
            </w:rPr>
            <w:t>Y</w:t>
          </w:r>
          <w:r w:rsidRPr="003365A5">
            <w:rPr>
              <w:rStyle w:val="PlaceholderText"/>
            </w:rPr>
            <w:t>ear</w:t>
          </w:r>
        </w:p>
      </w:docPartBody>
    </w:docPart>
    <w:docPart>
      <w:docPartPr>
        <w:name w:val="9B4A683EEB994891A87C52F45E3783CD"/>
        <w:category>
          <w:name w:val="General"/>
          <w:gallery w:val="placeholder"/>
        </w:category>
        <w:types>
          <w:type w:val="bbPlcHdr"/>
        </w:types>
        <w:behaviors>
          <w:behavior w:val="content"/>
        </w:behaviors>
        <w:guid w:val="{B7FFFE5C-7CDD-45B3-A937-A6854C77D9D9}"/>
      </w:docPartPr>
      <w:docPartBody>
        <w:p w:rsidR="005C54D8" w:rsidRDefault="004A1C91" w:rsidP="004A1C91">
          <w:pPr>
            <w:pStyle w:val="9B4A683EEB994891A87C52F45E3783CD"/>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4A1C91"/>
    <w:rsid w:val="005C54D8"/>
    <w:rsid w:val="006938F2"/>
    <w:rsid w:val="00D00BDC"/>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C91"/>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E82ADF4B9204757A52FE68FB449403A">
    <w:name w:val="BE82ADF4B9204757A52FE68FB449403A"/>
    <w:rsid w:val="006938F2"/>
  </w:style>
  <w:style w:type="paragraph" w:customStyle="1" w:styleId="06BA2EE3B33943AF83395EE3AC4D0326">
    <w:name w:val="06BA2EE3B33943AF83395EE3AC4D0326"/>
    <w:rsid w:val="006938F2"/>
  </w:style>
  <w:style w:type="paragraph" w:customStyle="1" w:styleId="0296B880D7604F5B86BABC85C205DBE4">
    <w:name w:val="0296B880D7604F5B86BABC85C205DBE4"/>
    <w:rsid w:val="006938F2"/>
  </w:style>
  <w:style w:type="paragraph" w:customStyle="1" w:styleId="E8FBD539365D4FE9BD0AEFB70445D313">
    <w:name w:val="E8FBD539365D4FE9BD0AEFB70445D313"/>
    <w:rsid w:val="006938F2"/>
  </w:style>
  <w:style w:type="paragraph" w:customStyle="1" w:styleId="348E55AB8F4340E9BEB9E18DF380C11D">
    <w:name w:val="348E55AB8F4340E9BEB9E18DF380C11D"/>
    <w:rsid w:val="006938F2"/>
  </w:style>
  <w:style w:type="paragraph" w:customStyle="1" w:styleId="6BD1737BF4054355A21719B94F718F18">
    <w:name w:val="6BD1737BF4054355A21719B94F718F18"/>
    <w:rsid w:val="006938F2"/>
  </w:style>
  <w:style w:type="paragraph" w:customStyle="1" w:styleId="8812B547305A4257BDD327D121ADAC44">
    <w:name w:val="8812B547305A4257BDD327D121ADAC44"/>
    <w:rsid w:val="006938F2"/>
  </w:style>
  <w:style w:type="paragraph" w:customStyle="1" w:styleId="169E55784081425887EA143825B33964">
    <w:name w:val="169E55784081425887EA143825B33964"/>
    <w:rsid w:val="006938F2"/>
  </w:style>
  <w:style w:type="paragraph" w:customStyle="1" w:styleId="F2760A230B0D40D6B47264374AA8B23F">
    <w:name w:val="F2760A230B0D40D6B47264374AA8B23F"/>
    <w:rsid w:val="006938F2"/>
  </w:style>
  <w:style w:type="paragraph" w:customStyle="1" w:styleId="E3DAAEE881A547DFACD27A78E8408B13">
    <w:name w:val="E3DAAEE881A547DFACD27A78E8408B13"/>
    <w:rsid w:val="006938F2"/>
  </w:style>
  <w:style w:type="paragraph" w:customStyle="1" w:styleId="9B4A683EEB994891A87C52F45E3783CD">
    <w:name w:val="9B4A683EEB994891A87C52F45E3783CD"/>
    <w:rsid w:val="004A1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schemas.openxmlformats.org/package/2006/metadata/core-properties"/>
    <ds:schemaRef ds:uri="http://schemas.microsoft.com/office/2006/documentManagement/types"/>
    <ds:schemaRef ds:uri="bf54d604-3e62-4e70-ba33-9e9084b96a66"/>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33CD7E-9E28-4592-8CB8-4027CF44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4.xml><?xml version="1.0" encoding="utf-8"?>
<ds:datastoreItem xmlns:ds="http://schemas.openxmlformats.org/officeDocument/2006/customXml" ds:itemID="{493145DD-5BB5-4DCC-BD1E-9F0DDE37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D83B94C2.dotm</Template>
  <TotalTime>271</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10</cp:revision>
  <cp:lastPrinted>2018-10-22T22:41:00Z</cp:lastPrinted>
  <dcterms:created xsi:type="dcterms:W3CDTF">2019-12-24T03:57:00Z</dcterms:created>
  <dcterms:modified xsi:type="dcterms:W3CDTF">2020-02-27T21:21:00Z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