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118B7A4" w14:textId="00510885" w:rsidR="00BD499F" w:rsidRPr="004C23F4" w:rsidRDefault="00A97F84" w:rsidP="00B40C60">
          <w:pPr>
            <w:pStyle w:val="Heading1"/>
            <w:jc w:val="center"/>
            <w:rPr>
              <w:rFonts w:ascii="Arial" w:hAnsi="Arial" w:cs="Arial"/>
            </w:rPr>
          </w:pPr>
          <w:r w:rsidRPr="00A97F84">
            <w:rPr>
              <w:rFonts w:ascii="Arial" w:hAnsi="Arial" w:cs="Arial"/>
            </w:rPr>
            <w:t>Propane sultone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584E94AF" w14:textId="77777777" w:rsidTr="00B76A41">
        <w:trPr>
          <w:cantSplit/>
          <w:tblHeader/>
        </w:trPr>
        <w:tc>
          <w:tcPr>
            <w:tcW w:w="4077" w:type="dxa"/>
          </w:tcPr>
          <w:p w14:paraId="1C49E93E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A85C11E" w14:textId="1E726495" w:rsidR="00F43AD5" w:rsidRPr="00717D45" w:rsidRDefault="00F23812" w:rsidP="00B76A41">
            <w:pPr>
              <w:pStyle w:val="Tablefont"/>
            </w:pPr>
            <w:r w:rsidRPr="00F23812">
              <w:t>1120-71-4</w:t>
            </w:r>
          </w:p>
        </w:tc>
      </w:tr>
      <w:tr w:rsidR="00F43AD5" w:rsidRPr="004C23F4" w14:paraId="14959409" w14:textId="77777777" w:rsidTr="00B76A41">
        <w:trPr>
          <w:cantSplit/>
        </w:trPr>
        <w:tc>
          <w:tcPr>
            <w:tcW w:w="4077" w:type="dxa"/>
          </w:tcPr>
          <w:p w14:paraId="59AACFE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08F75C1E" w14:textId="7B7CA71B" w:rsidR="00F43AD5" w:rsidRPr="00717D45" w:rsidRDefault="00F23812" w:rsidP="00B76A41">
            <w:pPr>
              <w:pStyle w:val="Tablefont"/>
            </w:pPr>
            <w:r>
              <w:t xml:space="preserve">3-Hydroxy-1-propanesulphonic acid </w:t>
            </w:r>
            <w:r w:rsidR="00690F85">
              <w:t xml:space="preserve">sultone, </w:t>
            </w:r>
            <w:r w:rsidR="00A831FC">
              <w:br/>
            </w:r>
            <w:r w:rsidR="00690F85">
              <w:t>1,2-oxithiolane-2,2-dioxide, 1,3-propane sultone</w:t>
            </w:r>
          </w:p>
        </w:tc>
      </w:tr>
      <w:tr w:rsidR="00F43AD5" w:rsidRPr="004C23F4" w14:paraId="62D1177E" w14:textId="77777777" w:rsidTr="00B76A41">
        <w:trPr>
          <w:cantSplit/>
        </w:trPr>
        <w:tc>
          <w:tcPr>
            <w:tcW w:w="4077" w:type="dxa"/>
          </w:tcPr>
          <w:p w14:paraId="495CEC6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CE5B157" w14:textId="730F9AE1" w:rsidR="00F43AD5" w:rsidRPr="00717D45" w:rsidRDefault="00690F85" w:rsidP="00B76A41">
            <w:pPr>
              <w:pStyle w:val="Tablefont"/>
            </w:pPr>
            <w:r>
              <w:t>C</w:t>
            </w:r>
            <w:r w:rsidRPr="00690F85">
              <w:rPr>
                <w:vertAlign w:val="subscript"/>
              </w:rPr>
              <w:t>3</w:t>
            </w:r>
            <w:r>
              <w:t>H</w:t>
            </w:r>
            <w:r w:rsidRPr="00690F85">
              <w:rPr>
                <w:vertAlign w:val="subscript"/>
              </w:rPr>
              <w:t>6</w:t>
            </w:r>
            <w:r>
              <w:t>O</w:t>
            </w:r>
            <w:r w:rsidRPr="00690F85">
              <w:rPr>
                <w:vertAlign w:val="subscript"/>
              </w:rPr>
              <w:t>3</w:t>
            </w:r>
            <w:r>
              <w:t>S</w:t>
            </w:r>
          </w:p>
        </w:tc>
      </w:tr>
      <w:tr w:rsidR="00F43AD5" w:rsidRPr="004C23F4" w14:paraId="2DCDEA4F" w14:textId="77777777" w:rsidTr="00B76A41">
        <w:trPr>
          <w:cantSplit/>
        </w:trPr>
        <w:tc>
          <w:tcPr>
            <w:tcW w:w="4077" w:type="dxa"/>
          </w:tcPr>
          <w:p w14:paraId="0A7F222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A4E02CA" w14:textId="4EF26773" w:rsidR="00F43AD5" w:rsidRPr="00964801" w:rsidRDefault="00690F85" w:rsidP="00B76A41">
            <w:pPr>
              <w:pStyle w:val="Tablerowheading"/>
              <w:rPr>
                <w:b w:val="0"/>
              </w:rPr>
            </w:pPr>
            <w:r w:rsidRPr="00C36A99">
              <w:rPr>
                <w:b w:val="0"/>
              </w:rPr>
              <w:t>—</w:t>
            </w:r>
          </w:p>
        </w:tc>
      </w:tr>
    </w:tbl>
    <w:p w14:paraId="4FA293E4" w14:textId="0F9EAF7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831FC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9"/>
        <w:gridCol w:w="5017"/>
      </w:tblGrid>
      <w:tr w:rsidR="002C7AFE" w:rsidRPr="004C23F4" w14:paraId="5AA8655D" w14:textId="77777777" w:rsidTr="00AB7A9A">
        <w:trPr>
          <w:cantSplit/>
          <w:tblHeader/>
        </w:trPr>
        <w:tc>
          <w:tcPr>
            <w:tcW w:w="4009" w:type="dxa"/>
            <w:vAlign w:val="center"/>
          </w:tcPr>
          <w:p w14:paraId="2B107EB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7" w:type="dxa"/>
          </w:tcPr>
          <w:p w14:paraId="32D96FF2" w14:textId="502660CD" w:rsidR="002C7AFE" w:rsidRPr="00EB3D1B" w:rsidRDefault="00A831FC" w:rsidP="00017C82">
            <w:pPr>
              <w:pStyle w:val="Tablefont"/>
              <w:rPr>
                <w:b/>
              </w:rPr>
            </w:pPr>
            <w:r w:rsidRPr="00C36A99">
              <w:rPr>
                <w:b/>
              </w:rPr>
              <w:t>—</w:t>
            </w:r>
          </w:p>
        </w:tc>
      </w:tr>
      <w:tr w:rsidR="00AB7A9A" w:rsidRPr="004C23F4" w14:paraId="3951988D" w14:textId="77777777" w:rsidTr="00AB7A9A">
        <w:trPr>
          <w:cantSplit/>
        </w:trPr>
        <w:tc>
          <w:tcPr>
            <w:tcW w:w="4009" w:type="dxa"/>
            <w:vAlign w:val="center"/>
          </w:tcPr>
          <w:p w14:paraId="09458172" w14:textId="77777777" w:rsidR="00AB7A9A" w:rsidRPr="002C58FF" w:rsidRDefault="00AB7A9A" w:rsidP="00AB7A9A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7" w:type="dxa"/>
          </w:tcPr>
          <w:p w14:paraId="4A83B207" w14:textId="66EBFFF6" w:rsidR="00AB7A9A" w:rsidRPr="00964801" w:rsidRDefault="00AB7A9A" w:rsidP="00AB7A9A">
            <w:pPr>
              <w:pStyle w:val="Tablefont"/>
              <w:rPr>
                <w:b/>
              </w:rPr>
            </w:pPr>
            <w:r w:rsidRPr="00C36A99">
              <w:rPr>
                <w:b/>
              </w:rPr>
              <w:t>—</w:t>
            </w:r>
          </w:p>
        </w:tc>
      </w:tr>
      <w:tr w:rsidR="00AB7A9A" w:rsidRPr="004C23F4" w14:paraId="2DD5C39E" w14:textId="77777777" w:rsidTr="00AB7A9A">
        <w:trPr>
          <w:cantSplit/>
        </w:trPr>
        <w:tc>
          <w:tcPr>
            <w:tcW w:w="4009" w:type="dxa"/>
            <w:vAlign w:val="center"/>
          </w:tcPr>
          <w:p w14:paraId="0A56232E" w14:textId="77777777" w:rsidR="00AB7A9A" w:rsidRPr="002C58FF" w:rsidRDefault="00AB7A9A" w:rsidP="00AB7A9A">
            <w:pPr>
              <w:pStyle w:val="Tablerowright"/>
            </w:pPr>
            <w:r>
              <w:t>Peak limitation:</w:t>
            </w:r>
          </w:p>
        </w:tc>
        <w:tc>
          <w:tcPr>
            <w:tcW w:w="5017" w:type="dxa"/>
          </w:tcPr>
          <w:p w14:paraId="259059E7" w14:textId="06C78093" w:rsidR="00AB7A9A" w:rsidRPr="00964801" w:rsidRDefault="00AB7A9A" w:rsidP="00AB7A9A">
            <w:pPr>
              <w:pStyle w:val="Tablefont"/>
              <w:rPr>
                <w:b/>
              </w:rPr>
            </w:pPr>
            <w:r w:rsidRPr="00C36A99">
              <w:rPr>
                <w:b/>
              </w:rPr>
              <w:t>—</w:t>
            </w:r>
          </w:p>
        </w:tc>
      </w:tr>
      <w:tr w:rsidR="002C7AFE" w:rsidRPr="004C23F4" w14:paraId="0CD992BB" w14:textId="77777777" w:rsidTr="00AB7A9A">
        <w:trPr>
          <w:cantSplit/>
        </w:trPr>
        <w:tc>
          <w:tcPr>
            <w:tcW w:w="4009" w:type="dxa"/>
          </w:tcPr>
          <w:p w14:paraId="7CBE4FE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7" w:type="dxa"/>
          </w:tcPr>
          <w:p w14:paraId="2C0D1489" w14:textId="3E0A0912" w:rsidR="002C7AFE" w:rsidRPr="00EB3D1B" w:rsidRDefault="00AB7A9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1B, Sk.</w:t>
            </w:r>
          </w:p>
        </w:tc>
      </w:tr>
      <w:tr w:rsidR="002C7AFE" w:rsidRPr="004C23F4" w14:paraId="3044648D" w14:textId="77777777" w:rsidTr="00AB7A9A">
        <w:trPr>
          <w:cantSplit/>
        </w:trPr>
        <w:tc>
          <w:tcPr>
            <w:tcW w:w="4009" w:type="dxa"/>
            <w:vAlign w:val="center"/>
          </w:tcPr>
          <w:p w14:paraId="11DEC3F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7" w:type="dxa"/>
          </w:tcPr>
          <w:p w14:paraId="2A0F83EA" w14:textId="45232718" w:rsidR="002C7AFE" w:rsidRPr="00964801" w:rsidRDefault="00690F85" w:rsidP="00017C82">
            <w:pPr>
              <w:pStyle w:val="Tablefont"/>
              <w:rPr>
                <w:b/>
              </w:rPr>
            </w:pPr>
            <w:r w:rsidRPr="00C36A99">
              <w:rPr>
                <w:b/>
              </w:rPr>
              <w:t>—</w:t>
            </w:r>
          </w:p>
        </w:tc>
      </w:tr>
      <w:tr w:rsidR="00964801" w:rsidRPr="004C23F4" w14:paraId="7541CD8E" w14:textId="77777777" w:rsidTr="001C36A2">
        <w:trPr>
          <w:cantSplit/>
        </w:trPr>
        <w:tc>
          <w:tcPr>
            <w:tcW w:w="9026" w:type="dxa"/>
            <w:gridSpan w:val="2"/>
            <w:vAlign w:val="center"/>
          </w:tcPr>
          <w:p w14:paraId="7FD6FA00" w14:textId="220ACE75" w:rsidR="00964801" w:rsidRPr="00EB3D1B" w:rsidRDefault="00964801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9931274C03848058E6AE993FCBF437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91325D" w:rsidRPr="006C49AC">
                  <w:rPr>
                    <w:rStyle w:val="WESstatus"/>
                    <w:color w:val="auto"/>
                  </w:rPr>
                  <w:t>NA</w:t>
                </w:r>
              </w:sdtContent>
            </w:sdt>
          </w:p>
        </w:tc>
      </w:tr>
    </w:tbl>
    <w:p w14:paraId="7877AEA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274366E" w14:textId="6E948E61" w:rsidR="006639B4" w:rsidRDefault="00CD23DB" w:rsidP="000C139A">
      <w:pPr>
        <w:rPr>
          <w:rFonts w:cs="Arial"/>
        </w:rPr>
      </w:pPr>
      <w:r>
        <w:rPr>
          <w:rFonts w:cs="Arial"/>
        </w:rPr>
        <w:t xml:space="preserve">Insufficient data are available to derive a risk-based occupational exposure level. </w:t>
      </w:r>
      <w:r>
        <w:t xml:space="preserve">Any </w:t>
      </w:r>
      <w:r w:rsidR="0091325D">
        <w:t>exposure</w:t>
      </w:r>
      <w:r w:rsidR="00A831FC">
        <w:t xml:space="preserve"> at the workplace</w:t>
      </w:r>
      <w:r>
        <w:t xml:space="preserve"> is recommended to be strictly avoided</w:t>
      </w:r>
      <w:r w:rsidR="00617C96">
        <w:t xml:space="preserve"> to protect workers from cancer</w:t>
      </w:r>
      <w:r>
        <w:t>.</w:t>
      </w:r>
    </w:p>
    <w:p w14:paraId="21E351F9" w14:textId="16E8B1AD" w:rsidR="00CD23DB" w:rsidRPr="004C23F4" w:rsidRDefault="00CD23DB" w:rsidP="000C139A">
      <w:pPr>
        <w:rPr>
          <w:rFonts w:cs="Arial"/>
        </w:rPr>
      </w:pPr>
      <w:r>
        <w:rPr>
          <w:rStyle w:val="checkbox"/>
          <w:rFonts w:ascii="Arial" w:hAnsi="Arial" w:cs="Arial"/>
        </w:rPr>
        <w:t>A</w:t>
      </w:r>
      <w:r>
        <w:t xml:space="preserve"> priority in-depth assessment of </w:t>
      </w:r>
      <w:r w:rsidR="00AB7A9A" w:rsidRPr="00183039">
        <w:rPr>
          <w:rFonts w:cs="Arial"/>
        </w:rPr>
        <w:t xml:space="preserve">additional data sources </w:t>
      </w:r>
      <w:r>
        <w:t xml:space="preserve">for </w:t>
      </w:r>
      <w:r w:rsidR="00A831FC">
        <w:t>propane sultone</w:t>
      </w:r>
      <w:r>
        <w:t xml:space="preserve"> is recommended. </w:t>
      </w:r>
    </w:p>
    <w:p w14:paraId="5F58D3E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993DBE6" w14:textId="65CC43D7" w:rsidR="00A831FC" w:rsidRDefault="00FD30B3" w:rsidP="006639B4">
      <w:pPr>
        <w:rPr>
          <w:rFonts w:cs="Arial"/>
        </w:rPr>
      </w:pPr>
      <w:r>
        <w:t xml:space="preserve">Propane sultone was used as a </w:t>
      </w:r>
      <w:r w:rsidRPr="0091325D">
        <w:t xml:space="preserve">chemical intermediate to introduce sulfopropyl groups into molecules and to confer water solubility and anionic character. </w:t>
      </w:r>
      <w:r w:rsidRPr="0091325D">
        <w:rPr>
          <w:rFonts w:cs="Arial"/>
        </w:rPr>
        <w:t xml:space="preserve">No specific Australian use, import or manufacturing information </w:t>
      </w:r>
      <w:r w:rsidR="00A831FC">
        <w:rPr>
          <w:rFonts w:cs="Arial"/>
        </w:rPr>
        <w:t>is</w:t>
      </w:r>
      <w:r w:rsidRPr="0091325D">
        <w:rPr>
          <w:rFonts w:cs="Arial"/>
        </w:rPr>
        <w:t xml:space="preserve"> identified.</w:t>
      </w:r>
      <w:r w:rsidR="00183039" w:rsidRPr="0091325D">
        <w:rPr>
          <w:rFonts w:cs="Arial"/>
        </w:rPr>
        <w:t xml:space="preserve"> </w:t>
      </w:r>
    </w:p>
    <w:p w14:paraId="53659DD0" w14:textId="77777777" w:rsidR="00132AE3" w:rsidRDefault="00A831FC" w:rsidP="00183039">
      <w:pPr>
        <w:rPr>
          <w:rFonts w:cs="Arial"/>
        </w:rPr>
      </w:pPr>
      <w:r>
        <w:rPr>
          <w:rFonts w:cs="Arial"/>
        </w:rPr>
        <w:t>The c</w:t>
      </w:r>
      <w:r w:rsidR="00183039" w:rsidRPr="0091325D">
        <w:rPr>
          <w:rFonts w:cs="Arial"/>
        </w:rPr>
        <w:t xml:space="preserve">ritical effect </w:t>
      </w:r>
      <w:r>
        <w:rPr>
          <w:rFonts w:cs="Arial"/>
        </w:rPr>
        <w:t>of</w:t>
      </w:r>
      <w:r w:rsidR="00CD23DB" w:rsidRPr="0091325D">
        <w:rPr>
          <w:rFonts w:cs="Arial"/>
        </w:rPr>
        <w:t xml:space="preserve"> exposure is cancer.</w:t>
      </w:r>
    </w:p>
    <w:p w14:paraId="1D723A13" w14:textId="14614A7E" w:rsidR="00183039" w:rsidRPr="00183039" w:rsidRDefault="00CD23DB" w:rsidP="00183039">
      <w:pPr>
        <w:rPr>
          <w:rFonts w:cs="Arial"/>
        </w:rPr>
      </w:pPr>
      <w:r>
        <w:rPr>
          <w:rFonts w:cs="Arial"/>
        </w:rPr>
        <w:t>Propane</w:t>
      </w:r>
      <w:r w:rsidR="00183039" w:rsidRPr="00183039">
        <w:rPr>
          <w:rFonts w:cs="Arial"/>
        </w:rPr>
        <w:t xml:space="preserve"> </w:t>
      </w:r>
      <w:r w:rsidR="0091325D">
        <w:rPr>
          <w:rFonts w:cs="Arial"/>
        </w:rPr>
        <w:t xml:space="preserve">sultone </w:t>
      </w:r>
      <w:r w:rsidR="00183039" w:rsidRPr="00183039">
        <w:rPr>
          <w:rFonts w:cs="Arial"/>
        </w:rPr>
        <w:t xml:space="preserve">is carcinogenic in animals through multiple routes of exposure and it is assumed to have carcinogenic potential in humans by some sources. ACGIH (2018) classify its carcinogenicity as </w:t>
      </w:r>
      <w:r w:rsidR="00A831FC">
        <w:rPr>
          <w:rFonts w:cs="Arial"/>
        </w:rPr>
        <w:t>‘</w:t>
      </w:r>
      <w:r>
        <w:rPr>
          <w:rFonts w:cs="Arial"/>
        </w:rPr>
        <w:t xml:space="preserve">of unknown relevance </w:t>
      </w:r>
      <w:r w:rsidR="00183039" w:rsidRPr="00183039">
        <w:rPr>
          <w:rFonts w:cs="Arial"/>
        </w:rPr>
        <w:t>to humans</w:t>
      </w:r>
      <w:r w:rsidR="00A831FC">
        <w:rPr>
          <w:rFonts w:cs="Arial"/>
        </w:rPr>
        <w:t>’</w:t>
      </w:r>
      <w:r w:rsidR="00183039" w:rsidRPr="00183039">
        <w:rPr>
          <w:rFonts w:cs="Arial"/>
        </w:rPr>
        <w:t xml:space="preserve"> and </w:t>
      </w:r>
      <w:r>
        <w:rPr>
          <w:rFonts w:cs="Arial"/>
        </w:rPr>
        <w:t xml:space="preserve">IARC (2017) has classified it as a possible human carcinogen. </w:t>
      </w:r>
      <w:r w:rsidR="00183039" w:rsidRPr="00183039">
        <w:rPr>
          <w:rFonts w:cs="Arial"/>
        </w:rPr>
        <w:t>SCOEL</w:t>
      </w:r>
      <w:r>
        <w:rPr>
          <w:rFonts w:cs="Arial"/>
        </w:rPr>
        <w:t xml:space="preserve"> (2013) conclude that it is </w:t>
      </w:r>
      <w:r>
        <w:t>a genotoxic carcinogen without a threshold</w:t>
      </w:r>
      <w:r w:rsidR="00183039" w:rsidRPr="00183039">
        <w:rPr>
          <w:rFonts w:cs="Arial"/>
        </w:rPr>
        <w:t>. DFG (</w:t>
      </w:r>
      <w:r>
        <w:rPr>
          <w:rFonts w:cs="Arial"/>
        </w:rPr>
        <w:t>1992)</w:t>
      </w:r>
      <w:r w:rsidR="00183039" w:rsidRPr="00183039">
        <w:rPr>
          <w:rFonts w:cs="Arial"/>
        </w:rPr>
        <w:t xml:space="preserve"> and NICNAS (2013) cite the critical effects to humans as carcinogenicity and genotoxicity. Mutagenicity is demonstrated in both </w:t>
      </w:r>
      <w:r w:rsidR="00183039" w:rsidRPr="00A831FC">
        <w:rPr>
          <w:rFonts w:cs="Arial"/>
          <w:i/>
        </w:rPr>
        <w:t>in vitro</w:t>
      </w:r>
      <w:r w:rsidR="00183039" w:rsidRPr="00183039">
        <w:rPr>
          <w:rFonts w:cs="Arial"/>
        </w:rPr>
        <w:t xml:space="preserve"> and </w:t>
      </w:r>
      <w:r w:rsidR="00183039" w:rsidRPr="00A831FC">
        <w:rPr>
          <w:rFonts w:cs="Arial"/>
          <w:i/>
        </w:rPr>
        <w:t>in vivo</w:t>
      </w:r>
      <w:r w:rsidR="00A831FC">
        <w:rPr>
          <w:rFonts w:cs="Arial"/>
        </w:rPr>
        <w:t xml:space="preserve"> studies</w:t>
      </w:r>
      <w:r w:rsidR="00183039" w:rsidRPr="00183039">
        <w:rPr>
          <w:rFonts w:cs="Arial"/>
        </w:rPr>
        <w:t xml:space="preserve">. The mechanism of action for carcinogenicity may act </w:t>
      </w:r>
      <w:r w:rsidR="00183039" w:rsidRPr="00A831FC">
        <w:rPr>
          <w:rFonts w:cs="Arial"/>
          <w:i/>
        </w:rPr>
        <w:t>via</w:t>
      </w:r>
      <w:r w:rsidR="00183039" w:rsidRPr="00183039">
        <w:rPr>
          <w:rFonts w:cs="Arial"/>
        </w:rPr>
        <w:t xml:space="preserve"> a mutagenic mode of action (DFG</w:t>
      </w:r>
      <w:r>
        <w:rPr>
          <w:rFonts w:cs="Arial"/>
        </w:rPr>
        <w:t xml:space="preserve">, 2013; </w:t>
      </w:r>
      <w:r w:rsidR="00D53388">
        <w:rPr>
          <w:rFonts w:cs="Arial"/>
        </w:rPr>
        <w:t xml:space="preserve">IARC, 2017; </w:t>
      </w:r>
      <w:r>
        <w:rPr>
          <w:rFonts w:cs="Arial"/>
        </w:rPr>
        <w:t>SCOEL 2013</w:t>
      </w:r>
      <w:r w:rsidR="00183039" w:rsidRPr="00183039">
        <w:rPr>
          <w:rFonts w:cs="Arial"/>
        </w:rPr>
        <w:t xml:space="preserve">). For the purposes of this assessment, </w:t>
      </w:r>
      <w:r>
        <w:rPr>
          <w:rFonts w:cs="Arial"/>
        </w:rPr>
        <w:t>propane sultone</w:t>
      </w:r>
      <w:r w:rsidR="00183039" w:rsidRPr="00183039">
        <w:rPr>
          <w:rFonts w:cs="Arial"/>
        </w:rPr>
        <w:t xml:space="preserve"> is assumed to be a non-threshold-based genotoxic carcinogen.</w:t>
      </w:r>
    </w:p>
    <w:p w14:paraId="1FA43AE3" w14:textId="717255C2" w:rsidR="00183039" w:rsidRPr="004C23F4" w:rsidRDefault="00CD23DB" w:rsidP="00183039">
      <w:pPr>
        <w:rPr>
          <w:rFonts w:cs="Arial"/>
        </w:rPr>
      </w:pPr>
      <w:r>
        <w:rPr>
          <w:rFonts w:cs="Arial"/>
        </w:rPr>
        <w:t>Insufficient data are available to derive a</w:t>
      </w:r>
      <w:r w:rsidR="00AB7A9A">
        <w:rPr>
          <w:rFonts w:cs="Arial"/>
        </w:rPr>
        <w:t xml:space="preserve"> risk-based</w:t>
      </w:r>
      <w:r>
        <w:rPr>
          <w:rFonts w:cs="Arial"/>
        </w:rPr>
        <w:t xml:space="preserve"> TWA</w:t>
      </w:r>
      <w:r>
        <w:t>.</w:t>
      </w:r>
      <w:r w:rsidR="00183039" w:rsidRPr="00183039">
        <w:rPr>
          <w:rFonts w:cs="Arial"/>
        </w:rPr>
        <w:t xml:space="preserve"> Noting there are inconsistent data and decisions about the carcinogenicity potential of </w:t>
      </w:r>
      <w:r w:rsidR="00AB7A9A">
        <w:rPr>
          <w:rFonts w:cs="Arial"/>
        </w:rPr>
        <w:t>propane sultone</w:t>
      </w:r>
      <w:r w:rsidR="00183039" w:rsidRPr="00183039">
        <w:rPr>
          <w:rFonts w:cs="Arial"/>
        </w:rPr>
        <w:t xml:space="preserve"> in humans, it is recommended that an investigation of additional data sources is undertaken </w:t>
      </w:r>
      <w:r w:rsidR="00AB7A9A">
        <w:rPr>
          <w:rFonts w:cs="Arial"/>
        </w:rPr>
        <w:t>as a priority.</w:t>
      </w:r>
    </w:p>
    <w:p w14:paraId="44711C69" w14:textId="77777777" w:rsidR="004529F0" w:rsidRPr="004C23F4" w:rsidRDefault="004529F0" w:rsidP="00964801">
      <w:pPr>
        <w:pStyle w:val="Heading2"/>
      </w:pPr>
      <w:r>
        <w:lastRenderedPageBreak/>
        <w:t>Recommendation for notations</w:t>
      </w:r>
    </w:p>
    <w:p w14:paraId="482457BC" w14:textId="6427027F" w:rsidR="00690F85" w:rsidRPr="00265858" w:rsidRDefault="00AB7A9A" w:rsidP="0091325D">
      <w:pPr>
        <w:keepNext/>
        <w:rPr>
          <w:rFonts w:cs="Arial"/>
        </w:rPr>
      </w:pPr>
      <w:r>
        <w:rPr>
          <w:rFonts w:cs="Arial"/>
        </w:rPr>
        <w:t>C</w:t>
      </w:r>
      <w:r w:rsidR="00690F85" w:rsidRPr="00265858">
        <w:rPr>
          <w:rFonts w:cs="Arial"/>
        </w:rPr>
        <w:t xml:space="preserve">lassified as a </w:t>
      </w:r>
      <w:r w:rsidR="0091325D">
        <w:rPr>
          <w:rFonts w:cs="Arial"/>
        </w:rPr>
        <w:t>category 1B</w:t>
      </w:r>
      <w:r w:rsidR="0091325D" w:rsidRPr="00265858">
        <w:rPr>
          <w:rFonts w:cs="Arial"/>
        </w:rPr>
        <w:t xml:space="preserve"> </w:t>
      </w:r>
      <w:r w:rsidR="00690F85" w:rsidRPr="00265858">
        <w:rPr>
          <w:rFonts w:cs="Arial"/>
        </w:rPr>
        <w:t>carcinogen</w:t>
      </w:r>
      <w:r>
        <w:rPr>
          <w:rFonts w:cs="Arial"/>
        </w:rPr>
        <w:t xml:space="preserve"> </w:t>
      </w:r>
      <w:r w:rsidR="00690F85" w:rsidRPr="00265858">
        <w:rPr>
          <w:rFonts w:cs="Arial"/>
        </w:rPr>
        <w:t>according to the Globally Harmonized System of</w:t>
      </w:r>
      <w:r>
        <w:rPr>
          <w:rFonts w:cs="Arial"/>
        </w:rPr>
        <w:t xml:space="preserve"> Classification and Labelling of</w:t>
      </w:r>
      <w:r w:rsidR="00690F85" w:rsidRPr="00265858">
        <w:rPr>
          <w:rFonts w:cs="Arial"/>
        </w:rPr>
        <w:t xml:space="preserve"> Chemicals (GHS). </w:t>
      </w:r>
    </w:p>
    <w:p w14:paraId="3546AF13" w14:textId="6812AA57" w:rsidR="00690F85" w:rsidRPr="00265858" w:rsidRDefault="00690F85" w:rsidP="0091325D">
      <w:pPr>
        <w:keepNext/>
        <w:rPr>
          <w:rFonts w:cs="Arial"/>
        </w:rPr>
      </w:pPr>
      <w:r w:rsidRPr="00265858">
        <w:rPr>
          <w:rFonts w:cs="Arial"/>
        </w:rPr>
        <w:t xml:space="preserve">Not classified as a skin </w:t>
      </w:r>
      <w:r w:rsidR="00964801" w:rsidRPr="00265858">
        <w:rPr>
          <w:rFonts w:cs="Arial"/>
        </w:rPr>
        <w:t xml:space="preserve">sensitiser </w:t>
      </w:r>
      <w:r w:rsidRPr="00265858">
        <w:rPr>
          <w:rFonts w:cs="Arial"/>
        </w:rPr>
        <w:t>or respiratory sensitiser according to the GHS.</w:t>
      </w:r>
    </w:p>
    <w:p w14:paraId="73B73554" w14:textId="2045BE47" w:rsidR="00690F85" w:rsidRPr="004C23F4" w:rsidRDefault="00AB7A9A" w:rsidP="0091325D">
      <w:pPr>
        <w:keepNext/>
        <w:rPr>
          <w:rFonts w:cs="Arial"/>
        </w:rPr>
      </w:pPr>
      <w:r>
        <w:rPr>
          <w:rFonts w:cs="Arial"/>
        </w:rPr>
        <w:t>A skin notation is recommended based on evidence in animals of dermal uptake and adverse systemic effects.</w:t>
      </w:r>
    </w:p>
    <w:p w14:paraId="528750BD" w14:textId="77777777" w:rsidR="0025734A" w:rsidRPr="004C23F4" w:rsidRDefault="0025734A">
      <w:pPr>
        <w:rPr>
          <w:rFonts w:cs="Arial"/>
        </w:rPr>
      </w:pPr>
    </w:p>
    <w:p w14:paraId="3229BAF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5F745B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A3A541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A74DD0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AB91C0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799D3A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050675B" w14:textId="4C1518F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90F85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90F85">
                  <w:t>NA</w:t>
                </w:r>
              </w:sdtContent>
            </w:sdt>
          </w:p>
        </w:tc>
      </w:tr>
      <w:tr w:rsidR="00C978F0" w:rsidRPr="00DA352E" w14:paraId="1236BF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5A1725" w14:textId="2F1DB40F" w:rsidR="00C978F0" w:rsidRPr="00DA352E" w:rsidRDefault="00690F85" w:rsidP="003365A5">
            <w:pPr>
              <w:pStyle w:val="Tabletextprimarysource"/>
            </w:pPr>
            <w:r>
              <w:t>No report</w:t>
            </w:r>
            <w:r w:rsidR="00964801">
              <w:t>.</w:t>
            </w:r>
          </w:p>
        </w:tc>
      </w:tr>
      <w:tr w:rsidR="00C978F0" w:rsidRPr="00DA352E" w14:paraId="336505D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6FDC58" w14:textId="0959413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90F8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90F85">
                  <w:t>Not assigned</w:t>
                </w:r>
              </w:sdtContent>
            </w:sdt>
          </w:p>
        </w:tc>
      </w:tr>
      <w:tr w:rsidR="00C978F0" w:rsidRPr="00DA352E" w14:paraId="58E0E4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E7CFB86" w14:textId="7683603E" w:rsidR="00C978F0" w:rsidRDefault="00214F97" w:rsidP="00964801">
            <w:pPr>
              <w:pStyle w:val="Tabletextprimarysource"/>
            </w:pPr>
            <w:r>
              <w:t>TLV-TWA not recommended due to insufficient data to derive a concentration.</w:t>
            </w:r>
          </w:p>
          <w:p w14:paraId="03153955" w14:textId="77777777" w:rsidR="00214F97" w:rsidRDefault="00214F97" w:rsidP="00964801">
            <w:pPr>
              <w:pStyle w:val="Tabletextprimarysource"/>
            </w:pPr>
            <w:r>
              <w:t>Summary of data:</w:t>
            </w:r>
          </w:p>
          <w:p w14:paraId="493382E9" w14:textId="29101586" w:rsidR="00214F97" w:rsidRDefault="00214F9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No human data presented</w:t>
            </w:r>
            <w:r w:rsidR="00964801">
              <w:t>.</w:t>
            </w:r>
          </w:p>
          <w:p w14:paraId="660809AA" w14:textId="77777777" w:rsidR="00214F97" w:rsidRDefault="00214F97" w:rsidP="00964801">
            <w:pPr>
              <w:pStyle w:val="Tabletextprimarysource"/>
            </w:pPr>
            <w:r>
              <w:t>Animal data:</w:t>
            </w:r>
          </w:p>
          <w:p w14:paraId="69211D99" w14:textId="691677D7" w:rsidR="00214F97" w:rsidRDefault="00A64A98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Carcinogenic in rats and mice by several routes of administration</w:t>
            </w:r>
          </w:p>
          <w:p w14:paraId="5E4E34C7" w14:textId="429EA432" w:rsidR="00A64A98" w:rsidRDefault="00A64A98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A single subcutaneous dose of 100 mg/kg produced local sarcomas in all treated rats</w:t>
            </w:r>
            <w:r w:rsidR="00A831FC">
              <w:t xml:space="preserve"> (n = 18)</w:t>
            </w:r>
          </w:p>
          <w:p w14:paraId="6128E989" w14:textId="09EE382B" w:rsidR="00A64A98" w:rsidRDefault="00A831FC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In</w:t>
            </w:r>
            <w:r w:rsidR="00A64A98">
              <w:t xml:space="preserve"> rats treated with a single i</w:t>
            </w:r>
            <w:r>
              <w:t>v</w:t>
            </w:r>
            <w:r w:rsidR="00A64A98">
              <w:t xml:space="preserve"> bolus of 150 mg/kg, 1</w:t>
            </w:r>
            <w:r>
              <w:t>/32</w:t>
            </w:r>
            <w:r w:rsidR="00A64A98">
              <w:t xml:space="preserve"> rat died with a brain tumour after 235 d and 9</w:t>
            </w:r>
            <w:r>
              <w:t>/32</w:t>
            </w:r>
            <w:r w:rsidR="00A64A98">
              <w:t xml:space="preserve"> died with malignant tumours of a variety of sites within 459 d</w:t>
            </w:r>
          </w:p>
          <w:p w14:paraId="1533B187" w14:textId="47E645CA" w:rsidR="00A64A98" w:rsidRDefault="00A064AA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Malignant neurogenic tumours in the offspring of pregnant rats given a single i</w:t>
            </w:r>
            <w:r w:rsidR="00A831FC">
              <w:t>v</w:t>
            </w:r>
            <w:r>
              <w:t xml:space="preserve"> dose of 20 mg/kg of </w:t>
            </w:r>
            <w:r w:rsidR="00C36A99">
              <w:t>GD</w:t>
            </w:r>
            <w:r>
              <w:t xml:space="preserve"> 15 </w:t>
            </w:r>
          </w:p>
          <w:p w14:paraId="102F9144" w14:textId="1AD137EC" w:rsidR="00A064AA" w:rsidRDefault="00A064AA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Various types of malignant tumours including tumours of the brain in rats dosed </w:t>
            </w:r>
            <w:r w:rsidR="000B65ED">
              <w:t xml:space="preserve">chronically </w:t>
            </w:r>
            <w:r w:rsidR="000B65ED" w:rsidRPr="00A831FC">
              <w:rPr>
                <w:i/>
              </w:rPr>
              <w:t>via</w:t>
            </w:r>
            <w:r w:rsidR="000B65ED">
              <w:t xml:space="preserve"> oral intubation </w:t>
            </w:r>
            <w:r w:rsidR="00A831FC">
              <w:t>at</w:t>
            </w:r>
            <w:r>
              <w:t xml:space="preserve"> 30 mg/kg</w:t>
            </w:r>
            <w:r w:rsidR="00FD46E0">
              <w:t>/wk</w:t>
            </w:r>
            <w:r w:rsidR="000B65ED">
              <w:t xml:space="preserve"> or 56 mg/kg twice weekly </w:t>
            </w:r>
          </w:p>
          <w:p w14:paraId="67A4AED0" w14:textId="77777777" w:rsidR="00FD46E0" w:rsidRDefault="00FD46E0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In mice, weekly subcutaneous injections of 0.3 mg in distilled water produced tumours at the injection site</w:t>
            </w:r>
          </w:p>
          <w:p w14:paraId="56260F6F" w14:textId="143D4E26" w:rsidR="00FD46E0" w:rsidRDefault="00FD46E0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In rats, weekly or single </w:t>
            </w:r>
            <w:r w:rsidR="00456359">
              <w:t xml:space="preserve">IV </w:t>
            </w:r>
            <w:r>
              <w:t>administration of 20, 40 or 150 mg/kg, resulted in various types of tumours, mostly affecting the nervous system</w:t>
            </w:r>
          </w:p>
          <w:p w14:paraId="291EB216" w14:textId="1BA57490" w:rsidR="00FD46E0" w:rsidRDefault="00FD46E0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Skin painting in mice resulted in statistically significant increase in systemic neoplasia including cancers of lymphoreticular and lung origin; mammary gland and uterine tumours observed in female mice; no further information</w:t>
            </w:r>
            <w:r w:rsidR="00964801">
              <w:t>.</w:t>
            </w:r>
          </w:p>
          <w:p w14:paraId="25C265DF" w14:textId="77777777" w:rsidR="00A831FC" w:rsidRDefault="00A831FC" w:rsidP="00964801">
            <w:pPr>
              <w:pStyle w:val="Tabletextprimarysource"/>
            </w:pPr>
          </w:p>
          <w:p w14:paraId="19B91621" w14:textId="3B14BDCE" w:rsidR="00FD46E0" w:rsidRDefault="00FD46E0" w:rsidP="00964801">
            <w:pPr>
              <w:pStyle w:val="Tabletextprimarysource"/>
            </w:pPr>
            <w:r>
              <w:t>Confirmed animal carcinogen</w:t>
            </w:r>
            <w:r w:rsidR="00964801">
              <w:t>.</w:t>
            </w:r>
          </w:p>
          <w:p w14:paraId="79CF4C10" w14:textId="77777777" w:rsidR="00FD46E0" w:rsidRDefault="00FD46E0" w:rsidP="00964801">
            <w:pPr>
              <w:pStyle w:val="Tabletextprimarysource"/>
            </w:pPr>
            <w:r>
              <w:t>Insufficient data to recommend skin or sensitiser notations or TLV.</w:t>
            </w:r>
          </w:p>
          <w:p w14:paraId="459DFC32" w14:textId="6E3B739D" w:rsidR="00A831FC" w:rsidRPr="00DA352E" w:rsidRDefault="00A831FC" w:rsidP="00964801">
            <w:pPr>
              <w:pStyle w:val="Tabletextprimarysource"/>
            </w:pPr>
          </w:p>
        </w:tc>
      </w:tr>
      <w:tr w:rsidR="00C978F0" w:rsidRPr="00DA352E" w14:paraId="487B4EA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697CC09" w14:textId="5BBB641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54992">
                  <w:t>1992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90F85">
                  <w:t>Not assigned</w:t>
                </w:r>
              </w:sdtContent>
            </w:sdt>
          </w:p>
        </w:tc>
      </w:tr>
      <w:tr w:rsidR="00C978F0" w:rsidRPr="00DA352E" w14:paraId="444ADA84" w14:textId="77777777" w:rsidTr="00C36A99">
        <w:trPr>
          <w:gridAfter w:val="1"/>
          <w:wAfter w:w="8" w:type="pct"/>
        </w:trPr>
        <w:tc>
          <w:tcPr>
            <w:tcW w:w="0" w:type="pct"/>
          </w:tcPr>
          <w:p w14:paraId="51FD0329" w14:textId="77777777" w:rsidR="00C978F0" w:rsidRDefault="00254992" w:rsidP="00964801">
            <w:pPr>
              <w:pStyle w:val="Tabletextprimarysource"/>
            </w:pPr>
            <w:r>
              <w:t>No MAK assigned due to carcinogenicity.</w:t>
            </w:r>
          </w:p>
          <w:p w14:paraId="48B4F5E8" w14:textId="77777777" w:rsidR="00254992" w:rsidRDefault="00254992" w:rsidP="00964801">
            <w:pPr>
              <w:pStyle w:val="Tabletextprimarysource"/>
            </w:pPr>
            <w:r>
              <w:t>Summary of additional data:</w:t>
            </w:r>
          </w:p>
          <w:p w14:paraId="759CE056" w14:textId="67295BB6" w:rsidR="00254992" w:rsidRDefault="00254992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Considered as unequivocally carcinogenic</w:t>
            </w:r>
            <w:r w:rsidR="00917BA9">
              <w:t xml:space="preserve"> as evidenced in animals</w:t>
            </w:r>
          </w:p>
          <w:p w14:paraId="3ADE06D7" w14:textId="22858AB6" w:rsidR="00917BA9" w:rsidRDefault="00917BA9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Tumour induction in humans not yet reported at time of review</w:t>
            </w:r>
          </w:p>
          <w:p w14:paraId="78271C6A" w14:textId="19E1CCDC" w:rsidR="00917BA9" w:rsidRDefault="00917BA9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Tumours developed in rats and mice following single and repeated application (cited by ACGIH, 2018)</w:t>
            </w:r>
          </w:p>
          <w:p w14:paraId="067CD3EB" w14:textId="016F063A" w:rsidR="00B5042F" w:rsidRDefault="00B5042F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52 rats treated orally at 28 mg/kg, 2</w:t>
            </w:r>
            <w:r w:rsidR="00C36A99">
              <w:t>/</w:t>
            </w:r>
            <w:r>
              <w:t>wk for 60 wk:</w:t>
            </w:r>
          </w:p>
          <w:p w14:paraId="706BE112" w14:textId="77777777" w:rsidR="00A831FC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27 gliomas</w:t>
            </w:r>
          </w:p>
          <w:p w14:paraId="6FC1B8F3" w14:textId="68546A5F" w:rsidR="00A831FC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12 mixed tumours</w:t>
            </w:r>
          </w:p>
          <w:p w14:paraId="2C8127F4" w14:textId="4FD1F76C" w:rsidR="00A831FC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8 mammary carcinomas</w:t>
            </w:r>
          </w:p>
          <w:p w14:paraId="17AFB5D8" w14:textId="15BF491F" w:rsidR="00A831FC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5 intestinal tumours</w:t>
            </w:r>
          </w:p>
          <w:p w14:paraId="7C8287D0" w14:textId="77777777" w:rsidR="00A831FC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2 leukoses</w:t>
            </w:r>
          </w:p>
          <w:p w14:paraId="3D851EF3" w14:textId="4A72811A" w:rsidR="00B5042F" w:rsidRDefault="00B5042F" w:rsidP="00C36A99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1 tumour of the auditory canal</w:t>
            </w:r>
            <w:r w:rsidR="00964801">
              <w:t>.</w:t>
            </w:r>
          </w:p>
          <w:p w14:paraId="6E83EFD9" w14:textId="348E8348" w:rsidR="00B5042F" w:rsidRDefault="00B5042F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lastRenderedPageBreak/>
              <w:t xml:space="preserve">12 rats dosed at 15 mg/kg </w:t>
            </w:r>
            <w:r w:rsidR="00132AE3">
              <w:rPr>
                <w:iCs/>
              </w:rPr>
              <w:t>by</w:t>
            </w:r>
            <w:r>
              <w:t xml:space="preserve"> iv injection </w:t>
            </w:r>
            <w:r w:rsidR="00C36A99">
              <w:t>1/</w:t>
            </w:r>
            <w:r>
              <w:t>wk, for 21 wk:</w:t>
            </w:r>
          </w:p>
          <w:p w14:paraId="43C14EAE" w14:textId="77777777" w:rsidR="00A831FC" w:rsidRDefault="00B5042F" w:rsidP="00C36A9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7/12 local sarcomas at the injection site (4 myosarcomas, 3 fibrosarcomas)</w:t>
            </w:r>
          </w:p>
          <w:p w14:paraId="31B38F01" w14:textId="27A76AFB" w:rsidR="00A831FC" w:rsidRDefault="00B5042F" w:rsidP="00C36A9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1 neurosarcoma</w:t>
            </w:r>
          </w:p>
          <w:p w14:paraId="452FD476" w14:textId="4B14B49C" w:rsidR="00B5042F" w:rsidRDefault="00B5042F" w:rsidP="00C36A99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1 carcinoma in the large intestine</w:t>
            </w:r>
            <w:r w:rsidR="00964801">
              <w:t>.</w:t>
            </w:r>
          </w:p>
          <w:p w14:paraId="1EA6F2CF" w14:textId="3575724F" w:rsidR="00917BA9" w:rsidRDefault="00917BA9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Produces both local tumours (skin, mucosa of the small intestine) and systemic tumours in rats and mice; systemic tumours practically independent of the application route</w:t>
            </w:r>
          </w:p>
          <w:p w14:paraId="53BD230F" w14:textId="508A2F65" w:rsidR="00917BA9" w:rsidRDefault="00917BA9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Induces systemic tumours after skin application in mice; skin notation warranted</w:t>
            </w:r>
            <w:r w:rsidR="00964801">
              <w:t>.</w:t>
            </w:r>
          </w:p>
          <w:p w14:paraId="7063C77F" w14:textId="77777777" w:rsidR="00B5042F" w:rsidRDefault="00B5042F" w:rsidP="00C36A99">
            <w:pPr>
              <w:pStyle w:val="Tabletextprimarysource"/>
              <w:keepNext/>
            </w:pPr>
            <w:r>
              <w:t>Genotoxicity</w:t>
            </w:r>
          </w:p>
          <w:p w14:paraId="4FD5482B" w14:textId="5C8E06C4" w:rsidR="00B5042F" w:rsidRDefault="00612334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Ames plate-incorporation assay in </w:t>
            </w:r>
            <w:r w:rsidRPr="00612334">
              <w:rPr>
                <w:i/>
              </w:rPr>
              <w:t>S</w:t>
            </w:r>
            <w:r>
              <w:rPr>
                <w:i/>
              </w:rPr>
              <w:t>.</w:t>
            </w:r>
            <w:r w:rsidRPr="00612334">
              <w:rPr>
                <w:i/>
              </w:rPr>
              <w:t xml:space="preserve"> typhimurium</w:t>
            </w:r>
            <w:r>
              <w:t xml:space="preserve"> TA98, TA100, TA1535, TA1536, TA1537, TA1538</w:t>
            </w:r>
            <w:r w:rsidR="00456359">
              <w:t>:</w:t>
            </w:r>
          </w:p>
          <w:p w14:paraId="71ED5791" w14:textId="60490557" w:rsidR="00612334" w:rsidRDefault="00612334" w:rsidP="00C36A99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 w:rsidRPr="00612334">
              <w:t>positive without S9 mix in TA100 and TA1535; negative in TA98, TA1536, TA1537, TA1538</w:t>
            </w:r>
            <w:r w:rsidR="00964801">
              <w:t>.</w:t>
            </w:r>
          </w:p>
          <w:p w14:paraId="6DA5984E" w14:textId="657E84BF" w:rsidR="00612334" w:rsidRDefault="00612334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6 tests in combination: Ames test in </w:t>
            </w:r>
            <w:r w:rsidRPr="00612334">
              <w:rPr>
                <w:i/>
              </w:rPr>
              <w:t>S. typhimurium</w:t>
            </w:r>
            <w:r>
              <w:t xml:space="preserve"> (4 strains); mammalian cell transformation test (BHK21/cl13 + Syrian hamster kidney cells); degranulation of rat liver rough endoplasmic reticulum; tetrazolium reduction test; mouse skin sebaceous gland suppression test; subcutaneous implantation test; all tests returned positive results apart from mouse skin sebaceous gland suppression test</w:t>
            </w:r>
          </w:p>
          <w:p w14:paraId="2885DB41" w14:textId="36354BED" w:rsidR="00612334" w:rsidRDefault="00612334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 xml:space="preserve">Positive in </w:t>
            </w:r>
            <w:r w:rsidRPr="00C36A99">
              <w:rPr>
                <w:i/>
              </w:rPr>
              <w:t>E.</w:t>
            </w:r>
            <w:r w:rsidR="00C36A99">
              <w:rPr>
                <w:i/>
              </w:rPr>
              <w:t xml:space="preserve"> </w:t>
            </w:r>
            <w:r w:rsidRPr="00C36A99">
              <w:rPr>
                <w:i/>
              </w:rPr>
              <w:t>coli</w:t>
            </w:r>
            <w:r>
              <w:t xml:space="preserve"> Ames</w:t>
            </w:r>
          </w:p>
          <w:p w14:paraId="1FFB8B48" w14:textId="77777777" w:rsidR="00612334" w:rsidRDefault="00612334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Mutagenicity demonstrated in a large number of tests</w:t>
            </w:r>
            <w:r w:rsidR="00C36A99">
              <w:t xml:space="preserve">. </w:t>
            </w:r>
          </w:p>
          <w:p w14:paraId="3D85779F" w14:textId="785640A9" w:rsidR="00D53388" w:rsidRPr="00DA352E" w:rsidRDefault="00D53388" w:rsidP="00A831FC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C978F0" w:rsidRPr="00DA352E" w14:paraId="538F1C5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ADC5EF" w14:textId="277B39B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90F85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690F85">
                  <w:t>Not assigned</w:t>
                </w:r>
              </w:sdtContent>
            </w:sdt>
          </w:p>
        </w:tc>
      </w:tr>
      <w:tr w:rsidR="00C978F0" w:rsidRPr="00DA352E" w14:paraId="7734010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B6FA9C6" w14:textId="77777777" w:rsidR="00C978F0" w:rsidRDefault="00445149" w:rsidP="00964801">
            <w:pPr>
              <w:pStyle w:val="Tabletextprimarysource"/>
            </w:pPr>
            <w:r>
              <w:t>Categorised as a genotoxic carcinogen without a threshold and there</w:t>
            </w:r>
            <w:r w:rsidR="008C26E8">
              <w:t>fore a health-based OEL cannot be derived.</w:t>
            </w:r>
          </w:p>
          <w:p w14:paraId="50C8184F" w14:textId="77777777" w:rsidR="008C26E8" w:rsidRDefault="008C26E8" w:rsidP="00964801">
            <w:pPr>
              <w:pStyle w:val="Tabletextprimarysource"/>
            </w:pPr>
            <w:r>
              <w:t>Summary of additional data:</w:t>
            </w:r>
          </w:p>
          <w:p w14:paraId="7129BD99" w14:textId="39571373" w:rsidR="00A527E7" w:rsidRDefault="00A527E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Alkylating chemical, which is highly reactive towards DNA and proteins</w:t>
            </w:r>
          </w:p>
          <w:p w14:paraId="5CF248AC" w14:textId="0ABB8E4D" w:rsidR="00460384" w:rsidRDefault="00A527E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In Germany, a</w:t>
            </w:r>
            <w:r w:rsidR="008C26E8">
              <w:t xml:space="preserve"> group of 55 male workers who previously handled the compound at </w:t>
            </w:r>
            <w:r w:rsidR="00460384">
              <w:t>1</w:t>
            </w:r>
            <w:r w:rsidR="008C26E8">
              <w:t xml:space="preserve"> company</w:t>
            </w:r>
            <w:r w:rsidR="00460384">
              <w:t xml:space="preserve"> were later subject to medical surveillance</w:t>
            </w:r>
            <w:r w:rsidR="00456359">
              <w:t>:</w:t>
            </w:r>
            <w:r w:rsidR="008C26E8">
              <w:t xml:space="preserve"> </w:t>
            </w:r>
          </w:p>
          <w:p w14:paraId="49B4E76B" w14:textId="3F4ADEFA" w:rsidR="00460384" w:rsidRDefault="008C26E8" w:rsidP="00C36A99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production and use of propane sultone was discontinued after recognition of its carcinogenicity in experimental animals</w:t>
            </w:r>
          </w:p>
          <w:p w14:paraId="14F1D7C7" w14:textId="01CEDDD1" w:rsidR="00460384" w:rsidRDefault="00460384" w:rsidP="00C36A99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a first review revealed several malignancies at sites similar to those observed in animal experiments </w:t>
            </w:r>
          </w:p>
          <w:p w14:paraId="66DD7892" w14:textId="5398E0FE" w:rsidR="00460384" w:rsidRDefault="00460384" w:rsidP="00C36A99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a follow-up </w:t>
            </w:r>
            <w:r w:rsidR="008C26E8">
              <w:t>revealed 20</w:t>
            </w:r>
            <w:r w:rsidR="00C36A99">
              <w:t>/</w:t>
            </w:r>
            <w:r w:rsidR="008C26E8">
              <w:t xml:space="preserve">55 workers were diseased with tumours at sites </w:t>
            </w:r>
            <w:r>
              <w:t xml:space="preserve">consistent with those </w:t>
            </w:r>
            <w:r w:rsidR="008C26E8">
              <w:t>identified experimentally in rodents (except mammary)</w:t>
            </w:r>
            <w:r>
              <w:t>;</w:t>
            </w:r>
          </w:p>
          <w:p w14:paraId="00D3C154" w14:textId="1C6D00B2" w:rsidR="008C26E8" w:rsidRDefault="00460384" w:rsidP="00C36A99">
            <w:pPr>
              <w:pStyle w:val="ListBullet"/>
              <w:numPr>
                <w:ilvl w:val="1"/>
                <w:numId w:val="6"/>
              </w:numPr>
              <w:spacing w:before="60" w:after="60"/>
              <w:ind w:left="2009" w:hanging="567"/>
              <w:contextualSpacing w:val="0"/>
            </w:pPr>
            <w:r>
              <w:t>noted were 1 case of a duodenal carcinoma and 1 malignant schwannoma, normally being a very rare human malignancy</w:t>
            </w:r>
          </w:p>
          <w:p w14:paraId="035F2232" w14:textId="2AFC4F36" w:rsidR="008C26E8" w:rsidRDefault="00460384" w:rsidP="00C36A99">
            <w:pPr>
              <w:pStyle w:val="ListBullet"/>
              <w:numPr>
                <w:ilvl w:val="1"/>
                <w:numId w:val="6"/>
              </w:numPr>
              <w:spacing w:before="60" w:after="60"/>
              <w:ind w:left="2009" w:hanging="567"/>
              <w:contextualSpacing w:val="0"/>
            </w:pPr>
            <w:r>
              <w:t>data interpreted to provide a clear indication of carcinogenicity in humans</w:t>
            </w:r>
          </w:p>
          <w:p w14:paraId="667FD029" w14:textId="2C77836A" w:rsidR="00460384" w:rsidRDefault="00460384" w:rsidP="00C36A99">
            <w:pPr>
              <w:pStyle w:val="ListBullet"/>
              <w:numPr>
                <w:ilvl w:val="1"/>
                <w:numId w:val="6"/>
              </w:numPr>
              <w:spacing w:before="60" w:after="60"/>
              <w:ind w:left="2009" w:hanging="567"/>
              <w:contextualSpacing w:val="0"/>
            </w:pPr>
            <w:r>
              <w:t>12 cases legally compensated as having contract occupational cancer</w:t>
            </w:r>
          </w:p>
          <w:p w14:paraId="42366FEF" w14:textId="7FF94734" w:rsidR="00A527E7" w:rsidRDefault="00964801" w:rsidP="00C36A99">
            <w:pPr>
              <w:pStyle w:val="ListBullet"/>
              <w:numPr>
                <w:ilvl w:val="1"/>
                <w:numId w:val="6"/>
              </w:numPr>
              <w:spacing w:before="60" w:after="60"/>
              <w:ind w:left="2009" w:hanging="567"/>
              <w:contextualSpacing w:val="0"/>
            </w:pPr>
            <w:r>
              <w:t>n</w:t>
            </w:r>
            <w:r w:rsidR="00A527E7">
              <w:t>o dose-response data available</w:t>
            </w:r>
            <w:r>
              <w:t>.</w:t>
            </w:r>
          </w:p>
          <w:p w14:paraId="19EC698B" w14:textId="77777777" w:rsidR="00460384" w:rsidRDefault="00A527E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Causes DNA damage and mutation in bacteria and induces mitotic recombination in yeast</w:t>
            </w:r>
          </w:p>
          <w:p w14:paraId="3BA91B1B" w14:textId="398C4623" w:rsidR="00A527E7" w:rsidRDefault="00A527E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DNA strand breaks are induced in brain cells from rats injected with propane sultone; directly mutagenic and carcinogenic</w:t>
            </w:r>
          </w:p>
          <w:p w14:paraId="57E4F6B2" w14:textId="77777777" w:rsidR="00A527E7" w:rsidRDefault="00A527E7" w:rsidP="00C36A99">
            <w:pPr>
              <w:pStyle w:val="ListBullet"/>
              <w:spacing w:before="60" w:after="60"/>
              <w:ind w:left="1080"/>
              <w:contextualSpacing w:val="0"/>
            </w:pPr>
            <w:r>
              <w:t>Recommends that any contact of humans with propane sultone is avoided</w:t>
            </w:r>
            <w:r w:rsidR="00964801">
              <w:t>.</w:t>
            </w:r>
          </w:p>
          <w:p w14:paraId="343F307D" w14:textId="7A92416D" w:rsidR="00D53388" w:rsidRPr="00DA352E" w:rsidRDefault="00D53388" w:rsidP="00A831FC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DA352E" w:rsidRPr="00DA352E" w14:paraId="60E5C26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19412B" w14:textId="2828476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90F8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90F85">
                  <w:t>NA</w:t>
                </w:r>
              </w:sdtContent>
            </w:sdt>
          </w:p>
        </w:tc>
      </w:tr>
      <w:tr w:rsidR="00DA352E" w:rsidRPr="00DA352E" w14:paraId="11470F1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95F8A3C" w14:textId="113AE6E5" w:rsidR="00DA352E" w:rsidRPr="00DA352E" w:rsidRDefault="00690F85" w:rsidP="003365A5">
            <w:pPr>
              <w:pStyle w:val="Tabletextprimarysource"/>
            </w:pPr>
            <w:r>
              <w:t>No report</w:t>
            </w:r>
            <w:r w:rsidR="00964801">
              <w:t>.</w:t>
            </w:r>
          </w:p>
        </w:tc>
      </w:tr>
      <w:tr w:rsidR="00DA352E" w:rsidRPr="00DA352E" w14:paraId="6F23319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E19CEE6" w14:textId="71F305D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90F8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90F85">
                  <w:t>NA</w:t>
                </w:r>
              </w:sdtContent>
            </w:sdt>
          </w:p>
        </w:tc>
      </w:tr>
      <w:tr w:rsidR="00DA352E" w:rsidRPr="00DA352E" w14:paraId="7F4A2D3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320DDA" w14:textId="1BB8A2B4" w:rsidR="00DA352E" w:rsidRPr="00DA352E" w:rsidRDefault="00690F85" w:rsidP="003365A5">
            <w:pPr>
              <w:pStyle w:val="Tabletextprimarysource"/>
            </w:pPr>
            <w:r>
              <w:t>No report</w:t>
            </w:r>
            <w:r w:rsidR="00964801">
              <w:t>.</w:t>
            </w:r>
          </w:p>
        </w:tc>
      </w:tr>
    </w:tbl>
    <w:p w14:paraId="5BB6CDE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3"/>
        <w:gridCol w:w="661"/>
        <w:gridCol w:w="6453"/>
      </w:tblGrid>
      <w:tr w:rsidR="004966BF" w:rsidRPr="00263255" w14:paraId="2E43D323" w14:textId="77777777" w:rsidTr="00FD30B3">
        <w:trPr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0F063F9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DC20C1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856F42D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5AE214C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2E167DB" w14:textId="77777777" w:rsidTr="00FD30B3">
        <w:trPr>
          <w:cantSplit/>
        </w:trPr>
        <w:tc>
          <w:tcPr>
            <w:tcW w:w="1489" w:type="dxa"/>
          </w:tcPr>
          <w:p w14:paraId="28643ED1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8CA9572" w14:textId="59CE11DC" w:rsidR="004966BF" w:rsidRPr="00CE617F" w:rsidRDefault="0096369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527E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ED3EEC2" w14:textId="074136E7" w:rsidR="004966BF" w:rsidRPr="004C23F4" w:rsidRDefault="00A527E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3" w:type="dxa"/>
          </w:tcPr>
          <w:p w14:paraId="7F5CD0DF" w14:textId="0E0937DF" w:rsidR="00FD30B3" w:rsidRDefault="00FD30B3" w:rsidP="00A527E7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color w:val="262626"/>
              </w:rPr>
              <w:t>No specific Australian use, import or manufacturing information has been identified</w:t>
            </w:r>
          </w:p>
          <w:p w14:paraId="0A122C2A" w14:textId="5E42F01B" w:rsidR="004966BF" w:rsidRDefault="00A527E7" w:rsidP="00A527E7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C36A99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660 mg/kg </w:t>
            </w:r>
            <w:r w:rsidR="00C36A99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rabbits</w:t>
            </w:r>
            <w:r w:rsidR="00C36A99">
              <w:rPr>
                <w:rStyle w:val="checkbox"/>
                <w:rFonts w:ascii="Arial" w:hAnsi="Arial" w:cs="Arial"/>
              </w:rPr>
              <w:t>, dermal)</w:t>
            </w:r>
          </w:p>
          <w:p w14:paraId="69FE3AF5" w14:textId="3B24D0C0" w:rsidR="00A527E7" w:rsidRDefault="00A527E7" w:rsidP="00A527E7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B</w:t>
            </w:r>
            <w:r w:rsidRPr="00A527E7">
              <w:rPr>
                <w:rStyle w:val="checkbox"/>
                <w:rFonts w:ascii="Arial" w:hAnsi="Arial" w:cs="Arial"/>
              </w:rPr>
              <w:t>acterial reverse mutation assay (</w:t>
            </w:r>
            <w:r w:rsidR="00C36A99">
              <w:rPr>
                <w:rStyle w:val="checkbox"/>
                <w:rFonts w:ascii="Arial" w:hAnsi="Arial" w:cs="Arial"/>
              </w:rPr>
              <w:t>≡</w:t>
            </w:r>
            <w:r w:rsidRPr="00A527E7">
              <w:rPr>
                <w:rStyle w:val="checkbox"/>
                <w:rFonts w:ascii="Arial" w:hAnsi="Arial" w:cs="Arial"/>
              </w:rPr>
              <w:t xml:space="preserve">OECD TG 471) without metabolic activation showed positive results in </w:t>
            </w:r>
            <w:r w:rsidRPr="00A527E7">
              <w:rPr>
                <w:rStyle w:val="checkbox"/>
                <w:rFonts w:ascii="Arial" w:hAnsi="Arial" w:cs="Arial"/>
                <w:i/>
              </w:rPr>
              <w:t xml:space="preserve">S. </w:t>
            </w:r>
            <w:r w:rsidR="00C36A99">
              <w:rPr>
                <w:rStyle w:val="checkbox"/>
                <w:rFonts w:ascii="Arial" w:hAnsi="Arial" w:cs="Arial"/>
                <w:i/>
              </w:rPr>
              <w:t> </w:t>
            </w:r>
            <w:r w:rsidRPr="00A527E7">
              <w:rPr>
                <w:rStyle w:val="checkbox"/>
                <w:rFonts w:ascii="Arial" w:hAnsi="Arial" w:cs="Arial"/>
                <w:i/>
              </w:rPr>
              <w:t xml:space="preserve">typhimurium </w:t>
            </w:r>
            <w:r w:rsidRPr="00A527E7">
              <w:rPr>
                <w:rStyle w:val="checkbox"/>
                <w:rFonts w:ascii="Arial" w:hAnsi="Arial" w:cs="Arial"/>
              </w:rPr>
              <w:t xml:space="preserve">strains TA 1535, TA 1537, TA 98, TA </w:t>
            </w:r>
            <w:r w:rsidR="00C36A99">
              <w:rPr>
                <w:rStyle w:val="checkbox"/>
                <w:rFonts w:ascii="Arial" w:hAnsi="Arial" w:cs="Arial"/>
              </w:rPr>
              <w:t> </w:t>
            </w:r>
            <w:r w:rsidRPr="00A527E7">
              <w:rPr>
                <w:rStyle w:val="checkbox"/>
                <w:rFonts w:ascii="Arial" w:hAnsi="Arial" w:cs="Arial"/>
              </w:rPr>
              <w:t>100, TA 102 and TA 97</w:t>
            </w:r>
          </w:p>
          <w:p w14:paraId="237B7919" w14:textId="1546A01F" w:rsidR="00A527E7" w:rsidRPr="004C23F4" w:rsidRDefault="00A527E7" w:rsidP="00A527E7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On the case report of 55 male workers in Germany (as </w:t>
            </w:r>
            <w:r w:rsidRPr="00C36A99">
              <w:rPr>
                <w:rStyle w:val="checkbox"/>
                <w:rFonts w:ascii="Arial" w:hAnsi="Arial" w:cs="Arial"/>
              </w:rPr>
              <w:t>cited by SCOEL, 2013); c</w:t>
            </w:r>
            <w:r w:rsidRPr="00C36A99">
              <w:rPr>
                <w:rFonts w:cs="Arial"/>
              </w:rPr>
              <w:t>onfounding factors do not allow a clear conclusion as to carcinogenicity of the chemical in humans</w:t>
            </w:r>
            <w:r w:rsidR="00964801" w:rsidRPr="00C36A99">
              <w:rPr>
                <w:rFonts w:cs="Arial"/>
              </w:rPr>
              <w:t>.</w:t>
            </w:r>
          </w:p>
        </w:tc>
      </w:tr>
      <w:tr w:rsidR="004966BF" w:rsidRPr="004C23F4" w14:paraId="266535CB" w14:textId="77777777" w:rsidTr="00FD30B3">
        <w:trPr>
          <w:cantSplit/>
        </w:trPr>
        <w:tc>
          <w:tcPr>
            <w:tcW w:w="1489" w:type="dxa"/>
          </w:tcPr>
          <w:p w14:paraId="159855D5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102180E8" w14:textId="15F68FDB" w:rsidR="004966BF" w:rsidRPr="00CE617F" w:rsidRDefault="0096369F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D30B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05B046B" w14:textId="451B6CE8" w:rsidR="004966BF" w:rsidRPr="004C23F4" w:rsidRDefault="00FD30B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53" w:type="dxa"/>
          </w:tcPr>
          <w:p w14:paraId="4BDA2418" w14:textId="77777777" w:rsidR="004966BF" w:rsidRPr="00FD30B3" w:rsidRDefault="00FD30B3" w:rsidP="00FD30B3">
            <w:pPr>
              <w:pStyle w:val="ListBullet"/>
              <w:ind w:left="108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On the case report of 55 male workers in Germany (as cited by SCOEL, 2013); w</w:t>
            </w:r>
            <w:r>
              <w:t>ithout comparative data on the number of cancers expected, it is difficult to interpret the findings of this study, which is essentially a case series among an exposed population</w:t>
            </w:r>
          </w:p>
          <w:p w14:paraId="1F43AC71" w14:textId="0E69178A" w:rsidR="00FD30B3" w:rsidRPr="00FD30B3" w:rsidRDefault="00FD30B3" w:rsidP="00FD30B3">
            <w:pPr>
              <w:pStyle w:val="ListBullet"/>
              <w:ind w:left="1080"/>
              <w:rPr>
                <w:rFonts w:cs="Arial"/>
              </w:rPr>
            </w:pPr>
            <w:r>
              <w:t xml:space="preserve">DNA reactivity is evident in a variety of assays for genotoxicity, including in experimental animals and with human cells </w:t>
            </w:r>
            <w:r w:rsidRPr="00C36A99">
              <w:rPr>
                <w:i/>
              </w:rPr>
              <w:t>in vitro</w:t>
            </w:r>
            <w:r>
              <w:t>; considered to have strong direct genotoxic properties</w:t>
            </w:r>
          </w:p>
          <w:p w14:paraId="1CB0A6FA" w14:textId="77777777" w:rsidR="00FD30B3" w:rsidRPr="00FD30B3" w:rsidRDefault="00FD30B3" w:rsidP="00FD30B3">
            <w:pPr>
              <w:pStyle w:val="ListBullet"/>
              <w:ind w:left="1080"/>
              <w:rPr>
                <w:rFonts w:cs="Arial"/>
              </w:rPr>
            </w:pPr>
            <w:r>
              <w:t>Inadequate evidence in humans for the carcinogenicity</w:t>
            </w:r>
          </w:p>
          <w:p w14:paraId="513572EA" w14:textId="70B8CF0A" w:rsidR="00FD30B3" w:rsidRPr="00FD30B3" w:rsidRDefault="00FD30B3" w:rsidP="00FD30B3">
            <w:pPr>
              <w:pStyle w:val="ListBullet"/>
              <w:ind w:left="1080"/>
              <w:rPr>
                <w:rFonts w:cs="Arial"/>
              </w:rPr>
            </w:pPr>
            <w:r>
              <w:t>Sufficient evidence in experimental animals for carcinogenicity</w:t>
            </w:r>
          </w:p>
          <w:p w14:paraId="6EC5694A" w14:textId="517978BD" w:rsidR="00FD30B3" w:rsidRPr="004C23F4" w:rsidRDefault="00FD30B3" w:rsidP="00FD30B3">
            <w:pPr>
              <w:pStyle w:val="ListBullet"/>
              <w:ind w:left="1080"/>
              <w:rPr>
                <w:rStyle w:val="checkbox"/>
                <w:rFonts w:ascii="Arial" w:hAnsi="Arial" w:cs="Arial"/>
              </w:rPr>
            </w:pPr>
            <w:r>
              <w:t>Probably carcinogenic to humans (Group 2A)</w:t>
            </w:r>
            <w:r w:rsidR="00964801">
              <w:t>.</w:t>
            </w:r>
          </w:p>
        </w:tc>
      </w:tr>
    </w:tbl>
    <w:bookmarkEnd w:id="0"/>
    <w:p w14:paraId="6B10CB4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7C94AD7B" w14:textId="77777777" w:rsidTr="00FD30B3">
        <w:trPr>
          <w:trHeight w:val="454"/>
          <w:tblHeader/>
        </w:trPr>
        <w:tc>
          <w:tcPr>
            <w:tcW w:w="6609" w:type="dxa"/>
            <w:vAlign w:val="center"/>
          </w:tcPr>
          <w:p w14:paraId="7E54485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02687672" w14:textId="6C7F09A5" w:rsidR="002E0D61" w:rsidRDefault="00FD30B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B138824" w14:textId="77777777" w:rsidTr="00FD30B3">
        <w:trPr>
          <w:trHeight w:val="454"/>
        </w:trPr>
        <w:tc>
          <w:tcPr>
            <w:tcW w:w="6609" w:type="dxa"/>
            <w:vAlign w:val="center"/>
          </w:tcPr>
          <w:p w14:paraId="6ED03F1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46126758" w14:textId="74FE8E09" w:rsidR="008A36CF" w:rsidRDefault="00FD30B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A831FC" w14:paraId="4E560FF5" w14:textId="77777777" w:rsidTr="00D520F1">
        <w:trPr>
          <w:trHeight w:val="454"/>
        </w:trPr>
        <w:sdt>
          <w:sdtPr>
            <w:rPr>
              <w:b/>
            </w:rPr>
            <w:id w:val="1830936485"/>
            <w:placeholder>
              <w:docPart w:val="E59D5C8F80B5410C848BCC8FA2DCB0E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9BFCE30" w14:textId="6F495ED6" w:rsidR="00A831FC" w:rsidRDefault="00A831F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</w:tr>
      <w:tr w:rsidR="008A36CF" w14:paraId="5AA31C17" w14:textId="77777777" w:rsidTr="00FD30B3">
        <w:trPr>
          <w:trHeight w:val="454"/>
        </w:trPr>
        <w:tc>
          <w:tcPr>
            <w:tcW w:w="6609" w:type="dxa"/>
            <w:vAlign w:val="center"/>
          </w:tcPr>
          <w:p w14:paraId="56AF020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12EE4A3F" w14:textId="6B6EFE8B" w:rsidR="008A36CF" w:rsidRDefault="00FD30B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1"/>
    <w:p w14:paraId="338849D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63A51F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E846E28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982B3D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E201281" w14:textId="77777777" w:rsidTr="00812887">
        <w:trPr>
          <w:cantSplit/>
        </w:trPr>
        <w:tc>
          <w:tcPr>
            <w:tcW w:w="3227" w:type="dxa"/>
          </w:tcPr>
          <w:p w14:paraId="36674B2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3BB93C1" w14:textId="4B3ABEEB" w:rsidR="00687890" w:rsidRPr="00DD2F9B" w:rsidRDefault="00C753B1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0CE24CB" w14:textId="77777777" w:rsidTr="00812887">
        <w:trPr>
          <w:cantSplit/>
        </w:trPr>
        <w:tc>
          <w:tcPr>
            <w:tcW w:w="3227" w:type="dxa"/>
          </w:tcPr>
          <w:p w14:paraId="6F72ABF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D3BF90D" w14:textId="63BD34A1" w:rsidR="007925F0" w:rsidRPr="00DD2F9B" w:rsidRDefault="00690F85" w:rsidP="00DD2F9B">
            <w:pPr>
              <w:pStyle w:val="Tablefont"/>
            </w:pPr>
            <w:r w:rsidRPr="00690F85">
              <w:t>Carcinogenicity – category 1B</w:t>
            </w:r>
          </w:p>
        </w:tc>
      </w:tr>
      <w:tr w:rsidR="00AF483F" w:rsidRPr="004C23F4" w14:paraId="74A4B58C" w14:textId="77777777" w:rsidTr="00812887">
        <w:trPr>
          <w:cantSplit/>
        </w:trPr>
        <w:tc>
          <w:tcPr>
            <w:tcW w:w="3227" w:type="dxa"/>
          </w:tcPr>
          <w:p w14:paraId="1F6634A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EFE80EC" w14:textId="766173EB" w:rsidR="00AF483F" w:rsidRPr="00DD2F9B" w:rsidRDefault="00C753B1" w:rsidP="00DD2F9B">
            <w:pPr>
              <w:pStyle w:val="Tablefont"/>
            </w:pPr>
            <w:r w:rsidRPr="00C753B1">
              <w:t>Carc. Cat 2</w:t>
            </w:r>
            <w:r>
              <w:t>, Skin</w:t>
            </w:r>
          </w:p>
        </w:tc>
      </w:tr>
      <w:tr w:rsidR="00687890" w:rsidRPr="004C23F4" w14:paraId="25EF13F2" w14:textId="77777777" w:rsidTr="00812887">
        <w:trPr>
          <w:cantSplit/>
        </w:trPr>
        <w:tc>
          <w:tcPr>
            <w:tcW w:w="3227" w:type="dxa"/>
          </w:tcPr>
          <w:p w14:paraId="6DD5B79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AF00B52" w14:textId="19546882" w:rsidR="00687890" w:rsidRPr="00DD2F9B" w:rsidRDefault="00C753B1" w:rsidP="00DD2F9B">
            <w:pPr>
              <w:pStyle w:val="Tablefont"/>
            </w:pPr>
            <w:r w:rsidRPr="00C753B1">
              <w:t>Carcinogenicity – category 1B</w:t>
            </w:r>
          </w:p>
        </w:tc>
      </w:tr>
      <w:tr w:rsidR="00E41A26" w:rsidRPr="004C23F4" w14:paraId="772C4900" w14:textId="77777777" w:rsidTr="00812887">
        <w:trPr>
          <w:cantSplit/>
        </w:trPr>
        <w:tc>
          <w:tcPr>
            <w:tcW w:w="3227" w:type="dxa"/>
          </w:tcPr>
          <w:p w14:paraId="5FDCE58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85D87B7" w14:textId="708B55DE" w:rsidR="00E41A26" w:rsidRPr="00DD2F9B" w:rsidRDefault="00C753B1" w:rsidP="00DD2F9B">
            <w:pPr>
              <w:pStyle w:val="Tablefont"/>
            </w:pPr>
            <w:r w:rsidRPr="00C753B1">
              <w:t>Carc. 1B</w:t>
            </w:r>
          </w:p>
        </w:tc>
      </w:tr>
      <w:tr w:rsidR="002E0D61" w:rsidRPr="004C23F4" w14:paraId="3A14FBA4" w14:textId="77777777" w:rsidTr="00812887">
        <w:trPr>
          <w:cantSplit/>
        </w:trPr>
        <w:tc>
          <w:tcPr>
            <w:tcW w:w="3227" w:type="dxa"/>
          </w:tcPr>
          <w:p w14:paraId="78F976D0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15500679" w14:textId="3ADF10FC" w:rsidR="002E0D61" w:rsidRPr="00DD2F9B" w:rsidRDefault="00C753B1" w:rsidP="00DD2F9B">
            <w:pPr>
              <w:pStyle w:val="Tablefont"/>
            </w:pPr>
            <w:r w:rsidRPr="00690F85">
              <w:t>Carcinogenicity – A3</w:t>
            </w:r>
          </w:p>
        </w:tc>
      </w:tr>
      <w:tr w:rsidR="002E0D61" w:rsidRPr="004C23F4" w14:paraId="14C16FAF" w14:textId="77777777" w:rsidTr="00812887">
        <w:trPr>
          <w:cantSplit/>
        </w:trPr>
        <w:tc>
          <w:tcPr>
            <w:tcW w:w="3227" w:type="dxa"/>
          </w:tcPr>
          <w:p w14:paraId="5206987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2132D65" w14:textId="7B784541" w:rsidR="002E0D61" w:rsidRPr="00DD2F9B" w:rsidRDefault="00C753B1" w:rsidP="00DD2F9B">
            <w:pPr>
              <w:pStyle w:val="Tablefont"/>
            </w:pPr>
            <w:r w:rsidRPr="00C753B1">
              <w:t>Carcinogenicity – 1</w:t>
            </w:r>
            <w:r>
              <w:t xml:space="preserve">, </w:t>
            </w:r>
            <w:r w:rsidRPr="00C753B1">
              <w:t>H (skin)</w:t>
            </w:r>
          </w:p>
        </w:tc>
      </w:tr>
      <w:tr w:rsidR="002E0D61" w:rsidRPr="004C23F4" w14:paraId="26E77E06" w14:textId="77777777" w:rsidTr="00812887">
        <w:trPr>
          <w:cantSplit/>
        </w:trPr>
        <w:tc>
          <w:tcPr>
            <w:tcW w:w="3227" w:type="dxa"/>
          </w:tcPr>
          <w:p w14:paraId="5BE646F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C3C7880" w14:textId="675A4F3F" w:rsidR="002E0D61" w:rsidRPr="00DD2F9B" w:rsidRDefault="00C753B1" w:rsidP="00DD2F9B">
            <w:pPr>
              <w:pStyle w:val="Tablefont"/>
            </w:pPr>
            <w:r w:rsidRPr="00C753B1">
              <w:t>Carcinogenicity – A</w:t>
            </w:r>
            <w:r>
              <w:t xml:space="preserve">, </w:t>
            </w:r>
            <w:r w:rsidRPr="00C753B1">
              <w:t>Skin</w:t>
            </w:r>
          </w:p>
        </w:tc>
      </w:tr>
      <w:tr w:rsidR="002E0D61" w:rsidRPr="004C23F4" w14:paraId="6324D86E" w14:textId="77777777" w:rsidTr="00812887">
        <w:trPr>
          <w:cantSplit/>
        </w:trPr>
        <w:tc>
          <w:tcPr>
            <w:tcW w:w="3227" w:type="dxa"/>
          </w:tcPr>
          <w:p w14:paraId="19DA768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D013A42" w14:textId="2C197429" w:rsidR="002E0D61" w:rsidRPr="00DD2F9B" w:rsidRDefault="00C753B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5586DC7" w14:textId="77777777" w:rsidTr="00812887">
        <w:trPr>
          <w:cantSplit/>
        </w:trPr>
        <w:tc>
          <w:tcPr>
            <w:tcW w:w="3227" w:type="dxa"/>
          </w:tcPr>
          <w:p w14:paraId="178FE7E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6BF5625" w14:textId="0A067D38" w:rsidR="00386093" w:rsidRPr="00DD2F9B" w:rsidRDefault="00C753B1" w:rsidP="00DD2F9B">
            <w:pPr>
              <w:pStyle w:val="Tablefont"/>
            </w:pPr>
            <w:r w:rsidRPr="00C753B1">
              <w:t>Carcinogenicity – Group 2A</w:t>
            </w:r>
          </w:p>
        </w:tc>
      </w:tr>
      <w:tr w:rsidR="00386093" w:rsidRPr="004C23F4" w14:paraId="21F8FB3C" w14:textId="77777777" w:rsidTr="00812887">
        <w:trPr>
          <w:cantSplit/>
        </w:trPr>
        <w:tc>
          <w:tcPr>
            <w:tcW w:w="3227" w:type="dxa"/>
          </w:tcPr>
          <w:p w14:paraId="5C786F2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34D927A" w14:textId="2FD74D2B" w:rsidR="00386093" w:rsidRPr="00DD2F9B" w:rsidRDefault="00C753B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7CAE70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E0D637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6E07F4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2AD8BF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8AEED4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42" w:type="dxa"/>
              <w:tblLook w:val="04A0" w:firstRow="1" w:lastRow="0" w:firstColumn="1" w:lastColumn="0" w:noHBand="0" w:noVBand="1"/>
            </w:tblPr>
            <w:tblGrid>
              <w:gridCol w:w="3582"/>
              <w:gridCol w:w="1059"/>
              <w:gridCol w:w="1059"/>
              <w:gridCol w:w="3110"/>
            </w:tblGrid>
            <w:tr w:rsidR="00FD30B3" w:rsidRPr="00FD30B3" w14:paraId="07917DB3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F41332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911B31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CCD8DB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A809EC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7373088F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00322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6D517A6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F93583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6C651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673A3394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1C4ED0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083497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65316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3E1862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03237349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9ACA7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C14E1F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DED1BA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20BDF1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0EC889AF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0A7BDC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3E5B95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4C57AE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CC89A0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5ACBA4C2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56A7C9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6FA01D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5E470F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8F213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D30B3" w:rsidRPr="00FD30B3" w14:paraId="7CD98FE4" w14:textId="77777777" w:rsidTr="00FD30B3">
              <w:trPr>
                <w:trHeight w:val="334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7C88DB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9B265B" w14:textId="77777777" w:rsidR="00FD30B3" w:rsidRPr="00FD30B3" w:rsidRDefault="00FD30B3" w:rsidP="00FD30B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1B4102" w14:textId="77777777" w:rsidR="00FD30B3" w:rsidRPr="00FD30B3" w:rsidRDefault="00FD30B3" w:rsidP="00FD30B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99BC4C" w14:textId="77777777" w:rsidR="00FD30B3" w:rsidRPr="00FD30B3" w:rsidRDefault="00FD30B3" w:rsidP="00FD30B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D30B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0D8028E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9D1AD3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53409C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BEDCF99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D41ED29" w14:textId="5DBE40AF" w:rsidR="00EB3D1B" w:rsidRDefault="00C753B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868B10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A0BD8B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35C0BD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D3E4C8F" w14:textId="787E9CC1" w:rsidR="001B79E5" w:rsidRDefault="00C753B1" w:rsidP="001B79E5">
                <w:pPr>
                  <w:pStyle w:val="Tablefont"/>
                </w:pPr>
                <w:r w:rsidRPr="00C753B1">
                  <w:t>122.15</w:t>
                </w:r>
              </w:p>
            </w:tc>
          </w:sdtContent>
        </w:sdt>
      </w:tr>
      <w:tr w:rsidR="00A31D99" w:rsidRPr="004C23F4" w14:paraId="61BE208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385213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55750A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803501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F30A0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D380D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484806" w14:textId="77777777" w:rsidTr="00EA6243">
        <w:trPr>
          <w:cantSplit/>
        </w:trPr>
        <w:tc>
          <w:tcPr>
            <w:tcW w:w="4077" w:type="dxa"/>
            <w:vAlign w:val="center"/>
          </w:tcPr>
          <w:p w14:paraId="72253A5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93C9C6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4674119" w14:textId="77777777" w:rsidTr="00EA6243">
        <w:trPr>
          <w:cantSplit/>
        </w:trPr>
        <w:tc>
          <w:tcPr>
            <w:tcW w:w="4077" w:type="dxa"/>
            <w:vAlign w:val="center"/>
          </w:tcPr>
          <w:p w14:paraId="00FFE1A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380847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D76E9BF" w14:textId="77777777" w:rsidTr="00EA6243">
        <w:trPr>
          <w:cantSplit/>
        </w:trPr>
        <w:tc>
          <w:tcPr>
            <w:tcW w:w="4077" w:type="dxa"/>
            <w:vAlign w:val="center"/>
          </w:tcPr>
          <w:p w14:paraId="28391601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10DE780" w14:textId="77777777" w:rsidR="00E06F40" w:rsidRPr="00A006A0" w:rsidRDefault="0096369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5F232D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4DA1E4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794E55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62E9A1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D400C3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EC84CE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53C16B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D20D054" w14:textId="77777777" w:rsidR="00F87D92" w:rsidRDefault="00F87D92" w:rsidP="00964801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EE4EB3A" w14:textId="564E7F6E" w:rsidR="007F1005" w:rsidRDefault="006650FE" w:rsidP="00C36A99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C7B932D" w14:textId="63DC0304" w:rsidR="00C753B1" w:rsidRDefault="00C753B1" w:rsidP="00C36A99">
      <w:pPr>
        <w:keepNext/>
      </w:pPr>
      <w:r w:rsidRPr="002022B6">
        <w:t>Deutsche Forschungsgemeinschaft (DFG)</w:t>
      </w:r>
      <w:r>
        <w:t xml:space="preserve"> (</w:t>
      </w:r>
      <w:r w:rsidR="00A84583">
        <w:t>1992</w:t>
      </w:r>
      <w:r>
        <w:t xml:space="preserve">) </w:t>
      </w:r>
      <w:r w:rsidR="00A84583" w:rsidRPr="00A84583">
        <w:t>Propane sultone</w:t>
      </w:r>
      <w:r>
        <w:t xml:space="preserve"> – MAK value documentation.</w:t>
      </w:r>
    </w:p>
    <w:p w14:paraId="6C2AF85C" w14:textId="0DE582B1" w:rsidR="00C753B1" w:rsidRDefault="00C753B1" w:rsidP="00C36A99">
      <w:pPr>
        <w:keepNext/>
      </w:pPr>
      <w:r>
        <w:t>European Chemicals Agency (ECHA) (</w:t>
      </w:r>
      <w:r w:rsidR="00A84583">
        <w:t>2019</w:t>
      </w:r>
      <w:r>
        <w:t xml:space="preserve">) </w:t>
      </w:r>
      <w:r w:rsidR="00A84583" w:rsidRPr="00A84583">
        <w:t>Propane sultone</w:t>
      </w:r>
      <w:r>
        <w:t xml:space="preserve"> – REACH assessment.</w:t>
      </w:r>
    </w:p>
    <w:p w14:paraId="06B4603D" w14:textId="43693325" w:rsidR="00C753B1" w:rsidRDefault="00A84583" w:rsidP="00084859">
      <w:r w:rsidRPr="002022B6">
        <w:t>EU Scientific Committee on Occupational Exposure Limits (SCOEL)</w:t>
      </w:r>
      <w:r>
        <w:t xml:space="preserve"> (2013) Recommendation from the Scientific Committee on Occupational Exposure Limits for </w:t>
      </w:r>
      <w:r w:rsidRPr="00A84583">
        <w:t>Propane sultone</w:t>
      </w:r>
      <w:r>
        <w:t>. SCOEL/SUM/189.</w:t>
      </w:r>
    </w:p>
    <w:p w14:paraId="3B216139" w14:textId="40731477" w:rsidR="00A84583" w:rsidRDefault="00A84583" w:rsidP="00084859">
      <w:r w:rsidRPr="002022B6">
        <w:t>International Agency for Research on Cancer</w:t>
      </w:r>
      <w:r>
        <w:t xml:space="preserve"> (IARC) (</w:t>
      </w:r>
      <w:r w:rsidRPr="00A84583">
        <w:t>2017</w:t>
      </w:r>
      <w:r>
        <w:t xml:space="preserve">) </w:t>
      </w:r>
      <w:r w:rsidRPr="00A84583">
        <w:t>Propane sultone</w:t>
      </w:r>
      <w:r>
        <w:t>. IARC Monographs on the evaluation of the carcinogenic risk to humans.</w:t>
      </w:r>
    </w:p>
    <w:p w14:paraId="45BA2C8A" w14:textId="20E50A2F" w:rsidR="00A84583" w:rsidRDefault="00A84583" w:rsidP="00084859">
      <w:r w:rsidRPr="002022B6">
        <w:t>National Industrial Chemicals Notification and Assessment Scheme (NICNAS)</w:t>
      </w:r>
      <w:r>
        <w:t xml:space="preserve"> (</w:t>
      </w:r>
      <w:r w:rsidRPr="00A84583">
        <w:t>2015</w:t>
      </w:r>
      <w:r>
        <w:t xml:space="preserve">) </w:t>
      </w:r>
      <w:r w:rsidRPr="00A84583">
        <w:t>1,2-Oxathiolane, 2,2-dioxide</w:t>
      </w:r>
      <w:r w:rsidRPr="0071660C">
        <w:t xml:space="preserve">: Human health </w:t>
      </w:r>
      <w:r w:rsidRPr="00A84583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132ADA46" w14:textId="77777777" w:rsidR="00964801" w:rsidRDefault="00964801" w:rsidP="00964801">
      <w:pPr>
        <w:keepNext/>
      </w:pPr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19FF9C22" w14:textId="77777777" w:rsidR="00A84583" w:rsidRPr="00351FE0" w:rsidRDefault="00A84583" w:rsidP="00084859"/>
    <w:sectPr w:rsidR="00A8458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8F97" w14:textId="77777777" w:rsidR="007774C1" w:rsidRDefault="007774C1" w:rsidP="00F43AD5">
      <w:pPr>
        <w:spacing w:after="0" w:line="240" w:lineRule="auto"/>
      </w:pPr>
      <w:r>
        <w:separator/>
      </w:r>
    </w:p>
  </w:endnote>
  <w:endnote w:type="continuationSeparator" w:id="0">
    <w:p w14:paraId="47949D07" w14:textId="77777777" w:rsidR="007774C1" w:rsidRDefault="007774C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F291" w14:textId="77777777" w:rsidR="0096369F" w:rsidRDefault="00963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5C5ED75" w14:textId="23828AAA" w:rsidR="008A36CF" w:rsidRDefault="00690F85" w:rsidP="0034744C">
        <w:pPr>
          <w:pStyle w:val="Footer"/>
          <w:rPr>
            <w:sz w:val="18"/>
            <w:szCs w:val="18"/>
          </w:rPr>
        </w:pPr>
        <w:r w:rsidRPr="00690F85">
          <w:rPr>
            <w:b/>
            <w:sz w:val="18"/>
            <w:szCs w:val="18"/>
          </w:rPr>
          <w:t xml:space="preserve">Propane sultone </w:t>
        </w:r>
        <w:r w:rsidR="008A36CF">
          <w:rPr>
            <w:b/>
            <w:sz w:val="18"/>
            <w:szCs w:val="18"/>
          </w:rPr>
          <w:t>(</w:t>
        </w:r>
        <w:r w:rsidRPr="00690F85">
          <w:rPr>
            <w:b/>
            <w:sz w:val="18"/>
            <w:szCs w:val="18"/>
          </w:rPr>
          <w:t>1120-71-4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91325D" w:rsidRPr="00F43AD5">
          <w:rPr>
            <w:sz w:val="18"/>
            <w:szCs w:val="18"/>
          </w:rPr>
          <w:t>20</w:t>
        </w:r>
        <w:r w:rsidR="0091325D">
          <w:rPr>
            <w:sz w:val="18"/>
            <w:szCs w:val="18"/>
          </w:rPr>
          <w:t>20</w:t>
        </w:r>
      </w:p>
      <w:p w14:paraId="55337559" w14:textId="3911E3F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6369F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B9DC7" w14:textId="77777777" w:rsidR="0096369F" w:rsidRDefault="00963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4F97F" w14:textId="77777777" w:rsidR="007774C1" w:rsidRDefault="007774C1" w:rsidP="00F43AD5">
      <w:pPr>
        <w:spacing w:after="0" w:line="240" w:lineRule="auto"/>
      </w:pPr>
      <w:r>
        <w:separator/>
      </w:r>
    </w:p>
  </w:footnote>
  <w:footnote w:type="continuationSeparator" w:id="0">
    <w:p w14:paraId="22A752C4" w14:textId="77777777" w:rsidR="007774C1" w:rsidRDefault="007774C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D503" w14:textId="77777777" w:rsidR="0096369F" w:rsidRDefault="00963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A569" w14:textId="42AA9782" w:rsidR="0096369F" w:rsidRDefault="0096369F" w:rsidP="0096369F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7F551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E969D54" wp14:editId="2BA060B4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C9DC2" w14:textId="77777777" w:rsidR="0096369F" w:rsidRDefault="0096369F" w:rsidP="0096369F">
    <w:pPr>
      <w:pStyle w:val="Header"/>
      <w:jc w:val="right"/>
    </w:pPr>
  </w:p>
  <w:p w14:paraId="79DEF5AA" w14:textId="1AD52E12" w:rsidR="008A36CF" w:rsidRPr="0096369F" w:rsidRDefault="008A36CF" w:rsidP="00963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C0F0" w14:textId="77777777" w:rsidR="0096369F" w:rsidRDefault="009636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5114D" w14:textId="7FA593BF" w:rsidR="0096369F" w:rsidRDefault="0096369F" w:rsidP="0096369F">
    <w:pPr>
      <w:pStyle w:val="Header"/>
      <w:jc w:val="right"/>
    </w:pPr>
    <w:sdt>
      <w:sdtPr>
        <w:id w:val="1766108386"/>
        <w:docPartObj>
          <w:docPartGallery w:val="Watermarks"/>
          <w:docPartUnique/>
        </w:docPartObj>
      </w:sdtPr>
      <w:sdtContent>
        <w:r>
          <w:pict w14:anchorId="210156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B665AAD" wp14:editId="1AA67A11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59B15" w14:textId="77777777" w:rsidR="0096369F" w:rsidRDefault="0096369F" w:rsidP="0096369F">
    <w:pPr>
      <w:pStyle w:val="Header"/>
      <w:jc w:val="right"/>
    </w:pPr>
  </w:p>
  <w:p w14:paraId="2A395E28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F2AA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97DD0"/>
    <w:multiLevelType w:val="hybridMultilevel"/>
    <w:tmpl w:val="E4E4B5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35F9E"/>
    <w:multiLevelType w:val="hybridMultilevel"/>
    <w:tmpl w:val="1CD47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A2466"/>
    <w:multiLevelType w:val="hybridMultilevel"/>
    <w:tmpl w:val="449EF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7965B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20A81"/>
    <w:multiLevelType w:val="hybridMultilevel"/>
    <w:tmpl w:val="655AB7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E92E0D"/>
    <w:multiLevelType w:val="hybridMultilevel"/>
    <w:tmpl w:val="CC0C6D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5ED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2AE3"/>
    <w:rsid w:val="00140E6A"/>
    <w:rsid w:val="00146545"/>
    <w:rsid w:val="00146B75"/>
    <w:rsid w:val="0015266D"/>
    <w:rsid w:val="0015288A"/>
    <w:rsid w:val="00160F47"/>
    <w:rsid w:val="00177CA1"/>
    <w:rsid w:val="00183039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4F97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4992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149"/>
    <w:rsid w:val="00445E44"/>
    <w:rsid w:val="004509E2"/>
    <w:rsid w:val="004515EE"/>
    <w:rsid w:val="004529F0"/>
    <w:rsid w:val="00456359"/>
    <w:rsid w:val="00460384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104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2334"/>
    <w:rsid w:val="00617C96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0F85"/>
    <w:rsid w:val="00695B72"/>
    <w:rsid w:val="006B160A"/>
    <w:rsid w:val="006B4E6C"/>
    <w:rsid w:val="006B50B6"/>
    <w:rsid w:val="006C49AC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774C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87F6C"/>
    <w:rsid w:val="008915C8"/>
    <w:rsid w:val="008A36CF"/>
    <w:rsid w:val="008A3BC4"/>
    <w:rsid w:val="008B403C"/>
    <w:rsid w:val="008B7983"/>
    <w:rsid w:val="008C2511"/>
    <w:rsid w:val="008C26E8"/>
    <w:rsid w:val="008D026D"/>
    <w:rsid w:val="008D23AB"/>
    <w:rsid w:val="008D4B8B"/>
    <w:rsid w:val="008D5A78"/>
    <w:rsid w:val="008E7B64"/>
    <w:rsid w:val="008F5DCD"/>
    <w:rsid w:val="00900951"/>
    <w:rsid w:val="009078E5"/>
    <w:rsid w:val="009118A6"/>
    <w:rsid w:val="0091325D"/>
    <w:rsid w:val="00916909"/>
    <w:rsid w:val="00916EC0"/>
    <w:rsid w:val="00917BA9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369F"/>
    <w:rsid w:val="00964801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386E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4AA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27E7"/>
    <w:rsid w:val="00A53681"/>
    <w:rsid w:val="00A633D4"/>
    <w:rsid w:val="00A6461A"/>
    <w:rsid w:val="00A64A98"/>
    <w:rsid w:val="00A831FC"/>
    <w:rsid w:val="00A84504"/>
    <w:rsid w:val="00A84583"/>
    <w:rsid w:val="00A8672F"/>
    <w:rsid w:val="00A93057"/>
    <w:rsid w:val="00A968B0"/>
    <w:rsid w:val="00A97F84"/>
    <w:rsid w:val="00AB2672"/>
    <w:rsid w:val="00AB2817"/>
    <w:rsid w:val="00AB43C4"/>
    <w:rsid w:val="00AB7A9A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042F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36A99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53B1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3DB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3388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3AD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3812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0B3"/>
    <w:rsid w:val="00FD3110"/>
    <w:rsid w:val="00FD46E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214F9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9931274C03848058E6AE993FCBF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1E08-CAF9-4B6B-9C6E-B4701EF89A5D}"/>
      </w:docPartPr>
      <w:docPartBody>
        <w:p w:rsidR="001F717A" w:rsidRDefault="007F403E" w:rsidP="007F403E">
          <w:pPr>
            <w:pStyle w:val="19931274C03848058E6AE993FCBF437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E59D5C8F80B5410C848BCC8FA2DC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11D0-4F32-4BE2-B726-8CF820CFEF25}"/>
      </w:docPartPr>
      <w:docPartBody>
        <w:p w:rsidR="000A404F" w:rsidRDefault="00655952" w:rsidP="00655952">
          <w:pPr>
            <w:pStyle w:val="E59D5C8F80B5410C848BCC8FA2DCB0E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A404F"/>
    <w:rsid w:val="001F717A"/>
    <w:rsid w:val="00580C40"/>
    <w:rsid w:val="00655952"/>
    <w:rsid w:val="00702F0E"/>
    <w:rsid w:val="007F403E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95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5337B87F6054C3FBEBF7CE506A60AF3">
    <w:name w:val="E5337B87F6054C3FBEBF7CE506A60AF3"/>
    <w:rsid w:val="00702F0E"/>
  </w:style>
  <w:style w:type="paragraph" w:customStyle="1" w:styleId="8159BA2976434F7B8CE2275B39820BFA">
    <w:name w:val="8159BA2976434F7B8CE2275B39820BFA"/>
    <w:rsid w:val="00702F0E"/>
  </w:style>
  <w:style w:type="paragraph" w:customStyle="1" w:styleId="CE71873CB7C94F6FBD15BFACE8B4782C">
    <w:name w:val="CE71873CB7C94F6FBD15BFACE8B4782C"/>
    <w:rsid w:val="00702F0E"/>
  </w:style>
  <w:style w:type="paragraph" w:customStyle="1" w:styleId="23AF7703186F44B380370989F6D5BDDB">
    <w:name w:val="23AF7703186F44B380370989F6D5BDDB"/>
    <w:rsid w:val="00702F0E"/>
  </w:style>
  <w:style w:type="paragraph" w:customStyle="1" w:styleId="43128FEE9C6E4062A7F93FCF05075951">
    <w:name w:val="43128FEE9C6E4062A7F93FCF05075951"/>
    <w:rsid w:val="00702F0E"/>
  </w:style>
  <w:style w:type="paragraph" w:customStyle="1" w:styleId="FBEEA7FC94684C7C8D77D04A90C84EBE">
    <w:name w:val="FBEEA7FC94684C7C8D77D04A90C84EBE"/>
    <w:rsid w:val="00702F0E"/>
  </w:style>
  <w:style w:type="paragraph" w:customStyle="1" w:styleId="AB118053C65043E58DCE10A1F52C780E">
    <w:name w:val="AB118053C65043E58DCE10A1F52C780E"/>
    <w:rsid w:val="00702F0E"/>
  </w:style>
  <w:style w:type="paragraph" w:customStyle="1" w:styleId="5594B24A09B143DA9FD6B497EEFCD36E">
    <w:name w:val="5594B24A09B143DA9FD6B497EEFCD36E"/>
    <w:rsid w:val="00702F0E"/>
  </w:style>
  <w:style w:type="paragraph" w:customStyle="1" w:styleId="F195EDCB158F4A38958758A862D52013">
    <w:name w:val="F195EDCB158F4A38958758A862D52013"/>
    <w:rsid w:val="00702F0E"/>
  </w:style>
  <w:style w:type="paragraph" w:customStyle="1" w:styleId="B41E094D955D4F278EB54701B12C9608">
    <w:name w:val="B41E094D955D4F278EB54701B12C9608"/>
    <w:rsid w:val="00702F0E"/>
  </w:style>
  <w:style w:type="paragraph" w:customStyle="1" w:styleId="2D8059A9C809464A971088C03279C0DF">
    <w:name w:val="2D8059A9C809464A971088C03279C0DF"/>
    <w:rsid w:val="00702F0E"/>
  </w:style>
  <w:style w:type="paragraph" w:customStyle="1" w:styleId="C9882AAA79C8424195ADAF2D21CC6B0F">
    <w:name w:val="C9882AAA79C8424195ADAF2D21CC6B0F"/>
    <w:rsid w:val="00702F0E"/>
  </w:style>
  <w:style w:type="paragraph" w:customStyle="1" w:styleId="19931274C03848058E6AE993FCBF437C">
    <w:name w:val="19931274C03848058E6AE993FCBF437C"/>
    <w:rsid w:val="007F403E"/>
  </w:style>
  <w:style w:type="paragraph" w:customStyle="1" w:styleId="E59D5C8F80B5410C848BCC8FA2DCB0EE">
    <w:name w:val="E59D5C8F80B5410C848BCC8FA2DCB0EE"/>
    <w:rsid w:val="00655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7B47-5B4B-44C3-B8FA-60BFEF61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B7E53D-DCD7-4898-B033-7EF933C9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7D8565B4.dotm</Template>
  <TotalTime>304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2019-10-01T01:25:00Z</dcterms:created>
  <dcterms:modified xsi:type="dcterms:W3CDTF">2020-02-27T21:22:00Z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