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6114944" w:displacedByCustomXml="next"/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4ED69E74" w14:textId="220D03D7" w:rsidR="00BD499F" w:rsidRPr="004C23F4" w:rsidRDefault="00757278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1-B</w:t>
          </w:r>
          <w:r w:rsidR="009B488B">
            <w:rPr>
              <w:rFonts w:ascii="Arial" w:hAnsi="Arial" w:cs="Arial"/>
            </w:rPr>
            <w:t>romopropane</w:t>
          </w:r>
        </w:p>
      </w:sdtContent>
    </w:sdt>
    <w:bookmarkEnd w:id="0" w:displacedByCustomXml="prev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3"/>
        <w:gridCol w:w="5043"/>
      </w:tblGrid>
      <w:tr w:rsidR="00F43AD5" w:rsidRPr="004C23F4" w14:paraId="391902FA" w14:textId="77777777" w:rsidTr="00064A7F">
        <w:trPr>
          <w:cantSplit/>
          <w:tblHeader/>
        </w:trPr>
        <w:tc>
          <w:tcPr>
            <w:tcW w:w="3983" w:type="dxa"/>
          </w:tcPr>
          <w:p w14:paraId="1A899E89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43" w:type="dxa"/>
          </w:tcPr>
          <w:p w14:paraId="2C93B1CE" w14:textId="77777777" w:rsidR="00F43AD5" w:rsidRPr="00717D45" w:rsidRDefault="009B488B" w:rsidP="00B76A41">
            <w:pPr>
              <w:pStyle w:val="Tablefont"/>
            </w:pPr>
            <w:r>
              <w:t>106-94-5</w:t>
            </w:r>
          </w:p>
        </w:tc>
      </w:tr>
      <w:tr w:rsidR="00F43AD5" w:rsidRPr="004C23F4" w14:paraId="52F538AE" w14:textId="77777777" w:rsidTr="00064A7F">
        <w:trPr>
          <w:cantSplit/>
        </w:trPr>
        <w:tc>
          <w:tcPr>
            <w:tcW w:w="3983" w:type="dxa"/>
          </w:tcPr>
          <w:p w14:paraId="0F94142E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43" w:type="dxa"/>
          </w:tcPr>
          <w:p w14:paraId="3ED6D6A4" w14:textId="57C9B6D6" w:rsidR="00F43AD5" w:rsidRPr="00717D45" w:rsidRDefault="009B488B" w:rsidP="00B76A41">
            <w:pPr>
              <w:pStyle w:val="Tablefont"/>
            </w:pPr>
            <w:r>
              <w:t>n-</w:t>
            </w:r>
            <w:proofErr w:type="spellStart"/>
            <w:r>
              <w:t>Propylbromide</w:t>
            </w:r>
            <w:proofErr w:type="spellEnd"/>
            <w:r>
              <w:t>,</w:t>
            </w:r>
            <w:r w:rsidR="00C3588A">
              <w:t xml:space="preserve"> </w:t>
            </w:r>
            <w:proofErr w:type="spellStart"/>
            <w:r w:rsidR="00C3588A">
              <w:t>p</w:t>
            </w:r>
            <w:r w:rsidRPr="009B488B">
              <w:t>ropylbromide</w:t>
            </w:r>
            <w:proofErr w:type="spellEnd"/>
          </w:p>
        </w:tc>
      </w:tr>
      <w:tr w:rsidR="00F43AD5" w:rsidRPr="004C23F4" w14:paraId="13D72095" w14:textId="77777777" w:rsidTr="00064A7F">
        <w:trPr>
          <w:cantSplit/>
        </w:trPr>
        <w:tc>
          <w:tcPr>
            <w:tcW w:w="3983" w:type="dxa"/>
          </w:tcPr>
          <w:p w14:paraId="248C42A7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43" w:type="dxa"/>
          </w:tcPr>
          <w:p w14:paraId="33E5D989" w14:textId="77777777" w:rsidR="00F43AD5" w:rsidRPr="00717D45" w:rsidRDefault="008F6C9F" w:rsidP="00B76A41">
            <w:pPr>
              <w:pStyle w:val="Tablefont"/>
            </w:pPr>
            <w:r>
              <w:t>C</w:t>
            </w:r>
            <w:r w:rsidRPr="008F6C9F">
              <w:rPr>
                <w:vertAlign w:val="subscript"/>
              </w:rPr>
              <w:t>3</w:t>
            </w:r>
            <w:r>
              <w:t>H</w:t>
            </w:r>
            <w:r w:rsidRPr="008F6C9F">
              <w:rPr>
                <w:vertAlign w:val="subscript"/>
              </w:rPr>
              <w:t>7</w:t>
            </w:r>
            <w:r>
              <w:t>Br</w:t>
            </w:r>
          </w:p>
        </w:tc>
      </w:tr>
    </w:tbl>
    <w:p w14:paraId="0EC951BA" w14:textId="3030A5BF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F034A8">
            <w:rPr>
              <w:rStyle w:val="WESstatus"/>
            </w:rPr>
            <w:t>(new)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2C7AFE" w:rsidRPr="004C23F4" w14:paraId="0109D538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5C50FCAC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14:paraId="29FA43DA" w14:textId="76BABE1C" w:rsidR="002C7AFE" w:rsidRPr="00F034A8" w:rsidRDefault="00F034A8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0.1 ppm (0.5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2C7AFE" w:rsidRPr="004C23F4" w14:paraId="2A9018DD" w14:textId="77777777" w:rsidTr="00921DE7">
        <w:trPr>
          <w:cantSplit/>
        </w:trPr>
        <w:tc>
          <w:tcPr>
            <w:tcW w:w="4077" w:type="dxa"/>
            <w:vAlign w:val="center"/>
          </w:tcPr>
          <w:p w14:paraId="714582B5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14:paraId="12B450E5" w14:textId="77777777" w:rsidR="002C7AFE" w:rsidRPr="00EB3D1B" w:rsidRDefault="00BA01CF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00C5C660" w14:textId="77777777" w:rsidTr="00921DE7">
        <w:trPr>
          <w:cantSplit/>
        </w:trPr>
        <w:tc>
          <w:tcPr>
            <w:tcW w:w="4077" w:type="dxa"/>
            <w:vAlign w:val="center"/>
          </w:tcPr>
          <w:p w14:paraId="7516AE8C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14:paraId="02333004" w14:textId="77777777" w:rsidR="002C7AFE" w:rsidRPr="00EB3D1B" w:rsidRDefault="00BA01CF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58CF949F" w14:textId="77777777" w:rsidTr="00A2073D">
        <w:trPr>
          <w:cantSplit/>
        </w:trPr>
        <w:tc>
          <w:tcPr>
            <w:tcW w:w="4077" w:type="dxa"/>
          </w:tcPr>
          <w:p w14:paraId="3E57F7D7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14:paraId="4FCBCEF6" w14:textId="0E979F79" w:rsidR="002C7AFE" w:rsidRPr="00EB3D1B" w:rsidRDefault="00C3588A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Carc</w:t>
            </w:r>
            <w:r w:rsidR="00F034A8">
              <w:rPr>
                <w:b/>
              </w:rPr>
              <w:t>. 2</w:t>
            </w:r>
          </w:p>
        </w:tc>
      </w:tr>
      <w:tr w:rsidR="002C7AFE" w:rsidRPr="004C23F4" w14:paraId="5DBE69B5" w14:textId="77777777" w:rsidTr="00921DE7">
        <w:trPr>
          <w:cantSplit/>
        </w:trPr>
        <w:tc>
          <w:tcPr>
            <w:tcW w:w="4077" w:type="dxa"/>
            <w:vAlign w:val="center"/>
          </w:tcPr>
          <w:p w14:paraId="2E858F20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165" w:type="dxa"/>
          </w:tcPr>
          <w:p w14:paraId="54D07FA9" w14:textId="77777777" w:rsidR="002C7AFE" w:rsidRPr="00EB3D1B" w:rsidRDefault="00BA01CF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9F04D2" w:rsidRPr="004C23F4" w14:paraId="2C6231CA" w14:textId="77777777" w:rsidTr="00921DE7">
        <w:trPr>
          <w:cantSplit/>
        </w:trPr>
        <w:tc>
          <w:tcPr>
            <w:tcW w:w="4077" w:type="dxa"/>
            <w:vAlign w:val="center"/>
          </w:tcPr>
          <w:p w14:paraId="6CEA337F" w14:textId="77777777" w:rsidR="009F04D2" w:rsidRDefault="009F04D2" w:rsidP="002D064B">
            <w:pPr>
              <w:pStyle w:val="Tablerowright"/>
              <w:jc w:val="left"/>
            </w:pPr>
            <w:r>
              <w:t>Sampling and analysis:</w:t>
            </w:r>
          </w:p>
        </w:tc>
        <w:tc>
          <w:tcPr>
            <w:tcW w:w="5165" w:type="dxa"/>
          </w:tcPr>
          <w:p w14:paraId="6FC67ACE" w14:textId="622966D2" w:rsidR="009F04D2" w:rsidRPr="00064A7F" w:rsidRDefault="00064A7F" w:rsidP="00017C82">
            <w:pPr>
              <w:pStyle w:val="Tablefont"/>
            </w:pPr>
            <w:r w:rsidRPr="00064A7F">
              <w:t>There is uncertainty regarding quantification of the recommended value with available sampling and/or analysis techniques.</w:t>
            </w:r>
          </w:p>
        </w:tc>
      </w:tr>
    </w:tbl>
    <w:p w14:paraId="4E1CDD16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445A7281" w14:textId="454AE432" w:rsidR="006639B4" w:rsidRPr="00F034A8" w:rsidRDefault="00457A93" w:rsidP="000C139A">
      <w:pPr>
        <w:rPr>
          <w:rFonts w:cs="Arial"/>
        </w:rPr>
      </w:pPr>
      <w:r>
        <w:rPr>
          <w:rFonts w:cs="Arial"/>
        </w:rPr>
        <w:t xml:space="preserve">A </w:t>
      </w:r>
      <w:r w:rsidR="00F034A8">
        <w:rPr>
          <w:rFonts w:cs="Arial"/>
        </w:rPr>
        <w:t>TWA of 0.1 ppm (0.5 mg/m</w:t>
      </w:r>
      <w:r w:rsidR="00F034A8">
        <w:rPr>
          <w:rFonts w:cs="Arial"/>
          <w:vertAlign w:val="superscript"/>
        </w:rPr>
        <w:t>3</w:t>
      </w:r>
      <w:r w:rsidR="00F034A8">
        <w:rPr>
          <w:rFonts w:cs="Arial"/>
        </w:rPr>
        <w:t xml:space="preserve">) </w:t>
      </w:r>
      <w:r w:rsidR="00F034A8">
        <w:t>is recommended to protect for neurotoxic and hepatotoxic effects in exposed workers.</w:t>
      </w:r>
    </w:p>
    <w:p w14:paraId="5CE78CB6" w14:textId="77777777" w:rsidR="00C7155E" w:rsidRPr="004C23F4" w:rsidRDefault="00F10C97" w:rsidP="003365A5">
      <w:pPr>
        <w:pStyle w:val="Heading2"/>
      </w:pPr>
      <w:r>
        <w:t>Discussion and conclusions</w:t>
      </w:r>
    </w:p>
    <w:p w14:paraId="6AD4C869" w14:textId="77777777" w:rsidR="00064A7F" w:rsidRDefault="00FE7822" w:rsidP="002243DD">
      <w:pPr>
        <w:rPr>
          <w:rFonts w:cs="Arial"/>
        </w:rPr>
      </w:pPr>
      <w:r>
        <w:rPr>
          <w:rFonts w:cs="Arial"/>
        </w:rPr>
        <w:t>1-Bromopropane</w:t>
      </w:r>
      <w:r w:rsidR="00757278">
        <w:rPr>
          <w:rFonts w:cs="Arial"/>
        </w:rPr>
        <w:t xml:space="preserve"> </w:t>
      </w:r>
      <w:r>
        <w:rPr>
          <w:rFonts w:cs="Arial"/>
        </w:rPr>
        <w:t xml:space="preserve">is used as a solvent to clean metals and electronics. </w:t>
      </w:r>
    </w:p>
    <w:p w14:paraId="505263A8" w14:textId="478595E8" w:rsidR="00142317" w:rsidRDefault="0064642E" w:rsidP="002243DD">
      <w:pPr>
        <w:rPr>
          <w:rFonts w:cs="Arial"/>
        </w:rPr>
      </w:pPr>
      <w:r>
        <w:rPr>
          <w:rFonts w:cs="Arial"/>
        </w:rPr>
        <w:t>The critical effects of 1</w:t>
      </w:r>
      <w:r w:rsidR="00DF5A9F">
        <w:rPr>
          <w:rFonts w:cs="Arial"/>
        </w:rPr>
        <w:noBreakHyphen/>
      </w:r>
      <w:r>
        <w:rPr>
          <w:rFonts w:cs="Arial"/>
        </w:rPr>
        <w:t>bromopropane</w:t>
      </w:r>
      <w:r w:rsidRPr="0064642E">
        <w:rPr>
          <w:rFonts w:cs="Arial"/>
        </w:rPr>
        <w:t xml:space="preserve"> </w:t>
      </w:r>
      <w:r w:rsidR="00F034A8">
        <w:rPr>
          <w:rFonts w:cs="Arial"/>
        </w:rPr>
        <w:t xml:space="preserve">are </w:t>
      </w:r>
      <w:r w:rsidRPr="0064642E">
        <w:rPr>
          <w:rFonts w:cs="Arial"/>
        </w:rPr>
        <w:t>neurotoxic</w:t>
      </w:r>
      <w:r w:rsidR="00F034A8">
        <w:rPr>
          <w:rFonts w:cs="Arial"/>
        </w:rPr>
        <w:t xml:space="preserve">ity and hepatoxicity. </w:t>
      </w:r>
      <w:r w:rsidRPr="0064642E">
        <w:rPr>
          <w:rFonts w:cs="Arial"/>
        </w:rPr>
        <w:t>Long-term studies in mice and rats also re</w:t>
      </w:r>
      <w:r w:rsidR="00BE6019">
        <w:rPr>
          <w:rFonts w:cs="Arial"/>
        </w:rPr>
        <w:t>port</w:t>
      </w:r>
      <w:r w:rsidRPr="0064642E">
        <w:rPr>
          <w:rFonts w:cs="Arial"/>
        </w:rPr>
        <w:t xml:space="preserve"> carcinogenic effect</w:t>
      </w:r>
      <w:r w:rsidR="00DF5A9F">
        <w:rPr>
          <w:rFonts w:cs="Arial"/>
        </w:rPr>
        <w:t>s</w:t>
      </w:r>
      <w:r w:rsidRPr="0064642E">
        <w:rPr>
          <w:rFonts w:cs="Arial"/>
        </w:rPr>
        <w:t>.</w:t>
      </w:r>
      <w:r w:rsidR="00F034A8">
        <w:rPr>
          <w:rFonts w:cs="Arial"/>
        </w:rPr>
        <w:t xml:space="preserve"> </w:t>
      </w:r>
      <w:r w:rsidR="001F2BA9">
        <w:rPr>
          <w:rFonts w:cs="Arial"/>
        </w:rPr>
        <w:t xml:space="preserve">However, the mechanism of carcinogenicity and relevance of these results for humans is unclear. </w:t>
      </w:r>
      <w:r w:rsidR="00F034A8" w:rsidRPr="00F034A8">
        <w:rPr>
          <w:rFonts w:cs="Arial"/>
        </w:rPr>
        <w:t xml:space="preserve">Several case studies </w:t>
      </w:r>
      <w:r w:rsidR="00BE6019">
        <w:rPr>
          <w:rFonts w:cs="Arial"/>
        </w:rPr>
        <w:t>report</w:t>
      </w:r>
      <w:r w:rsidR="00F034A8" w:rsidRPr="00F034A8">
        <w:rPr>
          <w:rFonts w:cs="Arial"/>
        </w:rPr>
        <w:t xml:space="preserve"> </w:t>
      </w:r>
      <w:r w:rsidR="00612926">
        <w:rPr>
          <w:rFonts w:cs="Arial"/>
        </w:rPr>
        <w:t xml:space="preserve">symptoms of </w:t>
      </w:r>
      <w:r w:rsidR="00F034A8" w:rsidRPr="00F034A8">
        <w:rPr>
          <w:rFonts w:cs="Arial"/>
        </w:rPr>
        <w:t>polyneuropathy and neurotoxicity</w:t>
      </w:r>
      <w:r w:rsidR="00612926">
        <w:rPr>
          <w:rFonts w:cs="Arial"/>
        </w:rPr>
        <w:t xml:space="preserve"> </w:t>
      </w:r>
      <w:r w:rsidR="00E25026">
        <w:rPr>
          <w:rFonts w:cs="Arial"/>
        </w:rPr>
        <w:t>in</w:t>
      </w:r>
      <w:r w:rsidR="00E25026" w:rsidRPr="00F034A8">
        <w:rPr>
          <w:rFonts w:cs="Arial"/>
        </w:rPr>
        <w:t xml:space="preserve"> exposed workers</w:t>
      </w:r>
      <w:r w:rsidR="00E25026">
        <w:rPr>
          <w:rFonts w:cs="Arial"/>
        </w:rPr>
        <w:t xml:space="preserve">. </w:t>
      </w:r>
      <w:r w:rsidR="00BE6019">
        <w:rPr>
          <w:rFonts w:cs="Arial"/>
        </w:rPr>
        <w:t>Reported</w:t>
      </w:r>
      <w:r w:rsidR="00E25026">
        <w:rPr>
          <w:rFonts w:cs="Arial"/>
        </w:rPr>
        <w:t xml:space="preserve"> symptoms included</w:t>
      </w:r>
      <w:r w:rsidR="00E25026" w:rsidRPr="00F034A8" w:rsidDel="00612926">
        <w:rPr>
          <w:rFonts w:cs="Arial"/>
        </w:rPr>
        <w:t xml:space="preserve"> </w:t>
      </w:r>
      <w:r w:rsidR="00F034A8" w:rsidRPr="00F034A8">
        <w:rPr>
          <w:rFonts w:cs="Arial"/>
        </w:rPr>
        <w:t>headache, nausea, incontinence and subacute spastic paraparesis with distal sensory loss</w:t>
      </w:r>
      <w:r w:rsidR="00F034A8">
        <w:rPr>
          <w:rFonts w:cs="Arial"/>
        </w:rPr>
        <w:t>.</w:t>
      </w:r>
      <w:r w:rsidR="00AF72C4">
        <w:rPr>
          <w:rFonts w:cs="Arial"/>
        </w:rPr>
        <w:t xml:space="preserve"> </w:t>
      </w:r>
    </w:p>
    <w:p w14:paraId="5B10418F" w14:textId="76EF6605" w:rsidR="0064642E" w:rsidRDefault="00DF5A9F" w:rsidP="002243DD">
      <w:pPr>
        <w:rPr>
          <w:rFonts w:cs="Arial"/>
        </w:rPr>
      </w:pPr>
      <w:r>
        <w:rPr>
          <w:rFonts w:cs="Arial"/>
        </w:rPr>
        <w:t>In a study of female workers, a</w:t>
      </w:r>
      <w:r w:rsidR="00AF72C4">
        <w:rPr>
          <w:rFonts w:cs="Arial"/>
        </w:rPr>
        <w:t xml:space="preserve"> </w:t>
      </w:r>
      <w:r w:rsidR="00AF72C4" w:rsidRPr="00AF72C4">
        <w:rPr>
          <w:rFonts w:cs="Arial"/>
        </w:rPr>
        <w:t xml:space="preserve">LOAEL of 1.28 ppm </w:t>
      </w:r>
      <w:r w:rsidR="00AF72C4">
        <w:rPr>
          <w:rFonts w:cs="Arial"/>
        </w:rPr>
        <w:t xml:space="preserve">was reported </w:t>
      </w:r>
      <w:r w:rsidR="00AF72C4" w:rsidRPr="00AF72C4">
        <w:rPr>
          <w:rFonts w:cs="Arial"/>
        </w:rPr>
        <w:t xml:space="preserve">for loss of vibration sensation in toes and </w:t>
      </w:r>
      <w:r w:rsidR="00BE6019">
        <w:rPr>
          <w:rFonts w:cs="Arial"/>
        </w:rPr>
        <w:t>reduced</w:t>
      </w:r>
      <w:r w:rsidR="00AF72C4" w:rsidRPr="00AF72C4">
        <w:rPr>
          <w:rFonts w:cs="Arial"/>
        </w:rPr>
        <w:t xml:space="preserve"> red blood cell count</w:t>
      </w:r>
      <w:r>
        <w:rPr>
          <w:rFonts w:cs="Arial"/>
        </w:rPr>
        <w:t>.</w:t>
      </w:r>
      <w:r w:rsidR="00AF72C4">
        <w:rPr>
          <w:rFonts w:cs="Arial"/>
        </w:rPr>
        <w:t xml:space="preserve"> </w:t>
      </w:r>
      <w:r w:rsidR="00457A93">
        <w:rPr>
          <w:rFonts w:cs="Arial"/>
        </w:rPr>
        <w:t>A</w:t>
      </w:r>
      <w:r w:rsidR="00457A93" w:rsidRPr="00AF72C4">
        <w:rPr>
          <w:rFonts w:cs="Arial"/>
        </w:rPr>
        <w:t xml:space="preserve"> </w:t>
      </w:r>
      <w:r w:rsidR="00AF72C4" w:rsidRPr="00AF72C4">
        <w:rPr>
          <w:rFonts w:cs="Arial"/>
        </w:rPr>
        <w:t>NOAEL</w:t>
      </w:r>
      <w:r w:rsidR="00AF72C4">
        <w:rPr>
          <w:rFonts w:cs="Arial"/>
        </w:rPr>
        <w:t xml:space="preserve"> was</w:t>
      </w:r>
      <w:r w:rsidR="00AF72C4" w:rsidRPr="00AF72C4">
        <w:rPr>
          <w:rFonts w:cs="Arial"/>
        </w:rPr>
        <w:t xml:space="preserve"> </w:t>
      </w:r>
      <w:r w:rsidR="00457A93">
        <w:rPr>
          <w:rFonts w:cs="Arial"/>
        </w:rPr>
        <w:t xml:space="preserve">not </w:t>
      </w:r>
      <w:r w:rsidR="00AF72C4" w:rsidRPr="00AF72C4">
        <w:rPr>
          <w:rFonts w:cs="Arial"/>
        </w:rPr>
        <w:t>identified</w:t>
      </w:r>
      <w:r w:rsidR="00AF72C4">
        <w:rPr>
          <w:rFonts w:cs="Arial"/>
        </w:rPr>
        <w:t>.</w:t>
      </w:r>
      <w:r w:rsidR="00757278">
        <w:rPr>
          <w:rFonts w:cs="Arial"/>
        </w:rPr>
        <w:t xml:space="preserve"> </w:t>
      </w:r>
      <w:r w:rsidR="00457A93">
        <w:rPr>
          <w:rFonts w:cs="Arial"/>
        </w:rPr>
        <w:t>In a</w:t>
      </w:r>
      <w:r w:rsidR="00AF72C4">
        <w:rPr>
          <w:rFonts w:cs="Arial"/>
        </w:rPr>
        <w:t>nother</w:t>
      </w:r>
      <w:r w:rsidR="00AF72C4" w:rsidRPr="00AF72C4">
        <w:rPr>
          <w:rFonts w:cs="Arial"/>
        </w:rPr>
        <w:t xml:space="preserve"> study</w:t>
      </w:r>
      <w:r w:rsidR="00457A93">
        <w:rPr>
          <w:rFonts w:cs="Arial"/>
        </w:rPr>
        <w:t xml:space="preserve">, </w:t>
      </w:r>
      <w:r w:rsidR="00457A93" w:rsidRPr="00AF72C4">
        <w:rPr>
          <w:rFonts w:cs="Arial"/>
        </w:rPr>
        <w:t>workers exposed to time</w:t>
      </w:r>
      <w:r w:rsidR="00BE6019">
        <w:rPr>
          <w:rFonts w:cs="Arial"/>
        </w:rPr>
        <w:t xml:space="preserve"> </w:t>
      </w:r>
      <w:r w:rsidR="00457A93" w:rsidRPr="00AF72C4">
        <w:rPr>
          <w:rFonts w:cs="Arial"/>
        </w:rPr>
        <w:t>weighted average exposures of 0.34 to 49.19 ppm</w:t>
      </w:r>
      <w:r w:rsidR="00457A93">
        <w:rPr>
          <w:rFonts w:cs="Arial"/>
        </w:rPr>
        <w:t xml:space="preserve"> showed </w:t>
      </w:r>
      <w:r w:rsidR="00AF72C4" w:rsidRPr="00AF72C4">
        <w:rPr>
          <w:rFonts w:cs="Arial"/>
        </w:rPr>
        <w:t>diminished sensation</w:t>
      </w:r>
      <w:r w:rsidR="00E25026">
        <w:rPr>
          <w:rFonts w:cs="Arial"/>
        </w:rPr>
        <w:t xml:space="preserve"> for vibration</w:t>
      </w:r>
      <w:r w:rsidR="00AF72C4" w:rsidRPr="00AF72C4">
        <w:rPr>
          <w:rFonts w:cs="Arial"/>
        </w:rPr>
        <w:t xml:space="preserve"> and lower scores in memory and mode tests</w:t>
      </w:r>
      <w:r w:rsidR="00AF72C4">
        <w:rPr>
          <w:rFonts w:cs="Arial"/>
        </w:rPr>
        <w:t>.</w:t>
      </w:r>
      <w:r w:rsidR="00A340BE">
        <w:rPr>
          <w:rFonts w:cs="Arial"/>
        </w:rPr>
        <w:t xml:space="preserve"> </w:t>
      </w:r>
      <w:r w:rsidR="00BE6019">
        <w:rPr>
          <w:rFonts w:cs="Arial"/>
        </w:rPr>
        <w:t>In rats, a</w:t>
      </w:r>
      <w:r w:rsidR="00A340BE">
        <w:rPr>
          <w:rFonts w:cs="Arial"/>
        </w:rPr>
        <w:t xml:space="preserve"> </w:t>
      </w:r>
      <w:r w:rsidR="00A340BE" w:rsidRPr="00A340BE">
        <w:rPr>
          <w:rFonts w:cs="Arial"/>
        </w:rPr>
        <w:t>NOAEL of 200 ppm for hepatoxicity</w:t>
      </w:r>
      <w:r w:rsidR="00A340BE">
        <w:rPr>
          <w:rFonts w:cs="Arial"/>
        </w:rPr>
        <w:t xml:space="preserve"> was reported in a</w:t>
      </w:r>
      <w:r w:rsidR="00A340BE" w:rsidRPr="00A340BE">
        <w:rPr>
          <w:rFonts w:cs="Arial"/>
        </w:rPr>
        <w:t xml:space="preserve"> 13</w:t>
      </w:r>
      <w:r w:rsidR="00757278">
        <w:rPr>
          <w:rFonts w:cs="Arial"/>
        </w:rPr>
        <w:t xml:space="preserve"> </w:t>
      </w:r>
      <w:r w:rsidR="00A340BE" w:rsidRPr="00A340BE">
        <w:rPr>
          <w:rFonts w:cs="Arial"/>
        </w:rPr>
        <w:t>week inhalation study</w:t>
      </w:r>
      <w:r w:rsidR="002003D4">
        <w:rPr>
          <w:rFonts w:cs="Arial"/>
        </w:rPr>
        <w:t xml:space="preserve"> (ACGIH</w:t>
      </w:r>
      <w:r w:rsidR="00BE6019">
        <w:rPr>
          <w:rFonts w:cs="Arial"/>
        </w:rPr>
        <w:t>,</w:t>
      </w:r>
      <w:r w:rsidR="002003D4">
        <w:rPr>
          <w:rFonts w:cs="Arial"/>
        </w:rPr>
        <w:t xml:space="preserve"> 2018)</w:t>
      </w:r>
      <w:r w:rsidR="00A340BE">
        <w:rPr>
          <w:rFonts w:cs="Arial"/>
        </w:rPr>
        <w:t>.</w:t>
      </w:r>
    </w:p>
    <w:p w14:paraId="250344B0" w14:textId="429D73EE" w:rsidR="0064642E" w:rsidRPr="004C23F4" w:rsidRDefault="006314B6" w:rsidP="006639B4">
      <w:pPr>
        <w:rPr>
          <w:rFonts w:cs="Arial"/>
        </w:rPr>
      </w:pPr>
      <w:r>
        <w:rPr>
          <w:rFonts w:cs="Arial"/>
        </w:rPr>
        <w:t>A</w:t>
      </w:r>
      <w:r w:rsidR="004975DC">
        <w:rPr>
          <w:rFonts w:cs="Arial"/>
        </w:rPr>
        <w:t xml:space="preserve"> TWA of 0.1 ppm is recommended </w:t>
      </w:r>
      <w:r w:rsidR="00BE6019">
        <w:rPr>
          <w:rFonts w:cs="Arial"/>
        </w:rPr>
        <w:t>using</w:t>
      </w:r>
      <w:r w:rsidR="004975DC">
        <w:rPr>
          <w:rFonts w:cs="Arial"/>
        </w:rPr>
        <w:t xml:space="preserve"> </w:t>
      </w:r>
      <w:r w:rsidR="00003A70">
        <w:rPr>
          <w:rFonts w:cs="Arial"/>
        </w:rPr>
        <w:t>the LOAEL of 1.28 ppm</w:t>
      </w:r>
      <w:r w:rsidR="007A3236">
        <w:rPr>
          <w:rFonts w:cs="Arial"/>
        </w:rPr>
        <w:t xml:space="preserve"> and applying an uncertainty factor</w:t>
      </w:r>
      <w:r w:rsidR="00003A70">
        <w:rPr>
          <w:rFonts w:cs="Arial"/>
        </w:rPr>
        <w:t xml:space="preserve"> </w:t>
      </w:r>
      <w:r w:rsidR="00BE6019">
        <w:rPr>
          <w:rFonts w:cs="Arial"/>
        </w:rPr>
        <w:t>of 10 to account for the</w:t>
      </w:r>
      <w:r>
        <w:rPr>
          <w:rFonts w:cs="Arial"/>
        </w:rPr>
        <w:t xml:space="preserve"> absence of a NOAEL in humans</w:t>
      </w:r>
      <w:r w:rsidR="00003A70">
        <w:rPr>
          <w:rFonts w:cs="Arial"/>
        </w:rPr>
        <w:t>.</w:t>
      </w:r>
      <w:r w:rsidR="001F2BA9">
        <w:rPr>
          <w:rFonts w:cs="Arial"/>
        </w:rPr>
        <w:t xml:space="preserve"> The recommended TWA is considered to provide an appropriate margin of safety to account for the uncertainty surrounding carcinogenicity effects reported in animal studies.</w:t>
      </w:r>
    </w:p>
    <w:p w14:paraId="49B227B2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52A9B6AC" w14:textId="26AD9AA7" w:rsidR="004529F0" w:rsidRPr="00F034A8" w:rsidRDefault="00F034A8" w:rsidP="004529F0">
      <w:r w:rsidRPr="00F034A8">
        <w:t>Classified</w:t>
      </w:r>
      <w:r w:rsidR="00BA0765" w:rsidRPr="00F034A8">
        <w:t xml:space="preserve"> as a carcinogen </w:t>
      </w:r>
      <w:r w:rsidRPr="00F034A8">
        <w:t>category 2</w:t>
      </w:r>
      <w:r w:rsidR="00876A74">
        <w:t xml:space="preserve"> </w:t>
      </w:r>
      <w:r w:rsidR="00BA0765" w:rsidRPr="00F034A8">
        <w:t>ac</w:t>
      </w:r>
      <w:r w:rsidR="00261172">
        <w:t>cording to the Globally Harmoniz</w:t>
      </w:r>
      <w:r w:rsidR="00BA0765" w:rsidRPr="00F034A8">
        <w:t>ed System of Classification and Labelling on Chemicals (GHS).</w:t>
      </w:r>
    </w:p>
    <w:p w14:paraId="3DC0E251" w14:textId="72198758" w:rsidR="00346F65" w:rsidRPr="00F034A8" w:rsidRDefault="00346F65" w:rsidP="00346F65">
      <w:r w:rsidRPr="00F034A8">
        <w:t xml:space="preserve">Not classified as a skin </w:t>
      </w:r>
      <w:r w:rsidR="004975DC">
        <w:t xml:space="preserve">sensitiser </w:t>
      </w:r>
      <w:r w:rsidRPr="00F034A8">
        <w:t>or respiratory sensitiser according to the GHS</w:t>
      </w:r>
      <w:r w:rsidR="00757278">
        <w:t>.</w:t>
      </w:r>
    </w:p>
    <w:p w14:paraId="4A54624D" w14:textId="5F357E0D" w:rsidR="00DF5A9F" w:rsidRDefault="00F034A8" w:rsidP="00346F65">
      <w:r>
        <w:lastRenderedPageBreak/>
        <w:t xml:space="preserve">A skin notation is not </w:t>
      </w:r>
      <w:r w:rsidR="00064A7F">
        <w:t xml:space="preserve">recommended </w:t>
      </w:r>
      <w:r w:rsidR="00BE6019">
        <w:t>as animal studies report low systemic toxicity after dermal application</w:t>
      </w:r>
      <w:r w:rsidR="00757278">
        <w:t>.</w:t>
      </w:r>
      <w:r w:rsidR="00DF5A9F" w:rsidDel="00DF5A9F">
        <w:t xml:space="preserve"> </w:t>
      </w:r>
    </w:p>
    <w:p w14:paraId="64C04A47" w14:textId="49E9201D" w:rsidR="00BA0765" w:rsidRPr="004C23F4" w:rsidRDefault="00BA0765" w:rsidP="004529F0">
      <w:pPr>
        <w:rPr>
          <w:rFonts w:cs="Arial"/>
        </w:rPr>
      </w:pPr>
    </w:p>
    <w:p w14:paraId="53D1CA9C" w14:textId="12577CCC" w:rsidR="0025734A" w:rsidRPr="004C23F4" w:rsidRDefault="0025734A">
      <w:pPr>
        <w:rPr>
          <w:rFonts w:cs="Arial"/>
        </w:rPr>
      </w:pPr>
    </w:p>
    <w:p w14:paraId="1DD27109" w14:textId="77777777" w:rsidR="00064A7F" w:rsidRDefault="00064A7F">
      <w:pPr>
        <w:spacing w:after="200"/>
        <w:rPr>
          <w:rFonts w:eastAsiaTheme="majorEastAsia" w:cs="Arial"/>
          <w:b/>
          <w:bCs/>
          <w:caps/>
          <w:kern w:val="32"/>
          <w:sz w:val="36"/>
          <w:szCs w:val="40"/>
          <w:lang w:eastAsia="en-AU"/>
        </w:rPr>
      </w:pPr>
      <w:r>
        <w:rPr>
          <w:rFonts w:cs="Arial"/>
        </w:rPr>
        <w:br w:type="page"/>
      </w:r>
    </w:p>
    <w:p w14:paraId="430F191C" w14:textId="38E755C6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t>Appendix</w:t>
      </w:r>
    </w:p>
    <w:p w14:paraId="35432C7A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4F3AF880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6D0E0DF9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7E70EE57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245C27D5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A85716">
                  <w:t>NA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proofErr w:type="spellStart"/>
                <w:r w:rsidR="00A85716">
                  <w:t>NA</w:t>
                </w:r>
                <w:proofErr w:type="spellEnd"/>
              </w:sdtContent>
            </w:sdt>
          </w:p>
        </w:tc>
      </w:tr>
      <w:tr w:rsidR="00C978F0" w:rsidRPr="00DA352E" w14:paraId="0AC229A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D748940" w14:textId="056E4955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76C05614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5C4B77F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9C7092">
                  <w:t>2014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266C6C">
                  <w:t>TLV-TWA: 0.1 ppm (0.5 mg/m</w:t>
                </w:r>
                <w:r w:rsidR="00266C6C" w:rsidRPr="00266C6C">
                  <w:rPr>
                    <w:vertAlign w:val="superscript"/>
                  </w:rPr>
                  <w:t>3</w:t>
                </w:r>
                <w:r w:rsidR="00266C6C">
                  <w:t>)</w:t>
                </w:r>
              </w:sdtContent>
            </w:sdt>
          </w:p>
        </w:tc>
      </w:tr>
      <w:tr w:rsidR="00C978F0" w:rsidRPr="00DA352E" w14:paraId="36BA115F" w14:textId="77777777" w:rsidTr="00064A7F">
        <w:trPr>
          <w:gridAfter w:val="1"/>
          <w:wAfter w:w="8" w:type="pct"/>
        </w:trPr>
        <w:tc>
          <w:tcPr>
            <w:tcW w:w="4992" w:type="pct"/>
          </w:tcPr>
          <w:p w14:paraId="142565D3" w14:textId="2920FF1C" w:rsidR="00670FA2" w:rsidRDefault="00670FA2" w:rsidP="00670FA2">
            <w:pPr>
              <w:pStyle w:val="Tabletextprimarysource"/>
              <w:tabs>
                <w:tab w:val="left" w:pos="1390"/>
              </w:tabs>
            </w:pPr>
            <w:r>
              <w:t>TLV-TWA recommended to protect for the potential for neurotoxicity, hepatotoxicity, and reproductive and development</w:t>
            </w:r>
            <w:r w:rsidR="00692CE1">
              <w:t>al</w:t>
            </w:r>
            <w:r>
              <w:t xml:space="preserve"> toxicity.</w:t>
            </w:r>
            <w:r w:rsidR="00757278">
              <w:t xml:space="preserve"> </w:t>
            </w:r>
          </w:p>
          <w:p w14:paraId="38DCD848" w14:textId="5EB3B1AD" w:rsidR="00670FA2" w:rsidRDefault="00670FA2" w:rsidP="00670FA2">
            <w:pPr>
              <w:pStyle w:val="Tabletextprimarysource"/>
              <w:tabs>
                <w:tab w:val="left" w:pos="1390"/>
              </w:tabs>
            </w:pPr>
            <w:r>
              <w:t>Summary of data:</w:t>
            </w:r>
          </w:p>
          <w:p w14:paraId="54A51D21" w14:textId="77777777" w:rsidR="00670FA2" w:rsidRDefault="00670FA2" w:rsidP="00670FA2">
            <w:pPr>
              <w:pStyle w:val="Tabletextprimarysource"/>
              <w:tabs>
                <w:tab w:val="left" w:pos="1390"/>
              </w:tabs>
            </w:pPr>
            <w:r>
              <w:t>Human data:</w:t>
            </w:r>
          </w:p>
          <w:p w14:paraId="1999617A" w14:textId="524D0A2C" w:rsidR="00C978F0" w:rsidRDefault="009B66B6" w:rsidP="00BE6019">
            <w:pPr>
              <w:pStyle w:val="ListBullet"/>
              <w:spacing w:before="0" w:after="80"/>
              <w:ind w:left="1077" w:hanging="357"/>
              <w:contextualSpacing w:val="0"/>
            </w:pPr>
            <w:r>
              <w:t>Several case studies</w:t>
            </w:r>
            <w:r w:rsidR="000A0B2D">
              <w:t xml:space="preserve"> of exposed workers</w:t>
            </w:r>
            <w:r>
              <w:t xml:space="preserve"> reported polyneuropathy and neurotoxicity</w:t>
            </w:r>
            <w:r w:rsidR="000A0B2D">
              <w:t xml:space="preserve"> symptoms including headache, nausea, incontinence and subacute spastic paraparesis with distal sensory loss</w:t>
            </w:r>
          </w:p>
          <w:p w14:paraId="60AF274D" w14:textId="49517248" w:rsidR="00B3713D" w:rsidRDefault="00CF002C" w:rsidP="00BE6019">
            <w:pPr>
              <w:pStyle w:val="ListBullet"/>
              <w:spacing w:before="0" w:after="80"/>
              <w:ind w:left="1077" w:hanging="357"/>
              <w:contextualSpacing w:val="0"/>
            </w:pPr>
            <w:r>
              <w:t xml:space="preserve">A study </w:t>
            </w:r>
            <w:r w:rsidR="00451486">
              <w:t>of</w:t>
            </w:r>
            <w:r>
              <w:t xml:space="preserve"> w</w:t>
            </w:r>
            <w:r w:rsidR="009D5439">
              <w:t xml:space="preserve">orkers exposed to </w:t>
            </w:r>
            <w:r w:rsidR="00261172">
              <w:t>TWA of 0.34</w:t>
            </w:r>
            <w:r w:rsidR="007E6DAD">
              <w:t>–</w:t>
            </w:r>
            <w:r w:rsidR="00BF4393">
              <w:softHyphen/>
            </w:r>
            <w:r w:rsidR="009D5439">
              <w:t>49</w:t>
            </w:r>
            <w:r>
              <w:t>.</w:t>
            </w:r>
            <w:r w:rsidR="009D5439">
              <w:t>19</w:t>
            </w:r>
            <w:r>
              <w:t xml:space="preserve"> ppm reported diminished vibration sensation and lower s</w:t>
            </w:r>
            <w:r w:rsidR="00B3713D">
              <w:t>cores in memory and mode tests</w:t>
            </w:r>
          </w:p>
          <w:p w14:paraId="1D2CFC8F" w14:textId="77777777" w:rsidR="00B3713D" w:rsidRDefault="00CF002C" w:rsidP="00B3713D">
            <w:pPr>
              <w:pStyle w:val="ListBullet"/>
              <w:numPr>
                <w:ilvl w:val="0"/>
                <w:numId w:val="5"/>
              </w:numPr>
              <w:spacing w:before="0" w:after="80"/>
              <w:ind w:left="1440"/>
              <w:contextualSpacing w:val="0"/>
            </w:pPr>
            <w:r>
              <w:t>concluded that exposure could adversely affect peripheral sensory and motor nerves</w:t>
            </w:r>
            <w:r w:rsidR="00BF4393">
              <w:t>,</w:t>
            </w:r>
            <w:r>
              <w:t xml:space="preserve"> and </w:t>
            </w:r>
            <w:r w:rsidR="00261172">
              <w:t>CNS</w:t>
            </w:r>
            <w:r w:rsidR="00B3713D">
              <w:t xml:space="preserve"> in humans</w:t>
            </w:r>
          </w:p>
          <w:p w14:paraId="0D02AAD8" w14:textId="376AF45A" w:rsidR="000A0B2D" w:rsidRDefault="00CF002C" w:rsidP="00B3713D">
            <w:pPr>
              <w:pStyle w:val="ListBullet"/>
              <w:numPr>
                <w:ilvl w:val="0"/>
                <w:numId w:val="5"/>
              </w:numPr>
              <w:spacing w:before="0" w:after="80"/>
              <w:ind w:left="1440"/>
              <w:contextualSpacing w:val="0"/>
            </w:pPr>
            <w:r>
              <w:t>no exposure duration of frequency provided</w:t>
            </w:r>
          </w:p>
          <w:p w14:paraId="18571949" w14:textId="77777777" w:rsidR="00B3713D" w:rsidRDefault="00B0302E" w:rsidP="00111AAC">
            <w:pPr>
              <w:pStyle w:val="ListBullet"/>
              <w:spacing w:before="0" w:after="80"/>
              <w:ind w:left="1077" w:hanging="357"/>
              <w:contextualSpacing w:val="0"/>
            </w:pPr>
            <w:r>
              <w:t>Dose-dependent neurological and h</w:t>
            </w:r>
            <w:r w:rsidR="00261172">
              <w:t>a</w:t>
            </w:r>
            <w:r>
              <w:t>ematologic effects demonstrated i</w:t>
            </w:r>
            <w:r w:rsidR="00B3713D">
              <w:t>n a study of 60 female workers</w:t>
            </w:r>
          </w:p>
          <w:p w14:paraId="430643A1" w14:textId="77777777" w:rsidR="00B3713D" w:rsidRDefault="00B0302E" w:rsidP="00B3713D">
            <w:pPr>
              <w:pStyle w:val="ListBullet"/>
              <w:numPr>
                <w:ilvl w:val="0"/>
                <w:numId w:val="5"/>
              </w:numPr>
              <w:spacing w:before="0" w:after="80"/>
              <w:ind w:left="1440"/>
              <w:contextualSpacing w:val="0"/>
            </w:pPr>
            <w:r>
              <w:t>LOAEL of 1.28 ppm for loss of vibration sensation in toes a</w:t>
            </w:r>
            <w:r w:rsidR="00B3713D">
              <w:t>nd lowered red blood cell count</w:t>
            </w:r>
            <w:r>
              <w:t xml:space="preserve"> </w:t>
            </w:r>
          </w:p>
          <w:p w14:paraId="6D0B82A1" w14:textId="549A065A" w:rsidR="00C41C62" w:rsidRDefault="00B0302E" w:rsidP="00B3713D">
            <w:pPr>
              <w:pStyle w:val="ListBullet"/>
              <w:numPr>
                <w:ilvl w:val="0"/>
                <w:numId w:val="5"/>
              </w:numPr>
              <w:spacing w:before="0" w:after="80"/>
              <w:ind w:left="1440"/>
              <w:contextualSpacing w:val="0"/>
            </w:pPr>
            <w:r>
              <w:t>NOAEL</w:t>
            </w:r>
            <w:r w:rsidR="00BF4393">
              <w:t xml:space="preserve"> not</w:t>
            </w:r>
            <w:r>
              <w:t xml:space="preserve"> identified</w:t>
            </w:r>
            <w:r w:rsidR="00757278">
              <w:t>.</w:t>
            </w:r>
          </w:p>
          <w:p w14:paraId="49BD56C4" w14:textId="4E669686" w:rsidR="00C41C62" w:rsidRDefault="00C41C62" w:rsidP="00111AAC">
            <w:pPr>
              <w:pStyle w:val="ListBullet"/>
              <w:spacing w:before="0" w:after="80"/>
              <w:ind w:left="1077" w:hanging="357"/>
              <w:contextualSpacing w:val="0"/>
            </w:pPr>
            <w:r w:rsidRPr="00C41C62">
              <w:t>T</w:t>
            </w:r>
            <w:r>
              <w:t>LV-TWA</w:t>
            </w:r>
            <w:r w:rsidRPr="00C41C62">
              <w:t xml:space="preserve"> of 0.1 ppm derived </w:t>
            </w:r>
            <w:r>
              <w:t>u</w:t>
            </w:r>
            <w:r w:rsidRPr="00C41C62">
              <w:t xml:space="preserve">sing LOAEL of 1.28 ppm and applying an uncertainty factor of 10 to account for </w:t>
            </w:r>
            <w:r>
              <w:t>absence of NOAEL in humans.</w:t>
            </w:r>
          </w:p>
          <w:p w14:paraId="16A985BC" w14:textId="77777777" w:rsidR="00B0302E" w:rsidRDefault="00B0302E" w:rsidP="00B0302E">
            <w:pPr>
              <w:pStyle w:val="Tabletextprimarysource"/>
            </w:pPr>
            <w:r>
              <w:t>Animal data:</w:t>
            </w:r>
          </w:p>
          <w:p w14:paraId="4DF936B8" w14:textId="33F28E80" w:rsidR="00B0302E" w:rsidRDefault="007747A5" w:rsidP="00BE6019">
            <w:pPr>
              <w:pStyle w:val="ListBullet"/>
              <w:spacing w:before="0" w:after="80"/>
              <w:ind w:left="1077" w:hanging="357"/>
              <w:contextualSpacing w:val="0"/>
            </w:pPr>
            <w:r>
              <w:t xml:space="preserve">NOAEL </w:t>
            </w:r>
            <w:r w:rsidR="00DA3011">
              <w:t xml:space="preserve">of 200 ppm </w:t>
            </w:r>
            <w:r>
              <w:t>for h</w:t>
            </w:r>
            <w:r w:rsidR="00261172">
              <w:t>epatoxicity (rat, 13</w:t>
            </w:r>
            <w:r w:rsidR="00757278">
              <w:t xml:space="preserve"> </w:t>
            </w:r>
            <w:r w:rsidR="00261172">
              <w:t xml:space="preserve">wk, inhalation) </w:t>
            </w:r>
          </w:p>
          <w:p w14:paraId="3CCA74A3" w14:textId="77777777" w:rsidR="00B3713D" w:rsidRDefault="007747A5" w:rsidP="00BE6019">
            <w:pPr>
              <w:pStyle w:val="ListBullet"/>
              <w:spacing w:before="0" w:after="80"/>
              <w:ind w:left="1077" w:hanging="357"/>
              <w:contextualSpacing w:val="0"/>
            </w:pPr>
            <w:r>
              <w:t>Rats exposed to 125, 250 or 5</w:t>
            </w:r>
            <w:r w:rsidR="00261172">
              <w:t>00 ppm 6 h/d, 5 d/wk for 2 yr</w:t>
            </w:r>
            <w:r w:rsidR="00171D94">
              <w:t xml:space="preserve"> developed</w:t>
            </w:r>
            <w:r w:rsidR="00B3713D">
              <w:t xml:space="preserve"> cancer of the large intestine</w:t>
            </w:r>
          </w:p>
          <w:p w14:paraId="76D1F466" w14:textId="0AC9B5A4" w:rsidR="007747A5" w:rsidRDefault="00B3713D" w:rsidP="00B3713D">
            <w:pPr>
              <w:pStyle w:val="ListBullet"/>
              <w:numPr>
                <w:ilvl w:val="0"/>
                <w:numId w:val="5"/>
              </w:numPr>
              <w:spacing w:before="0" w:after="80"/>
              <w:ind w:left="1440"/>
              <w:contextualSpacing w:val="0"/>
            </w:pPr>
            <w:r>
              <w:t>concluded</w:t>
            </w:r>
            <w:r w:rsidR="00171D94">
              <w:t xml:space="preserve"> some evidence of carcinogenicity in males and clear evidence in females</w:t>
            </w:r>
            <w:r w:rsidR="007747A5">
              <w:t xml:space="preserve"> </w:t>
            </w:r>
          </w:p>
          <w:p w14:paraId="2C1ECC71" w14:textId="77777777" w:rsidR="00B3713D" w:rsidRDefault="00261172" w:rsidP="00BE6019">
            <w:pPr>
              <w:pStyle w:val="ListBullet"/>
              <w:spacing w:before="0" w:after="80"/>
              <w:ind w:left="1077" w:hanging="357"/>
              <w:contextualSpacing w:val="0"/>
            </w:pPr>
            <w:r>
              <w:t>M</w:t>
            </w:r>
            <w:r w:rsidR="00171D94">
              <w:t xml:space="preserve">ice exposed to 62.5, 125, or 250 ppm 6 h/d, 5 d/wk for 2 </w:t>
            </w:r>
            <w:r>
              <w:t>yr,</w:t>
            </w:r>
            <w:r w:rsidR="00171D94">
              <w:t xml:space="preserve"> </w:t>
            </w:r>
            <w:r w:rsidR="00B3713D">
              <w:t>reported females with lung tumours</w:t>
            </w:r>
          </w:p>
          <w:p w14:paraId="69AE72C0" w14:textId="2B7A3309" w:rsidR="00171D94" w:rsidRDefault="00B3713D" w:rsidP="00B3713D">
            <w:pPr>
              <w:pStyle w:val="ListBullet"/>
              <w:numPr>
                <w:ilvl w:val="0"/>
                <w:numId w:val="5"/>
              </w:numPr>
              <w:spacing w:before="0" w:after="80"/>
              <w:ind w:left="1440"/>
              <w:contextualSpacing w:val="0"/>
            </w:pPr>
            <w:r>
              <w:t>concluded</w:t>
            </w:r>
            <w:r w:rsidR="00171D94">
              <w:t xml:space="preserve"> clear evidence of carcinogenicity</w:t>
            </w:r>
            <w:r>
              <w:t xml:space="preserve"> in females</w:t>
            </w:r>
            <w:r w:rsidR="00171D94">
              <w:t>, but none in males</w:t>
            </w:r>
          </w:p>
          <w:p w14:paraId="33B716DC" w14:textId="77777777" w:rsidR="00B3713D" w:rsidRDefault="001704A3" w:rsidP="00BE6019">
            <w:pPr>
              <w:pStyle w:val="ListBullet"/>
              <w:spacing w:before="0" w:after="80"/>
              <w:ind w:left="1077" w:hanging="357"/>
              <w:contextualSpacing w:val="0"/>
            </w:pPr>
            <w:r>
              <w:t>LC</w:t>
            </w:r>
            <w:r>
              <w:rPr>
                <w:vertAlign w:val="subscript"/>
              </w:rPr>
              <w:t>50</w:t>
            </w:r>
            <w:r w:rsidR="00261172">
              <w:t>:</w:t>
            </w:r>
            <w:r>
              <w:rPr>
                <w:vertAlign w:val="superscript"/>
              </w:rPr>
              <w:t xml:space="preserve"> </w:t>
            </w:r>
            <w:r w:rsidR="00261172">
              <w:t>7,000 ppm</w:t>
            </w:r>
            <w:r>
              <w:t xml:space="preserve"> </w:t>
            </w:r>
            <w:r w:rsidR="00261172">
              <w:t>(</w:t>
            </w:r>
            <w:r>
              <w:t>rats</w:t>
            </w:r>
            <w:r w:rsidR="00261172">
              <w:t>, 4 h)</w:t>
            </w:r>
          </w:p>
          <w:p w14:paraId="4DD16C29" w14:textId="68522DE2" w:rsidR="001704A3" w:rsidRDefault="001704A3" w:rsidP="00B3713D">
            <w:pPr>
              <w:pStyle w:val="ListBullet"/>
              <w:numPr>
                <w:ilvl w:val="0"/>
                <w:numId w:val="5"/>
              </w:numPr>
              <w:spacing w:before="0" w:after="80"/>
              <w:ind w:left="1440"/>
              <w:contextualSpacing w:val="0"/>
            </w:pPr>
            <w:r>
              <w:t>mortality due to respiratory inflammation and pulmonary oedema</w:t>
            </w:r>
          </w:p>
          <w:p w14:paraId="2913557D" w14:textId="1CE2581D" w:rsidR="00171D94" w:rsidRDefault="00171D94" w:rsidP="00BE6019">
            <w:pPr>
              <w:pStyle w:val="ListBullet"/>
              <w:spacing w:before="0" w:after="80"/>
              <w:ind w:left="1077" w:hanging="357"/>
              <w:contextualSpacing w:val="0"/>
            </w:pPr>
            <w:r>
              <w:t>LD</w:t>
            </w:r>
            <w:r>
              <w:rPr>
                <w:vertAlign w:val="subscript"/>
              </w:rPr>
              <w:t>50</w:t>
            </w:r>
            <w:r w:rsidR="00261172">
              <w:t>: &gt;2,000 mg/kg (rats, dermal)</w:t>
            </w:r>
            <w:r w:rsidR="00757278">
              <w:t>.</w:t>
            </w:r>
          </w:p>
          <w:p w14:paraId="3ADC90AE" w14:textId="77777777" w:rsidR="00B3713D" w:rsidRDefault="00B3713D" w:rsidP="00B13903">
            <w:pPr>
              <w:pStyle w:val="Tabletextprimarysource"/>
            </w:pPr>
          </w:p>
          <w:p w14:paraId="6055D58C" w14:textId="252C9854" w:rsidR="00B13903" w:rsidRDefault="00B13903" w:rsidP="00B13903">
            <w:pPr>
              <w:pStyle w:val="Tabletextprimarysource"/>
            </w:pPr>
            <w:r>
              <w:t>No basis for sensitisation notation</w:t>
            </w:r>
            <w:r w:rsidR="00757278">
              <w:t>.</w:t>
            </w:r>
          </w:p>
          <w:p w14:paraId="72C4ACCE" w14:textId="77777777" w:rsidR="00B13903" w:rsidRDefault="00B13903" w:rsidP="00B13903">
            <w:pPr>
              <w:pStyle w:val="Tabletextprimarysource"/>
            </w:pPr>
            <w:r>
              <w:t>No data to support a STEL.</w:t>
            </w:r>
          </w:p>
          <w:p w14:paraId="4BB34064" w14:textId="68612B3D" w:rsidR="00DA3011" w:rsidRPr="00DA352E" w:rsidRDefault="00DA3011" w:rsidP="00B13903">
            <w:pPr>
              <w:pStyle w:val="Tabletextprimarysource"/>
            </w:pPr>
          </w:p>
        </w:tc>
      </w:tr>
      <w:tr w:rsidR="00C978F0" w:rsidRPr="00DA352E" w14:paraId="7FC83AA1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B394993" w14:textId="31058565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7A40A7">
                  <w:t>2011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906776">
                  <w:t>Not assigned</w:t>
                </w:r>
              </w:sdtContent>
            </w:sdt>
          </w:p>
        </w:tc>
      </w:tr>
      <w:tr w:rsidR="00C978F0" w:rsidRPr="00DA352E" w14:paraId="67D5DD2F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A702344" w14:textId="4AB8B18E" w:rsidR="00C978F0" w:rsidRDefault="0064642E" w:rsidP="003365A5">
            <w:pPr>
              <w:pStyle w:val="Tabletextprimarysource"/>
            </w:pPr>
            <w:r>
              <w:t>No MAK assigned</w:t>
            </w:r>
            <w:r w:rsidR="0046278A">
              <w:t xml:space="preserve"> due to </w:t>
            </w:r>
            <w:r w:rsidR="001F2BA9">
              <w:t xml:space="preserve">unexplained </w:t>
            </w:r>
            <w:r w:rsidR="00FA6CF6">
              <w:t>carcinogenic effect</w:t>
            </w:r>
            <w:r w:rsidR="001F2BA9">
              <w:t xml:space="preserve"> seen in animal studies and its relevance to humans</w:t>
            </w:r>
            <w:r w:rsidR="00757278">
              <w:t>.</w:t>
            </w:r>
          </w:p>
          <w:p w14:paraId="40A2A127" w14:textId="73E54B1C" w:rsidR="0064642E" w:rsidRDefault="0064642E" w:rsidP="003365A5">
            <w:pPr>
              <w:pStyle w:val="Tabletextprimarysource"/>
            </w:pPr>
            <w:r>
              <w:t>Summary of additional data:</w:t>
            </w:r>
          </w:p>
          <w:p w14:paraId="3E7F6E61" w14:textId="610A439D" w:rsidR="00003CD2" w:rsidRDefault="00003CD2" w:rsidP="003365A5">
            <w:pPr>
              <w:pStyle w:val="Tabletextprimarysource"/>
            </w:pPr>
            <w:r>
              <w:t>Human data:</w:t>
            </w:r>
          </w:p>
          <w:p w14:paraId="4057B9CF" w14:textId="77777777" w:rsidR="00692CE1" w:rsidRDefault="00592093" w:rsidP="00BE6019">
            <w:pPr>
              <w:pStyle w:val="ListBullet"/>
              <w:spacing w:before="0" w:after="80"/>
              <w:ind w:left="1077" w:hanging="357"/>
              <w:contextualSpacing w:val="0"/>
            </w:pPr>
            <w:r>
              <w:t xml:space="preserve">Two publications </w:t>
            </w:r>
            <w:r w:rsidR="00DB2C1B">
              <w:t xml:space="preserve">using </w:t>
            </w:r>
            <w:r w:rsidR="00DB2C1B" w:rsidRPr="00817450">
              <w:t>de</w:t>
            </w:r>
            <w:r w:rsidR="00DB2C1B">
              <w:t>rmal penetration rates of 22 μg/</w:t>
            </w:r>
            <w:r w:rsidR="00DB2C1B" w:rsidRPr="00817450">
              <w:t>cm</w:t>
            </w:r>
            <w:r w:rsidR="00DB2C1B" w:rsidRPr="00F279DC">
              <w:rPr>
                <w:vertAlign w:val="superscript"/>
              </w:rPr>
              <w:t>2</w:t>
            </w:r>
            <w:r w:rsidR="00DB2C1B">
              <w:t>/h and 24 μg/</w:t>
            </w:r>
            <w:r w:rsidR="00DB2C1B" w:rsidRPr="00817450">
              <w:t>cm</w:t>
            </w:r>
            <w:r w:rsidR="00DB2C1B" w:rsidRPr="00F279DC">
              <w:rPr>
                <w:vertAlign w:val="superscript"/>
              </w:rPr>
              <w:t>2</w:t>
            </w:r>
            <w:r w:rsidR="00DB2C1B">
              <w:t>/h</w:t>
            </w:r>
            <w:r>
              <w:t xml:space="preserve"> (for saturated aqueous solution) were used to determine absorption in model calculations</w:t>
            </w:r>
          </w:p>
          <w:p w14:paraId="001DA2DB" w14:textId="79BB72FE" w:rsidR="00003CD2" w:rsidRDefault="00692CE1" w:rsidP="00692CE1">
            <w:pPr>
              <w:pStyle w:val="ListBullet"/>
              <w:numPr>
                <w:ilvl w:val="0"/>
                <w:numId w:val="5"/>
              </w:numPr>
              <w:spacing w:before="0" w:after="80"/>
              <w:ind w:left="1440"/>
              <w:contextualSpacing w:val="0"/>
            </w:pPr>
            <w:r>
              <w:t>c</w:t>
            </w:r>
            <w:r w:rsidR="00DB2C1B">
              <w:t xml:space="preserve">alculations showed </w:t>
            </w:r>
            <w:r w:rsidR="004249FE">
              <w:t xml:space="preserve">that </w:t>
            </w:r>
            <w:r w:rsidR="00DB2C1B">
              <w:t>1 h exposure of 2,000 cm</w:t>
            </w:r>
            <w:r w:rsidR="00DB2C1B" w:rsidRPr="00F279DC">
              <w:rPr>
                <w:vertAlign w:val="superscript"/>
              </w:rPr>
              <w:t>2</w:t>
            </w:r>
            <w:r w:rsidR="00DB2C1B">
              <w:t xml:space="preserve"> skin surface</w:t>
            </w:r>
            <w:r w:rsidR="004249FE">
              <w:t xml:space="preserve"> (hands and forearms) </w:t>
            </w:r>
            <w:r>
              <w:t>leads</w:t>
            </w:r>
            <w:r w:rsidR="004249FE">
              <w:t xml:space="preserve"> to</w:t>
            </w:r>
            <w:r w:rsidR="00DB2C1B" w:rsidDel="007E6DAD">
              <w:t xml:space="preserve"> </w:t>
            </w:r>
            <w:r>
              <w:t xml:space="preserve">estimated </w:t>
            </w:r>
            <w:r w:rsidR="00DE78C1">
              <w:t>a</w:t>
            </w:r>
            <w:r w:rsidR="00F279DC">
              <w:t xml:space="preserve">bsorption of 44 </w:t>
            </w:r>
            <w:r w:rsidR="00DB2C1B">
              <w:t>mg (for 22 μg/</w:t>
            </w:r>
            <w:r w:rsidR="00DB2C1B" w:rsidRPr="00817450">
              <w:t>cm</w:t>
            </w:r>
            <w:r w:rsidR="00DB2C1B" w:rsidRPr="00F279DC">
              <w:rPr>
                <w:vertAlign w:val="superscript"/>
              </w:rPr>
              <w:t>2</w:t>
            </w:r>
            <w:r w:rsidR="00DB2C1B">
              <w:t xml:space="preserve">/h) </w:t>
            </w:r>
            <w:r w:rsidR="00592093">
              <w:t>and</w:t>
            </w:r>
            <w:r w:rsidR="00F279DC">
              <w:t xml:space="preserve"> </w:t>
            </w:r>
            <w:r w:rsidR="007E6DAD">
              <w:t xml:space="preserve">48 </w:t>
            </w:r>
            <w:r w:rsidR="00003CD2">
              <w:t>mg</w:t>
            </w:r>
            <w:r w:rsidR="00DB2C1B">
              <w:t xml:space="preserve"> </w:t>
            </w:r>
            <w:r>
              <w:br/>
            </w:r>
            <w:r w:rsidR="00DB2C1B">
              <w:t>(24 μg/</w:t>
            </w:r>
            <w:r w:rsidR="00DB2C1B" w:rsidRPr="00817450">
              <w:t>cm</w:t>
            </w:r>
            <w:r w:rsidR="00DB2C1B" w:rsidRPr="00F279DC">
              <w:rPr>
                <w:vertAlign w:val="superscript"/>
              </w:rPr>
              <w:t>2</w:t>
            </w:r>
            <w:r w:rsidR="00DB2C1B">
              <w:t>/h)</w:t>
            </w:r>
            <w:r w:rsidR="00757278">
              <w:t>.</w:t>
            </w:r>
            <w:r w:rsidR="00FA6CF6">
              <w:t xml:space="preserve"> </w:t>
            </w:r>
          </w:p>
          <w:p w14:paraId="150B6394" w14:textId="12EB1026" w:rsidR="00003CD2" w:rsidRDefault="00003CD2" w:rsidP="00003CD2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Animal data:</w:t>
            </w:r>
          </w:p>
          <w:p w14:paraId="0D117BE0" w14:textId="151D4441" w:rsidR="0064642E" w:rsidRDefault="0064642E" w:rsidP="00BE6019">
            <w:pPr>
              <w:pStyle w:val="ListBullet"/>
              <w:spacing w:before="0" w:after="80"/>
              <w:ind w:left="1077" w:hanging="357"/>
              <w:contextualSpacing w:val="0"/>
            </w:pPr>
            <w:r>
              <w:t>NOAEC of 100 mg/m</w:t>
            </w:r>
            <w:r>
              <w:rPr>
                <w:vertAlign w:val="superscript"/>
              </w:rPr>
              <w:t>3</w:t>
            </w:r>
            <w:r>
              <w:t xml:space="preserve"> for maternal </w:t>
            </w:r>
            <w:r w:rsidRPr="0064642E">
              <w:t xml:space="preserve">pre- and postnatal </w:t>
            </w:r>
            <w:r>
              <w:t>reduced body weight in rats</w:t>
            </w:r>
          </w:p>
          <w:p w14:paraId="1ED03AF8" w14:textId="0DD88B0D" w:rsidR="0064642E" w:rsidRDefault="00817450" w:rsidP="00692CE1">
            <w:pPr>
              <w:pStyle w:val="ListBullet"/>
              <w:numPr>
                <w:ilvl w:val="0"/>
                <w:numId w:val="5"/>
              </w:numPr>
              <w:spacing w:before="0" w:after="80"/>
              <w:ind w:left="1440"/>
              <w:contextualSpacing w:val="0"/>
            </w:pPr>
            <w:r>
              <w:t xml:space="preserve">NOAEC </w:t>
            </w:r>
            <w:r w:rsidR="00E87ABD">
              <w:t xml:space="preserve">is also considered </w:t>
            </w:r>
            <w:r w:rsidR="00692CE1">
              <w:t xml:space="preserve">applicable </w:t>
            </w:r>
            <w:r>
              <w:t>for development</w:t>
            </w:r>
            <w:r w:rsidR="00692CE1">
              <w:t>al</w:t>
            </w:r>
            <w:r>
              <w:t xml:space="preserve"> toxicity (reduced </w:t>
            </w:r>
            <w:r w:rsidR="00692CE1">
              <w:t>bw</w:t>
            </w:r>
            <w:r>
              <w:t xml:space="preserve"> in offspring) in rats</w:t>
            </w:r>
          </w:p>
          <w:p w14:paraId="1C8C0540" w14:textId="24459295" w:rsidR="00005E2A" w:rsidRDefault="00005E2A" w:rsidP="00692CE1">
            <w:pPr>
              <w:pStyle w:val="ListBullet"/>
              <w:spacing w:before="0" w:after="80"/>
              <w:ind w:left="1077" w:hanging="357"/>
              <w:contextualSpacing w:val="0"/>
            </w:pPr>
            <w:r>
              <w:t>Carcinogenicity results (as ACGIH, 2014) may be species specific or sex specific</w:t>
            </w:r>
            <w:r w:rsidR="001F2BA9">
              <w:t xml:space="preserve"> and no clear explanation for tumour occurrence or mechanism for rare colonic adenomas in rats</w:t>
            </w:r>
          </w:p>
          <w:p w14:paraId="005DA5D2" w14:textId="4D8904DA" w:rsidR="00005E2A" w:rsidRDefault="00817450" w:rsidP="00692CE1">
            <w:pPr>
              <w:pStyle w:val="ListBullet"/>
              <w:spacing w:before="0" w:after="80"/>
              <w:ind w:left="1077" w:hanging="357"/>
              <w:contextualSpacing w:val="0"/>
            </w:pPr>
            <w:r>
              <w:t xml:space="preserve">Contradictory results in </w:t>
            </w:r>
            <w:r>
              <w:rPr>
                <w:i/>
              </w:rPr>
              <w:t>in vitro</w:t>
            </w:r>
            <w:r>
              <w:t xml:space="preserve"> genotoxicity studies</w:t>
            </w:r>
            <w:r w:rsidR="00005E2A">
              <w:t>:</w:t>
            </w:r>
          </w:p>
          <w:p w14:paraId="1787EE10" w14:textId="0BC41F38" w:rsidR="00005E2A" w:rsidRDefault="00005E2A" w:rsidP="00005E2A">
            <w:pPr>
              <w:pStyle w:val="ListBullet"/>
              <w:numPr>
                <w:ilvl w:val="0"/>
                <w:numId w:val="5"/>
              </w:numPr>
              <w:spacing w:before="0" w:after="80"/>
              <w:ind w:left="1434" w:hanging="357"/>
            </w:pPr>
            <w:r>
              <w:t xml:space="preserve">inconsistent results reported in gene mutation studies with </w:t>
            </w:r>
            <w:r>
              <w:rPr>
                <w:i/>
              </w:rPr>
              <w:t>S. typhimurium</w:t>
            </w:r>
            <w:r>
              <w:t xml:space="preserve"> strains</w:t>
            </w:r>
          </w:p>
          <w:p w14:paraId="7BACF277" w14:textId="74B297B1" w:rsidR="00005E2A" w:rsidRDefault="00005E2A" w:rsidP="00005E2A">
            <w:pPr>
              <w:pStyle w:val="ListBullet"/>
              <w:numPr>
                <w:ilvl w:val="0"/>
                <w:numId w:val="5"/>
              </w:numPr>
              <w:spacing w:before="0" w:after="80"/>
              <w:ind w:left="1434" w:hanging="357"/>
            </w:pPr>
            <w:r>
              <w:t>mouse lymphoma test reported positive results at high concentrations</w:t>
            </w:r>
          </w:p>
          <w:p w14:paraId="1D5AB361" w14:textId="1AC7BD11" w:rsidR="0064642E" w:rsidRDefault="00005E2A" w:rsidP="00005E2A">
            <w:pPr>
              <w:pStyle w:val="ListBullet"/>
              <w:numPr>
                <w:ilvl w:val="0"/>
                <w:numId w:val="5"/>
              </w:numPr>
              <w:spacing w:before="0" w:after="80"/>
              <w:ind w:left="1434" w:hanging="357"/>
            </w:pPr>
            <w:r>
              <w:t>no significant differences in high and no exposure groups in comet assay</w:t>
            </w:r>
          </w:p>
          <w:p w14:paraId="226487EF" w14:textId="514D1270" w:rsidR="00005E2A" w:rsidRDefault="00005E2A" w:rsidP="00005E2A">
            <w:pPr>
              <w:pStyle w:val="ListBullet"/>
              <w:numPr>
                <w:ilvl w:val="0"/>
                <w:numId w:val="5"/>
              </w:numPr>
              <w:spacing w:before="0" w:after="80"/>
              <w:ind w:left="1434" w:hanging="357"/>
            </w:pPr>
            <w:r>
              <w:t xml:space="preserve">negative results in most </w:t>
            </w:r>
            <w:r>
              <w:rPr>
                <w:i/>
              </w:rPr>
              <w:t>in vivo</w:t>
            </w:r>
            <w:r>
              <w:t xml:space="preserve"> assays.</w:t>
            </w:r>
          </w:p>
          <w:p w14:paraId="3F7E3577" w14:textId="015E6523" w:rsidR="007E6DAD" w:rsidRPr="00DA352E" w:rsidRDefault="007E6DAD" w:rsidP="00003CD2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C978F0" w:rsidRPr="00DA352E" w14:paraId="3929188F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29354CE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6F7C4E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6F7C4E">
                  <w:t>NA</w:t>
                </w:r>
                <w:proofErr w:type="spellEnd"/>
              </w:sdtContent>
            </w:sdt>
          </w:p>
        </w:tc>
      </w:tr>
      <w:tr w:rsidR="00C978F0" w:rsidRPr="00DA352E" w14:paraId="2E808A6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8A008DA" w14:textId="4D326C6E" w:rsidR="00C978F0" w:rsidRPr="00DA352E" w:rsidRDefault="006F7C4E" w:rsidP="003365A5">
            <w:pPr>
              <w:pStyle w:val="Tabletextprimarysource"/>
            </w:pPr>
            <w:r>
              <w:t>No report</w:t>
            </w:r>
            <w:r w:rsidR="00064A7F">
              <w:t>.</w:t>
            </w:r>
          </w:p>
        </w:tc>
      </w:tr>
      <w:tr w:rsidR="00DA352E" w:rsidRPr="00DA352E" w14:paraId="0BB5D2F4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44A9153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38147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381477">
                  <w:t>NA</w:t>
                </w:r>
                <w:proofErr w:type="spellEnd"/>
              </w:sdtContent>
            </w:sdt>
          </w:p>
        </w:tc>
      </w:tr>
      <w:tr w:rsidR="00DA352E" w:rsidRPr="00DA352E" w14:paraId="6A420AE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96A9E26" w14:textId="68840A44" w:rsidR="00DA352E" w:rsidRPr="00DA352E" w:rsidRDefault="00381477" w:rsidP="003365A5">
            <w:pPr>
              <w:pStyle w:val="Tabletextprimarysource"/>
            </w:pPr>
            <w:r>
              <w:t>No report</w:t>
            </w:r>
            <w:r w:rsidR="00064A7F">
              <w:t>.</w:t>
            </w:r>
          </w:p>
        </w:tc>
      </w:tr>
      <w:tr w:rsidR="00DA352E" w:rsidRPr="00DA352E" w14:paraId="20CE7D95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2A8CD09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38147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381477">
                  <w:t>NA</w:t>
                </w:r>
                <w:proofErr w:type="spellEnd"/>
              </w:sdtContent>
            </w:sdt>
          </w:p>
        </w:tc>
      </w:tr>
      <w:tr w:rsidR="00DA352E" w:rsidRPr="00DA352E" w14:paraId="213F93C3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CB47029" w14:textId="4FD61225" w:rsidR="00DA352E" w:rsidRPr="00DA352E" w:rsidRDefault="00381477" w:rsidP="003365A5">
            <w:pPr>
              <w:pStyle w:val="Tabletextprimarysource"/>
            </w:pPr>
            <w:r>
              <w:t>No report</w:t>
            </w:r>
            <w:r w:rsidR="00064A7F">
              <w:t>.</w:t>
            </w:r>
          </w:p>
        </w:tc>
      </w:tr>
    </w:tbl>
    <w:p w14:paraId="1F146287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Description w:val="2013 NICNAS source provided the following additional information: • Negative results reported for all in vivo genotoxicity studies&#10;• All Ames tests except one showed negative results&#10;• One in vitro mouse lymphoma assay reported mutagenic activity &#10;• Not considered mutagenic considering all available data.&#10;"/>
      </w:tblPr>
      <w:tblGrid>
        <w:gridCol w:w="1497"/>
        <w:gridCol w:w="424"/>
        <w:gridCol w:w="661"/>
        <w:gridCol w:w="6444"/>
      </w:tblGrid>
      <w:tr w:rsidR="00221860" w:rsidRPr="00263255" w14:paraId="0B0FA853" w14:textId="77777777" w:rsidTr="00CA31AF">
        <w:trPr>
          <w:cantSplit/>
          <w:trHeight w:val="393"/>
          <w:tblHeader/>
        </w:trPr>
        <w:tc>
          <w:tcPr>
            <w:tcW w:w="1497" w:type="dxa"/>
            <w:shd w:val="clear" w:color="auto" w:fill="BFBFBF" w:themeFill="background1" w:themeFillShade="BF"/>
            <w:vAlign w:val="center"/>
          </w:tcPr>
          <w:p w14:paraId="3AFE2D75" w14:textId="77777777" w:rsidR="00221860" w:rsidRPr="00263255" w:rsidRDefault="00221860" w:rsidP="00CA31AF">
            <w:pPr>
              <w:pStyle w:val="Tableheader"/>
            </w:pPr>
            <w:r w:rsidRPr="00263255">
              <w:t>Source</w:t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14:paraId="4422AB15" w14:textId="77777777" w:rsidR="00221860" w:rsidRPr="00263255" w:rsidRDefault="00221860" w:rsidP="00CA31AF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010A2CB5" w14:textId="77777777" w:rsidR="00221860" w:rsidRPr="00263255" w:rsidRDefault="00221860" w:rsidP="00CA31AF">
            <w:pPr>
              <w:pStyle w:val="Tableheader"/>
            </w:pPr>
            <w:r>
              <w:t>Year</w:t>
            </w:r>
          </w:p>
        </w:tc>
        <w:tc>
          <w:tcPr>
            <w:tcW w:w="6444" w:type="dxa"/>
            <w:shd w:val="clear" w:color="auto" w:fill="BFBFBF" w:themeFill="background1" w:themeFillShade="BF"/>
            <w:vAlign w:val="center"/>
          </w:tcPr>
          <w:p w14:paraId="7E61DAB1" w14:textId="77777777" w:rsidR="00221860" w:rsidRPr="00263255" w:rsidRDefault="00221860" w:rsidP="00CA31AF">
            <w:pPr>
              <w:pStyle w:val="Tableheader"/>
            </w:pPr>
            <w:r>
              <w:t>Additional information</w:t>
            </w:r>
          </w:p>
        </w:tc>
      </w:tr>
      <w:tr w:rsidR="00221860" w:rsidRPr="004C23F4" w14:paraId="29B7FDB9" w14:textId="77777777" w:rsidTr="00CA31AF">
        <w:trPr>
          <w:cantSplit/>
        </w:trPr>
        <w:tc>
          <w:tcPr>
            <w:tcW w:w="1497" w:type="dxa"/>
          </w:tcPr>
          <w:p w14:paraId="72B92615" w14:textId="77777777" w:rsidR="00221860" w:rsidRPr="004C23F4" w:rsidRDefault="00221860" w:rsidP="00CA31AF">
            <w:pPr>
              <w:pStyle w:val="Tablefont"/>
            </w:pPr>
            <w:r>
              <w:t>NICNAS</w:t>
            </w:r>
          </w:p>
        </w:tc>
        <w:tc>
          <w:tcPr>
            <w:tcW w:w="424" w:type="dxa"/>
          </w:tcPr>
          <w:p w14:paraId="43F6DABB" w14:textId="77777777" w:rsidR="00221860" w:rsidRPr="00CE617F" w:rsidRDefault="00B345F0" w:rsidP="00CA31AF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1D47564DC4A24291863A4A8ADA948E2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221860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70320F5F" w14:textId="4F5EBF2D" w:rsidR="00221860" w:rsidRPr="004C23F4" w:rsidRDefault="00221860" w:rsidP="00CA31AF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2013</w:t>
            </w:r>
          </w:p>
        </w:tc>
        <w:tc>
          <w:tcPr>
            <w:tcW w:w="6444" w:type="dxa"/>
          </w:tcPr>
          <w:p w14:paraId="350DC2DB" w14:textId="0FFA1D76" w:rsidR="00221860" w:rsidRPr="00221860" w:rsidRDefault="00221860" w:rsidP="00CA31AF">
            <w:pPr>
              <w:pStyle w:val="ListBullet"/>
              <w:rPr>
                <w:rFonts w:cs="Arial"/>
              </w:rPr>
            </w:pPr>
            <w:r>
              <w:t xml:space="preserve">Negative results reported for all </w:t>
            </w:r>
            <w:r w:rsidRPr="00221860">
              <w:rPr>
                <w:i/>
              </w:rPr>
              <w:t>in vivo</w:t>
            </w:r>
            <w:r>
              <w:t xml:space="preserve"> genotoxicity studies</w:t>
            </w:r>
          </w:p>
          <w:p w14:paraId="4EA17ED2" w14:textId="77777777" w:rsidR="00221860" w:rsidRPr="00221860" w:rsidRDefault="00221860" w:rsidP="00CA31AF">
            <w:pPr>
              <w:pStyle w:val="ListBullet"/>
              <w:rPr>
                <w:rFonts w:cs="Arial"/>
              </w:rPr>
            </w:pPr>
            <w:r>
              <w:t>All Ames tests except one showed negative results</w:t>
            </w:r>
          </w:p>
          <w:p w14:paraId="4B84AEBD" w14:textId="0B60A81E" w:rsidR="00221860" w:rsidRPr="006F1149" w:rsidRDefault="00221860" w:rsidP="00CA31AF">
            <w:pPr>
              <w:pStyle w:val="ListBullet"/>
              <w:rPr>
                <w:rFonts w:cs="Arial"/>
              </w:rPr>
            </w:pPr>
            <w:r>
              <w:t xml:space="preserve">One </w:t>
            </w:r>
            <w:r w:rsidRPr="00221860">
              <w:rPr>
                <w:i/>
              </w:rPr>
              <w:t>in vitro</w:t>
            </w:r>
            <w:r>
              <w:t xml:space="preserve"> mouse lymphoma assay reported mutagenic activity </w:t>
            </w:r>
          </w:p>
          <w:p w14:paraId="3C3072FC" w14:textId="540FF7C3" w:rsidR="00221860" w:rsidRPr="004C23F4" w:rsidRDefault="00221860" w:rsidP="00CA31AF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t>Not considered mutagenic considering all available data</w:t>
            </w:r>
            <w:r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1"/>
    <w:p w14:paraId="4FA962DD" w14:textId="77777777" w:rsidR="007E2A4B" w:rsidRDefault="007E2A4B" w:rsidP="00064A7F">
      <w:pPr>
        <w:pStyle w:val="Heading3"/>
        <w:keepNext w:val="0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59F25FC6" w14:textId="77777777" w:rsidTr="00817450">
        <w:trPr>
          <w:trHeight w:val="454"/>
          <w:tblHeader/>
        </w:trPr>
        <w:tc>
          <w:tcPr>
            <w:tcW w:w="6597" w:type="dxa"/>
            <w:vAlign w:val="center"/>
          </w:tcPr>
          <w:p w14:paraId="3042A994" w14:textId="77777777" w:rsidR="002E0D61" w:rsidRDefault="00B1422A" w:rsidP="00064A7F">
            <w:pPr>
              <w:pStyle w:val="Tablefont"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08705ED2" w14:textId="34B1A97E" w:rsidR="002E0D61" w:rsidRDefault="00005E2A" w:rsidP="00064A7F">
                <w:pPr>
                  <w:pStyle w:val="Tablefont"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BE6019" w14:paraId="69E8A144" w14:textId="77777777" w:rsidTr="007B2140">
        <w:trPr>
          <w:trHeight w:val="454"/>
        </w:trPr>
        <w:tc>
          <w:tcPr>
            <w:tcW w:w="9026" w:type="dxa"/>
            <w:gridSpan w:val="2"/>
            <w:vAlign w:val="center"/>
          </w:tcPr>
          <w:p w14:paraId="50A876F6" w14:textId="3C2A0C71" w:rsidR="00BE6019" w:rsidRDefault="00B345F0" w:rsidP="00064A7F">
            <w:pPr>
              <w:pStyle w:val="Tablefont"/>
              <w:keepLines/>
              <w:spacing w:before="40" w:after="40"/>
            </w:pPr>
            <w:sdt>
              <w:sdtPr>
                <w:rPr>
                  <w:b/>
                </w:rPr>
                <w:id w:val="1830936485"/>
                <w:placeholder>
                  <w:docPart w:val="56866B09ABAA4237835D61C0097C86F3"/>
                </w:placeholder>
                <w:dropDownList>
                  <w:listItem w:value="Choose an item."/>
                  <w:listItem w:displayText="The chemical is a non-threshold based genotoxic carcinogen." w:value="The chemical is a non-threshold based genotoxic carcinogen."/>
                  <w:listItem w:displayText="The chemical is not a non-threshold based genotoxic carcinogen." w:value="The chemical is not a non-threshold based genotoxic carcinogen."/>
    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    </w:dropDownList>
              </w:sdtPr>
              <w:sdtEndPr/>
              <w:sdtContent>
                <w:r w:rsidR="00005E2A">
                  <w:rPr>
                    <w:b/>
                  </w:rPr>
                  <w:t>The chemical is not a non-threshold based genotoxic carcinogen.</w:t>
                </w:r>
              </w:sdtContent>
            </w:sdt>
          </w:p>
        </w:tc>
      </w:tr>
    </w:tbl>
    <w:bookmarkEnd w:id="2"/>
    <w:p w14:paraId="346CC691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18411689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4C0A6717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4621C2F5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2741174" w14:textId="77777777" w:rsidTr="00812887">
        <w:trPr>
          <w:cantSplit/>
        </w:trPr>
        <w:tc>
          <w:tcPr>
            <w:tcW w:w="3227" w:type="dxa"/>
          </w:tcPr>
          <w:p w14:paraId="140A3DF8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67F80F69" w14:textId="77777777" w:rsidR="00687890" w:rsidRPr="00DD2F9B" w:rsidRDefault="00186ECF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25D9AF70" w14:textId="77777777" w:rsidTr="00812887">
        <w:trPr>
          <w:cantSplit/>
        </w:trPr>
        <w:tc>
          <w:tcPr>
            <w:tcW w:w="3227" w:type="dxa"/>
          </w:tcPr>
          <w:p w14:paraId="29CE4E9B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6AAA6460" w14:textId="77777777" w:rsidR="007925F0" w:rsidRPr="00DD2F9B" w:rsidRDefault="00D135AD" w:rsidP="00DD2F9B">
            <w:pPr>
              <w:pStyle w:val="Tablefont"/>
            </w:pPr>
            <w:r>
              <w:t>Carcinogenicity – category 2</w:t>
            </w:r>
          </w:p>
        </w:tc>
      </w:tr>
      <w:tr w:rsidR="00AF483F" w:rsidRPr="004C23F4" w14:paraId="2F897A4F" w14:textId="77777777" w:rsidTr="00812887">
        <w:trPr>
          <w:cantSplit/>
        </w:trPr>
        <w:tc>
          <w:tcPr>
            <w:tcW w:w="3227" w:type="dxa"/>
          </w:tcPr>
          <w:p w14:paraId="2B2C1921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55CCDEBA" w14:textId="77777777" w:rsidR="00AF483F" w:rsidRPr="00DD2F9B" w:rsidRDefault="00E704CD" w:rsidP="00DD2F9B">
            <w:pPr>
              <w:pStyle w:val="Tablefont"/>
            </w:pPr>
            <w:r w:rsidRPr="00997D02">
              <w:t>Carc. Cat 3</w:t>
            </w:r>
          </w:p>
        </w:tc>
      </w:tr>
      <w:tr w:rsidR="00687890" w:rsidRPr="004C23F4" w14:paraId="45F59972" w14:textId="77777777" w:rsidTr="00812887">
        <w:trPr>
          <w:cantSplit/>
        </w:trPr>
        <w:tc>
          <w:tcPr>
            <w:tcW w:w="3227" w:type="dxa"/>
          </w:tcPr>
          <w:p w14:paraId="48260263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75367A0F" w14:textId="53727355" w:rsidR="00687890" w:rsidRPr="00DD2F9B" w:rsidRDefault="00300C0B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33AF8AFE" w14:textId="77777777" w:rsidTr="00812887">
        <w:trPr>
          <w:cantSplit/>
        </w:trPr>
        <w:tc>
          <w:tcPr>
            <w:tcW w:w="3227" w:type="dxa"/>
          </w:tcPr>
          <w:p w14:paraId="7A0C77F6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4B63187F" w14:textId="77777777" w:rsidR="00E41A26" w:rsidRPr="00DD2F9B" w:rsidRDefault="00D135AD" w:rsidP="00D135AD">
            <w:r>
              <w:t>Carcinogenicity – category 1B</w:t>
            </w:r>
          </w:p>
        </w:tc>
      </w:tr>
      <w:tr w:rsidR="002E0D61" w:rsidRPr="004C23F4" w14:paraId="1655E502" w14:textId="77777777" w:rsidTr="00812887">
        <w:trPr>
          <w:cantSplit/>
        </w:trPr>
        <w:tc>
          <w:tcPr>
            <w:tcW w:w="3227" w:type="dxa"/>
          </w:tcPr>
          <w:p w14:paraId="7073F75B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2BE54A08" w14:textId="77777777" w:rsidR="002E0D61" w:rsidRPr="00DD2F9B" w:rsidRDefault="00D135AD" w:rsidP="00DD2F9B">
            <w:pPr>
              <w:pStyle w:val="Tablefont"/>
            </w:pPr>
            <w:r>
              <w:t>Carcinogenicity – A3</w:t>
            </w:r>
          </w:p>
        </w:tc>
      </w:tr>
      <w:tr w:rsidR="002E0D61" w:rsidRPr="004C23F4" w14:paraId="770C630B" w14:textId="77777777" w:rsidTr="00812887">
        <w:trPr>
          <w:cantSplit/>
        </w:trPr>
        <w:tc>
          <w:tcPr>
            <w:tcW w:w="3227" w:type="dxa"/>
          </w:tcPr>
          <w:p w14:paraId="783F37DE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2C4F3E0E" w14:textId="12ED6F47" w:rsidR="002E0D61" w:rsidRPr="00DD2F9B" w:rsidRDefault="007A57D8" w:rsidP="00DD2F9B">
            <w:pPr>
              <w:pStyle w:val="Tablefont"/>
            </w:pPr>
            <w:r>
              <w:t>Carcinogenicity – 2</w:t>
            </w:r>
          </w:p>
        </w:tc>
      </w:tr>
      <w:tr w:rsidR="002E0D61" w:rsidRPr="004C23F4" w14:paraId="6C3604C3" w14:textId="77777777" w:rsidTr="00812887">
        <w:trPr>
          <w:cantSplit/>
        </w:trPr>
        <w:tc>
          <w:tcPr>
            <w:tcW w:w="3227" w:type="dxa"/>
          </w:tcPr>
          <w:p w14:paraId="31409389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1568B009" w14:textId="2FA467F1" w:rsidR="002E0D61" w:rsidRPr="00DD2F9B" w:rsidRDefault="007A57D8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705C8F9" w14:textId="77777777" w:rsidTr="00812887">
        <w:trPr>
          <w:cantSplit/>
        </w:trPr>
        <w:tc>
          <w:tcPr>
            <w:tcW w:w="3227" w:type="dxa"/>
          </w:tcPr>
          <w:p w14:paraId="6F618F38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0CC04438" w14:textId="71A363B5" w:rsidR="002E0D61" w:rsidRPr="00DD2F9B" w:rsidRDefault="007A57D8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19485F00" w14:textId="77777777" w:rsidTr="00812887">
        <w:trPr>
          <w:cantSplit/>
        </w:trPr>
        <w:tc>
          <w:tcPr>
            <w:tcW w:w="3227" w:type="dxa"/>
          </w:tcPr>
          <w:p w14:paraId="43FBCDE0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2E15E6EA" w14:textId="0A8C26CD" w:rsidR="00386093" w:rsidRPr="00DD2F9B" w:rsidRDefault="008A6181" w:rsidP="00DD2F9B">
            <w:pPr>
              <w:pStyle w:val="Tablefont"/>
            </w:pPr>
            <w:r w:rsidRPr="008A6181">
              <w:t>Carcinogenicity – Group 2B</w:t>
            </w:r>
          </w:p>
        </w:tc>
      </w:tr>
      <w:tr w:rsidR="00386093" w:rsidRPr="004C23F4" w14:paraId="480409E2" w14:textId="77777777" w:rsidTr="00812887">
        <w:trPr>
          <w:cantSplit/>
        </w:trPr>
        <w:tc>
          <w:tcPr>
            <w:tcW w:w="3227" w:type="dxa"/>
          </w:tcPr>
          <w:p w14:paraId="08713B20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7AF5EFF8" w14:textId="269CFFE7" w:rsidR="00386093" w:rsidRPr="00DD2F9B" w:rsidRDefault="008A6181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5DFC08A1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28E3E70D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52D953F0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4A239A0A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2884E186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9046" w:type="dxa"/>
              <w:tblLook w:val="04A0" w:firstRow="1" w:lastRow="0" w:firstColumn="1" w:lastColumn="0" w:noHBand="0" w:noVBand="1"/>
            </w:tblPr>
            <w:tblGrid>
              <w:gridCol w:w="3658"/>
              <w:gridCol w:w="1082"/>
              <w:gridCol w:w="1082"/>
              <w:gridCol w:w="1494"/>
              <w:gridCol w:w="1494"/>
            </w:tblGrid>
            <w:tr w:rsidR="00817450" w:rsidRPr="00817450" w14:paraId="3F87DA48" w14:textId="77777777" w:rsidTr="0077171B">
              <w:trPr>
                <w:trHeight w:val="347"/>
              </w:trPr>
              <w:tc>
                <w:tcPr>
                  <w:tcW w:w="37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97ECB3F" w14:textId="77777777" w:rsidR="00817450" w:rsidRPr="00817450" w:rsidRDefault="00817450" w:rsidP="0081745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1745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0482886" w14:textId="77777777" w:rsidR="00817450" w:rsidRPr="00817450" w:rsidRDefault="00817450" w:rsidP="00817450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1745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B476117" w14:textId="77777777" w:rsidR="00817450" w:rsidRPr="00817450" w:rsidRDefault="00817450" w:rsidP="0081745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17450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C6482F9" w14:textId="77777777" w:rsidR="00817450" w:rsidRPr="00817450" w:rsidRDefault="00817450" w:rsidP="0081745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1745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7017F91" w14:textId="77777777" w:rsidR="00817450" w:rsidRPr="00817450" w:rsidRDefault="00817450" w:rsidP="0081745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1745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17450" w:rsidRPr="00817450" w14:paraId="425F7BCE" w14:textId="77777777" w:rsidTr="0077171B">
              <w:trPr>
                <w:trHeight w:val="347"/>
              </w:trPr>
              <w:tc>
                <w:tcPr>
                  <w:tcW w:w="37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9CDD89E" w14:textId="77777777" w:rsidR="00817450" w:rsidRPr="00817450" w:rsidRDefault="00817450" w:rsidP="0081745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1745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81745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81745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8FC04C8" w14:textId="77777777" w:rsidR="00817450" w:rsidRPr="00817450" w:rsidRDefault="00817450" w:rsidP="00817450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1745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7504F44" w14:textId="77777777" w:rsidR="00817450" w:rsidRPr="00817450" w:rsidRDefault="00817450" w:rsidP="0081745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17450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EFD98AE" w14:textId="77777777" w:rsidR="00817450" w:rsidRPr="00817450" w:rsidRDefault="00817450" w:rsidP="0081745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1745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1D70ECC" w14:textId="77777777" w:rsidR="00817450" w:rsidRPr="00817450" w:rsidRDefault="00817450" w:rsidP="0081745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1745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17450" w:rsidRPr="00817450" w14:paraId="7B559C4F" w14:textId="77777777" w:rsidTr="0077171B">
              <w:trPr>
                <w:trHeight w:val="347"/>
              </w:trPr>
              <w:tc>
                <w:tcPr>
                  <w:tcW w:w="37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41D638D" w14:textId="38CD41B1" w:rsidR="00817450" w:rsidRPr="00817450" w:rsidRDefault="00817450" w:rsidP="0081745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1745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</w:t>
                  </w:r>
                  <w:r w:rsidR="00F268F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</w:t>
                  </w:r>
                  <w:r w:rsidRPr="0081745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200 mg/kg: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68110A2" w14:textId="77777777" w:rsidR="00817450" w:rsidRPr="00817450" w:rsidRDefault="00817450" w:rsidP="00817450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1745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067ECB8" w14:textId="77777777" w:rsidR="00817450" w:rsidRPr="00817450" w:rsidRDefault="00817450" w:rsidP="0081745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17450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DF12ED4" w14:textId="77777777" w:rsidR="00817450" w:rsidRPr="00817450" w:rsidRDefault="00817450" w:rsidP="0081745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1745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89E48A4" w14:textId="77777777" w:rsidR="00817450" w:rsidRPr="00817450" w:rsidRDefault="00817450" w:rsidP="0081745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1745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17450" w:rsidRPr="00817450" w14:paraId="6DE62C83" w14:textId="77777777" w:rsidTr="0077171B">
              <w:trPr>
                <w:trHeight w:val="347"/>
              </w:trPr>
              <w:tc>
                <w:tcPr>
                  <w:tcW w:w="37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E5A6FA6" w14:textId="355DEE6B" w:rsidR="00817450" w:rsidRPr="00817450" w:rsidRDefault="00817450" w:rsidP="0081745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1745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81745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81745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81745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81745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</w:t>
                  </w:r>
                  <w:r w:rsidR="00F268F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</w:t>
                  </w:r>
                  <w:r w:rsidRPr="0081745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10: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E79EAFB" w14:textId="77777777" w:rsidR="00817450" w:rsidRPr="00817450" w:rsidRDefault="00817450" w:rsidP="00817450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1745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6385115" w14:textId="77777777" w:rsidR="00817450" w:rsidRPr="00817450" w:rsidRDefault="00817450" w:rsidP="0081745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17450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98B91C8" w14:textId="77777777" w:rsidR="00817450" w:rsidRPr="00817450" w:rsidRDefault="00817450" w:rsidP="0081745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1745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A6488F0" w14:textId="77777777" w:rsidR="00817450" w:rsidRPr="00817450" w:rsidRDefault="00817450" w:rsidP="0081745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1745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17450" w:rsidRPr="00817450" w14:paraId="665EC780" w14:textId="77777777" w:rsidTr="0077171B">
              <w:trPr>
                <w:trHeight w:val="347"/>
              </w:trPr>
              <w:tc>
                <w:tcPr>
                  <w:tcW w:w="37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24688D0" w14:textId="77777777" w:rsidR="00817450" w:rsidRPr="00817450" w:rsidRDefault="00817450" w:rsidP="0081745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817450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81745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6FB6AB4" w14:textId="77777777" w:rsidR="00817450" w:rsidRPr="00817450" w:rsidRDefault="00817450" w:rsidP="00817450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1745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6395EC0" w14:textId="77777777" w:rsidR="00817450" w:rsidRPr="00817450" w:rsidRDefault="00817450" w:rsidP="0081745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17450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1F499AE" w14:textId="77777777" w:rsidR="00817450" w:rsidRPr="00817450" w:rsidRDefault="00817450" w:rsidP="0081745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1745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FB88F4F" w14:textId="77777777" w:rsidR="00817450" w:rsidRPr="00817450" w:rsidRDefault="00817450" w:rsidP="0081745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1745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17450" w:rsidRPr="00817450" w14:paraId="0DF1ADC5" w14:textId="77777777" w:rsidTr="0077171B">
              <w:trPr>
                <w:trHeight w:val="347"/>
              </w:trPr>
              <w:tc>
                <w:tcPr>
                  <w:tcW w:w="37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D1878CD" w14:textId="77777777" w:rsidR="00817450" w:rsidRPr="00817450" w:rsidRDefault="00817450" w:rsidP="0081745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1745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EDF419E" w14:textId="77777777" w:rsidR="00817450" w:rsidRPr="00817450" w:rsidRDefault="00817450" w:rsidP="00817450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1745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5E50884" w14:textId="77777777" w:rsidR="00817450" w:rsidRPr="00817450" w:rsidRDefault="00817450" w:rsidP="0081745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17450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E8479AE" w14:textId="77777777" w:rsidR="00817450" w:rsidRPr="00817450" w:rsidRDefault="00817450" w:rsidP="0081745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1745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B3CFE3A" w14:textId="77777777" w:rsidR="00817450" w:rsidRPr="00817450" w:rsidRDefault="00817450" w:rsidP="0081745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1745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17450" w:rsidRPr="00817450" w14:paraId="5FAAE597" w14:textId="77777777" w:rsidTr="0077171B">
              <w:trPr>
                <w:trHeight w:val="347"/>
              </w:trPr>
              <w:tc>
                <w:tcPr>
                  <w:tcW w:w="37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BA428F9" w14:textId="77777777" w:rsidR="00817450" w:rsidRPr="00817450" w:rsidRDefault="00817450" w:rsidP="00817450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1745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3C49A18" w14:textId="77777777" w:rsidR="00817450" w:rsidRPr="00817450" w:rsidRDefault="00817450" w:rsidP="00817450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17450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858690E" w14:textId="77777777" w:rsidR="00817450" w:rsidRPr="00817450" w:rsidRDefault="00817450" w:rsidP="00817450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17450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2C30BDD" w14:textId="77777777" w:rsidR="00817450" w:rsidRPr="00817450" w:rsidRDefault="00817450" w:rsidP="00817450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817450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not warranted</w:t>
                  </w:r>
                </w:p>
              </w:tc>
            </w:tr>
          </w:tbl>
          <w:p w14:paraId="76760403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0CCCA408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4CFC28EC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21BD6BEC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7AE20C3B" w14:textId="77777777" w:rsidR="00EB3D1B" w:rsidRDefault="00175512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00BAB862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4D08C982" w14:textId="77777777" w:rsidTr="00F042A8">
        <w:trPr>
          <w:cantSplit/>
          <w:tblHeader/>
        </w:trPr>
        <w:tc>
          <w:tcPr>
            <w:tcW w:w="4077" w:type="dxa"/>
            <w:vAlign w:val="center"/>
          </w:tcPr>
          <w:p w14:paraId="1640487E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3B29C8CA" w14:textId="77777777" w:rsidR="001B79E5" w:rsidRDefault="007505F2" w:rsidP="001B79E5">
                <w:pPr>
                  <w:pStyle w:val="Tablefont"/>
                </w:pPr>
                <w:r>
                  <w:t>122.99</w:t>
                </w:r>
              </w:p>
            </w:tc>
          </w:sdtContent>
        </w:sdt>
      </w:tr>
      <w:tr w:rsidR="00A31D99" w:rsidRPr="004C23F4" w14:paraId="006D00F5" w14:textId="77777777" w:rsidTr="00064A7F">
        <w:trPr>
          <w:cantSplit/>
        </w:trPr>
        <w:tc>
          <w:tcPr>
            <w:tcW w:w="4077" w:type="dxa"/>
            <w:vAlign w:val="center"/>
          </w:tcPr>
          <w:p w14:paraId="65275365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30B73B5C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45EF9B9C" w14:textId="77777777" w:rsidTr="00064A7F">
        <w:trPr>
          <w:cantSplit/>
        </w:trPr>
        <w:tc>
          <w:tcPr>
            <w:tcW w:w="4077" w:type="dxa"/>
            <w:vAlign w:val="center"/>
          </w:tcPr>
          <w:p w14:paraId="70CA63E2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F66CDBD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224E1C56" w14:textId="77777777" w:rsidTr="00064A7F">
        <w:trPr>
          <w:cantSplit/>
        </w:trPr>
        <w:tc>
          <w:tcPr>
            <w:tcW w:w="4077" w:type="dxa"/>
            <w:vAlign w:val="center"/>
          </w:tcPr>
          <w:p w14:paraId="1431823F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A5E64CE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B7F1D5C" w14:textId="77777777" w:rsidTr="00064A7F">
        <w:trPr>
          <w:cantSplit/>
        </w:trPr>
        <w:tc>
          <w:tcPr>
            <w:tcW w:w="4077" w:type="dxa"/>
            <w:vAlign w:val="center"/>
          </w:tcPr>
          <w:p w14:paraId="29A1DF7E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207ACDB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5D90B56C" w14:textId="77777777" w:rsidTr="00064A7F">
        <w:trPr>
          <w:cantSplit/>
        </w:trPr>
        <w:tc>
          <w:tcPr>
            <w:tcW w:w="4077" w:type="dxa"/>
            <w:vAlign w:val="center"/>
          </w:tcPr>
          <w:p w14:paraId="1696170F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16FF5C9D" w14:textId="77777777" w:rsidR="00E06F40" w:rsidRPr="00A006A0" w:rsidRDefault="00B345F0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138CC787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37525F14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1ACF50F9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1E622C83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3FDFAEDA" w14:textId="77777777" w:rsidTr="00F053FA">
        <w:trPr>
          <w:tblHeader/>
        </w:trPr>
        <w:sdt>
          <w:sdtPr>
            <w:id w:val="-25557549"/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6E1652A9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696E19C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0343A695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555A5D3F" w14:textId="1F1F88DE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1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10C4A2FD" w14:textId="2B1CBA87" w:rsidR="00F268F3" w:rsidRDefault="00745A01" w:rsidP="00084859">
      <w:r w:rsidRPr="002022B6">
        <w:t>Deutsche Forschungsgemeinschaft (DFG)</w:t>
      </w:r>
      <w:r>
        <w:t xml:space="preserve"> (</w:t>
      </w:r>
      <w:r w:rsidR="00C3618F">
        <w:t>2011</w:t>
      </w:r>
      <w:r>
        <w:t>) 1-Bromopr</w:t>
      </w:r>
      <w:r w:rsidR="0064642E">
        <w:t>opane – MAK value documentation, German language</w:t>
      </w:r>
      <w:r w:rsidR="00757278">
        <w:t>.</w:t>
      </w:r>
    </w:p>
    <w:p w14:paraId="2EF6FAA1" w14:textId="77777777" w:rsidR="00FE7822" w:rsidRDefault="00FE7822" w:rsidP="00FE7822">
      <w:r w:rsidRPr="002022B6">
        <w:t>International Agency for Research on Cancer</w:t>
      </w:r>
      <w:r>
        <w:t xml:space="preserve"> (IARC) (2018) </w:t>
      </w:r>
      <w:proofErr w:type="gramStart"/>
      <w:r>
        <w:t>Some</w:t>
      </w:r>
      <w:proofErr w:type="gramEnd"/>
      <w:r>
        <w:t xml:space="preserve"> industrial chemicals volume 115. IARC Monographs on the evaluation of the carcinogenic risk to humans.</w:t>
      </w:r>
    </w:p>
    <w:p w14:paraId="66748933" w14:textId="77777777" w:rsidR="00FE7822" w:rsidRDefault="00FE7822" w:rsidP="00FE7822">
      <w:r w:rsidRPr="002022B6">
        <w:t>National Industrial Chemicals Notification and Assessment Scheme (NICNAS)</w:t>
      </w:r>
      <w:r>
        <w:t xml:space="preserve"> (2013) Propane, 1-bromo</w:t>
      </w:r>
      <w:r w:rsidRPr="0071660C">
        <w:t xml:space="preserve">: Human </w:t>
      </w:r>
      <w:r w:rsidRPr="00FE7822">
        <w:t xml:space="preserve">health </w:t>
      </w:r>
      <w:sdt>
        <w:sdtPr>
          <w:id w:val="-1295753243"/>
          <w:placeholder>
            <w:docPart w:val="7972534266EB4D2CB47D866458CD7ACA"/>
          </w:placeholder>
          <w:temporary/>
          <w:showingPlcHdr/>
        </w:sdtPr>
        <w:sdtEndPr/>
        <w:sdtContent>
          <w:r w:rsidRPr="00FE7822">
            <w:t>tier II</w:t>
          </w:r>
        </w:sdtContent>
      </w:sdt>
      <w:r w:rsidRPr="00FE7822">
        <w:t xml:space="preserve"> assessment </w:t>
      </w:r>
      <w:r>
        <w:t>– IMAP report.</w:t>
      </w:r>
    </w:p>
    <w:p w14:paraId="1B0C53A4" w14:textId="2C265159" w:rsidR="00AE547F" w:rsidDel="00F268F3" w:rsidRDefault="00CB3BCF" w:rsidP="00084859">
      <w:r w:rsidRPr="00CB3BCF" w:rsidDel="00F268F3">
        <w:t>Regulation (EC) No</w:t>
      </w:r>
      <w:r w:rsidR="00757278" w:rsidDel="00F268F3">
        <w:t xml:space="preserve"> </w:t>
      </w:r>
      <w:r w:rsidRPr="00CB3BCF" w:rsidDel="00F268F3">
        <w:t xml:space="preserve">1907/2006 of the European Parliament and of </w:t>
      </w:r>
      <w:r w:rsidDel="00F268F3">
        <w:t>the Council of 18</w:t>
      </w:r>
      <w:r w:rsidR="00757278" w:rsidDel="00F268F3">
        <w:t xml:space="preserve"> </w:t>
      </w:r>
      <w:r w:rsidDel="00F268F3">
        <w:t xml:space="preserve">December 2006 </w:t>
      </w:r>
      <w:r w:rsidRPr="00CB3BCF" w:rsidDel="00F268F3">
        <w:t>concerning the Registration, Evaluation, Authorisation and Restriction of Chemicals (REACH), establishing a European Chemicals Agency, amending Directive 1999/45/EC</w:t>
      </w:r>
      <w:r w:rsidR="001C2C3D" w:rsidDel="00F268F3">
        <w:t>.</w:t>
      </w:r>
      <w:r w:rsidRPr="00CB3BCF" w:rsidDel="00F268F3">
        <w:t xml:space="preserve"> </w:t>
      </w:r>
    </w:p>
    <w:p w14:paraId="14D3153D" w14:textId="77777777" w:rsidR="00300C0B" w:rsidRDefault="00300C0B" w:rsidP="00084859"/>
    <w:p w14:paraId="6E903E4D" w14:textId="77777777" w:rsidR="0027728C" w:rsidRPr="00351FE0" w:rsidRDefault="0027728C" w:rsidP="00084859"/>
    <w:sectPr w:rsidR="0027728C" w:rsidRPr="00351FE0" w:rsidSect="007D1E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5D760" w14:textId="77777777" w:rsidR="00C405F0" w:rsidRDefault="00C405F0" w:rsidP="00F43AD5">
      <w:pPr>
        <w:spacing w:after="0" w:line="240" w:lineRule="auto"/>
      </w:pPr>
      <w:r>
        <w:separator/>
      </w:r>
    </w:p>
  </w:endnote>
  <w:endnote w:type="continuationSeparator" w:id="0">
    <w:p w14:paraId="71552B2F" w14:textId="77777777" w:rsidR="00C405F0" w:rsidRDefault="00C405F0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B4BD4" w14:textId="77777777" w:rsidR="007D1EDA" w:rsidRDefault="007D1E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C6D88" w14:textId="1E956797" w:rsidR="00B93764" w:rsidRDefault="00B93764" w:rsidP="00B93764"/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69B2F2F7" w14:textId="1EFE8521" w:rsidR="00B93764" w:rsidRDefault="00B93764" w:rsidP="00B93764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1-Bromopropane (106-94-5</w:t>
        </w:r>
        <w:proofErr w:type="gramStart"/>
        <w:r>
          <w:rPr>
            <w:b/>
            <w:sz w:val="18"/>
            <w:szCs w:val="18"/>
          </w:rPr>
          <w:t>)</w:t>
        </w:r>
        <w:proofErr w:type="gramEnd"/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201</w:t>
        </w:r>
        <w:r>
          <w:rPr>
            <w:sz w:val="18"/>
            <w:szCs w:val="18"/>
          </w:rPr>
          <w:t>9</w:t>
        </w:r>
      </w:p>
      <w:p w14:paraId="111FD18A" w14:textId="57E9D0DB" w:rsidR="00B93764" w:rsidRPr="00F43AD5" w:rsidRDefault="00B93764" w:rsidP="00B93764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B345F0">
          <w:rPr>
            <w:noProof/>
            <w:sz w:val="18"/>
            <w:szCs w:val="18"/>
          </w:rPr>
          <w:t>4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  <w:p w14:paraId="07EAFB93" w14:textId="77777777" w:rsidR="00B93764" w:rsidRDefault="00B937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17830" w14:textId="77777777" w:rsidR="007D1EDA" w:rsidRDefault="007D1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A74C1" w14:textId="77777777" w:rsidR="00C405F0" w:rsidRDefault="00C405F0" w:rsidP="00F43AD5">
      <w:pPr>
        <w:spacing w:after="0" w:line="240" w:lineRule="auto"/>
      </w:pPr>
      <w:r>
        <w:separator/>
      </w:r>
    </w:p>
  </w:footnote>
  <w:footnote w:type="continuationSeparator" w:id="0">
    <w:p w14:paraId="64FA7A96" w14:textId="77777777" w:rsidR="00C405F0" w:rsidRDefault="00C405F0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E7E82" w14:textId="77777777" w:rsidR="007D1EDA" w:rsidRDefault="007D1E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D4582" w14:textId="147815A5" w:rsidR="008A36CF" w:rsidRPr="008E5751" w:rsidRDefault="00B345F0" w:rsidP="00E26545">
    <w:pPr>
      <w:pStyle w:val="Header"/>
      <w:tabs>
        <w:tab w:val="left" w:pos="4035"/>
      </w:tabs>
      <w:jc w:val="right"/>
    </w:pPr>
    <w:sdt>
      <w:sdtPr>
        <w:id w:val="-1144662092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46F5E52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4338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93764">
      <w:tab/>
    </w:r>
    <w:r w:rsidR="00B9376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42C3C" w14:textId="16378C89" w:rsidR="00B93764" w:rsidRDefault="00B345F0" w:rsidP="00B93764">
    <w:pPr>
      <w:pStyle w:val="Header"/>
      <w:jc w:val="right"/>
    </w:pPr>
    <w:sdt>
      <w:sdtPr>
        <w:id w:val="1322615741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09B2B23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4339" type="#_x0000_t136" style="position:absolute;left:0;text-align:left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t xml:space="preserve"> </w:t>
    </w:r>
    <w:bookmarkStart w:id="6" w:name="_GoBack"/>
    <w:bookmarkEnd w:id="6"/>
    <w:r w:rsidR="00B93764">
      <w:rPr>
        <w:noProof/>
        <w:lang w:eastAsia="en-AU"/>
      </w:rPr>
      <w:drawing>
        <wp:inline distT="0" distB="0" distL="0" distR="0" wp14:anchorId="258C3DBE" wp14:editId="10295F65">
          <wp:extent cx="2938272" cy="594360"/>
          <wp:effectExtent l="0" t="0" r="0" b="0"/>
          <wp:docPr id="3" name="Picture 3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ACC5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1712BA"/>
    <w:multiLevelType w:val="hybridMultilevel"/>
    <w:tmpl w:val="40FEB6C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4340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3A70"/>
    <w:rsid w:val="00003CD2"/>
    <w:rsid w:val="00005E2A"/>
    <w:rsid w:val="00007B80"/>
    <w:rsid w:val="00013A22"/>
    <w:rsid w:val="00014C3F"/>
    <w:rsid w:val="00017C82"/>
    <w:rsid w:val="0002138F"/>
    <w:rsid w:val="00032B88"/>
    <w:rsid w:val="00046DF5"/>
    <w:rsid w:val="00052060"/>
    <w:rsid w:val="00052812"/>
    <w:rsid w:val="0005574A"/>
    <w:rsid w:val="00055FE1"/>
    <w:rsid w:val="00056EC2"/>
    <w:rsid w:val="00060B48"/>
    <w:rsid w:val="000621E6"/>
    <w:rsid w:val="00064A7F"/>
    <w:rsid w:val="00067F32"/>
    <w:rsid w:val="00071807"/>
    <w:rsid w:val="000803E1"/>
    <w:rsid w:val="00084513"/>
    <w:rsid w:val="00084859"/>
    <w:rsid w:val="00092D94"/>
    <w:rsid w:val="000A0B2D"/>
    <w:rsid w:val="000A182E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190"/>
    <w:rsid w:val="000E63D3"/>
    <w:rsid w:val="000E67CF"/>
    <w:rsid w:val="0010461E"/>
    <w:rsid w:val="00106FAA"/>
    <w:rsid w:val="00111AAC"/>
    <w:rsid w:val="00113443"/>
    <w:rsid w:val="00114668"/>
    <w:rsid w:val="00124DB2"/>
    <w:rsid w:val="001269A7"/>
    <w:rsid w:val="00131092"/>
    <w:rsid w:val="00133F14"/>
    <w:rsid w:val="00140E6A"/>
    <w:rsid w:val="00142317"/>
    <w:rsid w:val="00145B9F"/>
    <w:rsid w:val="00146545"/>
    <w:rsid w:val="00146B75"/>
    <w:rsid w:val="0015266D"/>
    <w:rsid w:val="0015288A"/>
    <w:rsid w:val="00160F47"/>
    <w:rsid w:val="001704A3"/>
    <w:rsid w:val="00171D94"/>
    <w:rsid w:val="00175512"/>
    <w:rsid w:val="00177CA1"/>
    <w:rsid w:val="00183823"/>
    <w:rsid w:val="00183942"/>
    <w:rsid w:val="00186ECF"/>
    <w:rsid w:val="001A009E"/>
    <w:rsid w:val="001A1287"/>
    <w:rsid w:val="001A3859"/>
    <w:rsid w:val="001A3C9D"/>
    <w:rsid w:val="001A43F8"/>
    <w:rsid w:val="001B79E5"/>
    <w:rsid w:val="001C2C3D"/>
    <w:rsid w:val="001D56F0"/>
    <w:rsid w:val="001D663B"/>
    <w:rsid w:val="001D7B41"/>
    <w:rsid w:val="001E46DA"/>
    <w:rsid w:val="001E4ECA"/>
    <w:rsid w:val="001E7D80"/>
    <w:rsid w:val="001F2BA9"/>
    <w:rsid w:val="001F4B6C"/>
    <w:rsid w:val="001F55C3"/>
    <w:rsid w:val="001F62CB"/>
    <w:rsid w:val="001F6ED0"/>
    <w:rsid w:val="001F72E6"/>
    <w:rsid w:val="001F73C5"/>
    <w:rsid w:val="002003D4"/>
    <w:rsid w:val="002046A6"/>
    <w:rsid w:val="00204956"/>
    <w:rsid w:val="00212C1F"/>
    <w:rsid w:val="00213640"/>
    <w:rsid w:val="00221547"/>
    <w:rsid w:val="002216FC"/>
    <w:rsid w:val="00221860"/>
    <w:rsid w:val="00222533"/>
    <w:rsid w:val="00222F30"/>
    <w:rsid w:val="002243DD"/>
    <w:rsid w:val="00224EE2"/>
    <w:rsid w:val="00227EC7"/>
    <w:rsid w:val="00240652"/>
    <w:rsid w:val="00244AD1"/>
    <w:rsid w:val="002463BC"/>
    <w:rsid w:val="002465CE"/>
    <w:rsid w:val="0025734A"/>
    <w:rsid w:val="00261172"/>
    <w:rsid w:val="00263255"/>
    <w:rsid w:val="00266C6C"/>
    <w:rsid w:val="00276494"/>
    <w:rsid w:val="0027728C"/>
    <w:rsid w:val="00277B0C"/>
    <w:rsid w:val="002A3CCB"/>
    <w:rsid w:val="002A49EC"/>
    <w:rsid w:val="002B1A2C"/>
    <w:rsid w:val="002C34F2"/>
    <w:rsid w:val="002C58FF"/>
    <w:rsid w:val="002C7A1D"/>
    <w:rsid w:val="002C7AFE"/>
    <w:rsid w:val="002D05D2"/>
    <w:rsid w:val="002D064B"/>
    <w:rsid w:val="002E0D61"/>
    <w:rsid w:val="002E4C7B"/>
    <w:rsid w:val="002F2ADA"/>
    <w:rsid w:val="00300C0B"/>
    <w:rsid w:val="0030740C"/>
    <w:rsid w:val="00315833"/>
    <w:rsid w:val="003215EE"/>
    <w:rsid w:val="00321CDE"/>
    <w:rsid w:val="003224BF"/>
    <w:rsid w:val="003241A8"/>
    <w:rsid w:val="003253F0"/>
    <w:rsid w:val="003337DA"/>
    <w:rsid w:val="00334EFB"/>
    <w:rsid w:val="00335CDE"/>
    <w:rsid w:val="003365A5"/>
    <w:rsid w:val="00346F65"/>
    <w:rsid w:val="00347192"/>
    <w:rsid w:val="0034744C"/>
    <w:rsid w:val="00351FE0"/>
    <w:rsid w:val="00352615"/>
    <w:rsid w:val="0035412B"/>
    <w:rsid w:val="003567A8"/>
    <w:rsid w:val="00362895"/>
    <w:rsid w:val="00370DBF"/>
    <w:rsid w:val="00381477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C7DA9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249FE"/>
    <w:rsid w:val="00430179"/>
    <w:rsid w:val="004414B5"/>
    <w:rsid w:val="00442F54"/>
    <w:rsid w:val="00444482"/>
    <w:rsid w:val="00444B42"/>
    <w:rsid w:val="00445E44"/>
    <w:rsid w:val="004509E2"/>
    <w:rsid w:val="00451486"/>
    <w:rsid w:val="004515EE"/>
    <w:rsid w:val="004529F0"/>
    <w:rsid w:val="00457A93"/>
    <w:rsid w:val="00460A03"/>
    <w:rsid w:val="0046278A"/>
    <w:rsid w:val="00472A11"/>
    <w:rsid w:val="00472AAD"/>
    <w:rsid w:val="00474E33"/>
    <w:rsid w:val="00476803"/>
    <w:rsid w:val="00485BFD"/>
    <w:rsid w:val="004864D6"/>
    <w:rsid w:val="004867A2"/>
    <w:rsid w:val="004873F2"/>
    <w:rsid w:val="00490D4C"/>
    <w:rsid w:val="00493A35"/>
    <w:rsid w:val="0049527A"/>
    <w:rsid w:val="004966BF"/>
    <w:rsid w:val="004975DC"/>
    <w:rsid w:val="00497984"/>
    <w:rsid w:val="004A5088"/>
    <w:rsid w:val="004B06A9"/>
    <w:rsid w:val="004B746B"/>
    <w:rsid w:val="004C1E3F"/>
    <w:rsid w:val="004C23F4"/>
    <w:rsid w:val="004C3475"/>
    <w:rsid w:val="004C525B"/>
    <w:rsid w:val="004C58B6"/>
    <w:rsid w:val="004C647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066F9"/>
    <w:rsid w:val="005142C4"/>
    <w:rsid w:val="0051509C"/>
    <w:rsid w:val="005160D6"/>
    <w:rsid w:val="00523A1E"/>
    <w:rsid w:val="005272E2"/>
    <w:rsid w:val="0053108F"/>
    <w:rsid w:val="00532B56"/>
    <w:rsid w:val="00534B10"/>
    <w:rsid w:val="005446A2"/>
    <w:rsid w:val="00544D2F"/>
    <w:rsid w:val="00551BD8"/>
    <w:rsid w:val="005555EF"/>
    <w:rsid w:val="00581055"/>
    <w:rsid w:val="00591E38"/>
    <w:rsid w:val="00592093"/>
    <w:rsid w:val="005A19C5"/>
    <w:rsid w:val="005A3034"/>
    <w:rsid w:val="005A462D"/>
    <w:rsid w:val="005A6D95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12926"/>
    <w:rsid w:val="00613614"/>
    <w:rsid w:val="00624C4E"/>
    <w:rsid w:val="00625200"/>
    <w:rsid w:val="006314B6"/>
    <w:rsid w:val="00631864"/>
    <w:rsid w:val="006363A8"/>
    <w:rsid w:val="00636DB7"/>
    <w:rsid w:val="0064642E"/>
    <w:rsid w:val="00646F1F"/>
    <w:rsid w:val="00650905"/>
    <w:rsid w:val="006532ED"/>
    <w:rsid w:val="0065496B"/>
    <w:rsid w:val="006549F2"/>
    <w:rsid w:val="006567B7"/>
    <w:rsid w:val="00657BFB"/>
    <w:rsid w:val="0066333C"/>
    <w:rsid w:val="006639B4"/>
    <w:rsid w:val="006650FE"/>
    <w:rsid w:val="00670FA2"/>
    <w:rsid w:val="0067305D"/>
    <w:rsid w:val="00677D9B"/>
    <w:rsid w:val="006867F3"/>
    <w:rsid w:val="00687890"/>
    <w:rsid w:val="006901A2"/>
    <w:rsid w:val="00690368"/>
    <w:rsid w:val="0069079C"/>
    <w:rsid w:val="00690B53"/>
    <w:rsid w:val="00692CE1"/>
    <w:rsid w:val="00695B72"/>
    <w:rsid w:val="006A5117"/>
    <w:rsid w:val="006B160A"/>
    <w:rsid w:val="006B4E6C"/>
    <w:rsid w:val="006B50B6"/>
    <w:rsid w:val="006D79EA"/>
    <w:rsid w:val="006E5D05"/>
    <w:rsid w:val="006F11F2"/>
    <w:rsid w:val="006F7C4E"/>
    <w:rsid w:val="00701053"/>
    <w:rsid w:val="00701507"/>
    <w:rsid w:val="00705937"/>
    <w:rsid w:val="00714021"/>
    <w:rsid w:val="00715481"/>
    <w:rsid w:val="00716A0F"/>
    <w:rsid w:val="00717217"/>
    <w:rsid w:val="00717D45"/>
    <w:rsid w:val="007208F7"/>
    <w:rsid w:val="007218AF"/>
    <w:rsid w:val="0073339A"/>
    <w:rsid w:val="007365D1"/>
    <w:rsid w:val="00740E0E"/>
    <w:rsid w:val="007443B1"/>
    <w:rsid w:val="00745A01"/>
    <w:rsid w:val="00750212"/>
    <w:rsid w:val="007505F2"/>
    <w:rsid w:val="00754779"/>
    <w:rsid w:val="0075562A"/>
    <w:rsid w:val="0075716D"/>
    <w:rsid w:val="00757278"/>
    <w:rsid w:val="00765F14"/>
    <w:rsid w:val="00770E31"/>
    <w:rsid w:val="0077171B"/>
    <w:rsid w:val="007747A5"/>
    <w:rsid w:val="007770F1"/>
    <w:rsid w:val="00783FB1"/>
    <w:rsid w:val="00785CDD"/>
    <w:rsid w:val="00791847"/>
    <w:rsid w:val="007925F0"/>
    <w:rsid w:val="007939B3"/>
    <w:rsid w:val="0079509C"/>
    <w:rsid w:val="00796708"/>
    <w:rsid w:val="007A3236"/>
    <w:rsid w:val="007A40A7"/>
    <w:rsid w:val="007A57D8"/>
    <w:rsid w:val="007B1B42"/>
    <w:rsid w:val="007C30EB"/>
    <w:rsid w:val="007D1EDA"/>
    <w:rsid w:val="007E063C"/>
    <w:rsid w:val="007E2A4B"/>
    <w:rsid w:val="007E307D"/>
    <w:rsid w:val="007E6A4E"/>
    <w:rsid w:val="007E6C94"/>
    <w:rsid w:val="007E6DAD"/>
    <w:rsid w:val="007F1005"/>
    <w:rsid w:val="007F25E0"/>
    <w:rsid w:val="007F5328"/>
    <w:rsid w:val="008042EC"/>
    <w:rsid w:val="00804F5A"/>
    <w:rsid w:val="00810C6D"/>
    <w:rsid w:val="00812887"/>
    <w:rsid w:val="00817450"/>
    <w:rsid w:val="00824E5A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76A74"/>
    <w:rsid w:val="008815CC"/>
    <w:rsid w:val="0088798F"/>
    <w:rsid w:val="00887E4B"/>
    <w:rsid w:val="008915C8"/>
    <w:rsid w:val="008A36CF"/>
    <w:rsid w:val="008A3BC4"/>
    <w:rsid w:val="008A6181"/>
    <w:rsid w:val="008B403C"/>
    <w:rsid w:val="008B7676"/>
    <w:rsid w:val="008B7983"/>
    <w:rsid w:val="008C12F6"/>
    <w:rsid w:val="008C2511"/>
    <w:rsid w:val="008D026D"/>
    <w:rsid w:val="008D0A5F"/>
    <w:rsid w:val="008D23AB"/>
    <w:rsid w:val="008D4B8B"/>
    <w:rsid w:val="008D5A78"/>
    <w:rsid w:val="008E5751"/>
    <w:rsid w:val="008E7B64"/>
    <w:rsid w:val="008F5DCD"/>
    <w:rsid w:val="008F6C9F"/>
    <w:rsid w:val="00900951"/>
    <w:rsid w:val="00906776"/>
    <w:rsid w:val="009100C3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5972"/>
    <w:rsid w:val="00977524"/>
    <w:rsid w:val="00977E88"/>
    <w:rsid w:val="00982C6E"/>
    <w:rsid w:val="00984920"/>
    <w:rsid w:val="0099303A"/>
    <w:rsid w:val="009971C2"/>
    <w:rsid w:val="00997D02"/>
    <w:rsid w:val="00997DB7"/>
    <w:rsid w:val="009A1254"/>
    <w:rsid w:val="009A64B4"/>
    <w:rsid w:val="009B2FF2"/>
    <w:rsid w:val="009B380C"/>
    <w:rsid w:val="009B4843"/>
    <w:rsid w:val="009B488B"/>
    <w:rsid w:val="009B6543"/>
    <w:rsid w:val="009B66B6"/>
    <w:rsid w:val="009C0D54"/>
    <w:rsid w:val="009C199D"/>
    <w:rsid w:val="009C278F"/>
    <w:rsid w:val="009C2B94"/>
    <w:rsid w:val="009C5874"/>
    <w:rsid w:val="009C7092"/>
    <w:rsid w:val="009D3B5A"/>
    <w:rsid w:val="009D5439"/>
    <w:rsid w:val="009E0C05"/>
    <w:rsid w:val="009E0D1C"/>
    <w:rsid w:val="009E2214"/>
    <w:rsid w:val="009E355A"/>
    <w:rsid w:val="009E4582"/>
    <w:rsid w:val="009E63E2"/>
    <w:rsid w:val="009F04D2"/>
    <w:rsid w:val="009F05CF"/>
    <w:rsid w:val="009F0F3A"/>
    <w:rsid w:val="00A01D0C"/>
    <w:rsid w:val="00A0643F"/>
    <w:rsid w:val="00A067EE"/>
    <w:rsid w:val="00A079D0"/>
    <w:rsid w:val="00A10FCE"/>
    <w:rsid w:val="00A16D91"/>
    <w:rsid w:val="00A174CC"/>
    <w:rsid w:val="00A2073D"/>
    <w:rsid w:val="00A20751"/>
    <w:rsid w:val="00A27E2D"/>
    <w:rsid w:val="00A31D99"/>
    <w:rsid w:val="00A340BE"/>
    <w:rsid w:val="00A357BA"/>
    <w:rsid w:val="00A35ADC"/>
    <w:rsid w:val="00A402A3"/>
    <w:rsid w:val="00A46002"/>
    <w:rsid w:val="00A53681"/>
    <w:rsid w:val="00A633D4"/>
    <w:rsid w:val="00A6461A"/>
    <w:rsid w:val="00A84504"/>
    <w:rsid w:val="00A85716"/>
    <w:rsid w:val="00A8672F"/>
    <w:rsid w:val="00A93057"/>
    <w:rsid w:val="00A968B0"/>
    <w:rsid w:val="00AB2672"/>
    <w:rsid w:val="00AB2817"/>
    <w:rsid w:val="00AB43C4"/>
    <w:rsid w:val="00AC2F83"/>
    <w:rsid w:val="00AC32E7"/>
    <w:rsid w:val="00AC3A9F"/>
    <w:rsid w:val="00AC4FEB"/>
    <w:rsid w:val="00AC6D2F"/>
    <w:rsid w:val="00AE2745"/>
    <w:rsid w:val="00AE2F64"/>
    <w:rsid w:val="00AE547F"/>
    <w:rsid w:val="00AF42CB"/>
    <w:rsid w:val="00AF483F"/>
    <w:rsid w:val="00AF5E07"/>
    <w:rsid w:val="00AF5F06"/>
    <w:rsid w:val="00AF72C4"/>
    <w:rsid w:val="00B00A25"/>
    <w:rsid w:val="00B0302E"/>
    <w:rsid w:val="00B03447"/>
    <w:rsid w:val="00B112B2"/>
    <w:rsid w:val="00B13903"/>
    <w:rsid w:val="00B1422A"/>
    <w:rsid w:val="00B1765C"/>
    <w:rsid w:val="00B213C4"/>
    <w:rsid w:val="00B345F0"/>
    <w:rsid w:val="00B3713D"/>
    <w:rsid w:val="00B40C60"/>
    <w:rsid w:val="00B479A9"/>
    <w:rsid w:val="00B52EDF"/>
    <w:rsid w:val="00B702BE"/>
    <w:rsid w:val="00B71188"/>
    <w:rsid w:val="00B76A41"/>
    <w:rsid w:val="00B87D4C"/>
    <w:rsid w:val="00B93646"/>
    <w:rsid w:val="00B93764"/>
    <w:rsid w:val="00BA01CF"/>
    <w:rsid w:val="00BA028E"/>
    <w:rsid w:val="00BA0765"/>
    <w:rsid w:val="00BA0B38"/>
    <w:rsid w:val="00BA1DBB"/>
    <w:rsid w:val="00BA4510"/>
    <w:rsid w:val="00BA529A"/>
    <w:rsid w:val="00BB612A"/>
    <w:rsid w:val="00BD499F"/>
    <w:rsid w:val="00BD56DE"/>
    <w:rsid w:val="00BE6019"/>
    <w:rsid w:val="00BF2406"/>
    <w:rsid w:val="00BF4393"/>
    <w:rsid w:val="00C06E43"/>
    <w:rsid w:val="00C16315"/>
    <w:rsid w:val="00C3091E"/>
    <w:rsid w:val="00C3136C"/>
    <w:rsid w:val="00C3588A"/>
    <w:rsid w:val="00C3618F"/>
    <w:rsid w:val="00C405F0"/>
    <w:rsid w:val="00C40FF1"/>
    <w:rsid w:val="00C419E2"/>
    <w:rsid w:val="00C41C62"/>
    <w:rsid w:val="00C42811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0E53"/>
    <w:rsid w:val="00C978F0"/>
    <w:rsid w:val="00CA2D63"/>
    <w:rsid w:val="00CA58FE"/>
    <w:rsid w:val="00CB1CB1"/>
    <w:rsid w:val="00CB2612"/>
    <w:rsid w:val="00CB3BCF"/>
    <w:rsid w:val="00CB6BC1"/>
    <w:rsid w:val="00CB6CB8"/>
    <w:rsid w:val="00CC1A68"/>
    <w:rsid w:val="00CC2123"/>
    <w:rsid w:val="00CD2BFD"/>
    <w:rsid w:val="00CE5AD6"/>
    <w:rsid w:val="00CE617F"/>
    <w:rsid w:val="00CE78EF"/>
    <w:rsid w:val="00CF002C"/>
    <w:rsid w:val="00D048F7"/>
    <w:rsid w:val="00D0517E"/>
    <w:rsid w:val="00D135AD"/>
    <w:rsid w:val="00D140FC"/>
    <w:rsid w:val="00D21D8C"/>
    <w:rsid w:val="00D31357"/>
    <w:rsid w:val="00D33220"/>
    <w:rsid w:val="00D33277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011"/>
    <w:rsid w:val="00DA352E"/>
    <w:rsid w:val="00DB2C1B"/>
    <w:rsid w:val="00DC7694"/>
    <w:rsid w:val="00DD1BF6"/>
    <w:rsid w:val="00DD2F9B"/>
    <w:rsid w:val="00DE2513"/>
    <w:rsid w:val="00DE26E8"/>
    <w:rsid w:val="00DE78C1"/>
    <w:rsid w:val="00DF5A9F"/>
    <w:rsid w:val="00DF6F36"/>
    <w:rsid w:val="00E0084C"/>
    <w:rsid w:val="00E025AB"/>
    <w:rsid w:val="00E02B23"/>
    <w:rsid w:val="00E02BC6"/>
    <w:rsid w:val="00E06F40"/>
    <w:rsid w:val="00E07CE8"/>
    <w:rsid w:val="00E25026"/>
    <w:rsid w:val="00E25765"/>
    <w:rsid w:val="00E26545"/>
    <w:rsid w:val="00E26A07"/>
    <w:rsid w:val="00E32595"/>
    <w:rsid w:val="00E3328F"/>
    <w:rsid w:val="00E37CFD"/>
    <w:rsid w:val="00E41A26"/>
    <w:rsid w:val="00E46BCB"/>
    <w:rsid w:val="00E51CAF"/>
    <w:rsid w:val="00E60F04"/>
    <w:rsid w:val="00E62AAC"/>
    <w:rsid w:val="00E67C2F"/>
    <w:rsid w:val="00E67EF5"/>
    <w:rsid w:val="00E704CD"/>
    <w:rsid w:val="00E804EA"/>
    <w:rsid w:val="00E80A71"/>
    <w:rsid w:val="00E82337"/>
    <w:rsid w:val="00E87ABD"/>
    <w:rsid w:val="00E90870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E416E"/>
    <w:rsid w:val="00EF233A"/>
    <w:rsid w:val="00EF303E"/>
    <w:rsid w:val="00EF3A40"/>
    <w:rsid w:val="00EF7F78"/>
    <w:rsid w:val="00F01B08"/>
    <w:rsid w:val="00F01C4D"/>
    <w:rsid w:val="00F034A8"/>
    <w:rsid w:val="00F042A8"/>
    <w:rsid w:val="00F053FA"/>
    <w:rsid w:val="00F10C97"/>
    <w:rsid w:val="00F11C71"/>
    <w:rsid w:val="00F16019"/>
    <w:rsid w:val="00F20E68"/>
    <w:rsid w:val="00F22093"/>
    <w:rsid w:val="00F236DF"/>
    <w:rsid w:val="00F268F3"/>
    <w:rsid w:val="00F279DC"/>
    <w:rsid w:val="00F334C2"/>
    <w:rsid w:val="00F42F16"/>
    <w:rsid w:val="00F43AD5"/>
    <w:rsid w:val="00F4402E"/>
    <w:rsid w:val="00F56DD0"/>
    <w:rsid w:val="00F6491C"/>
    <w:rsid w:val="00F67BBB"/>
    <w:rsid w:val="00F73B29"/>
    <w:rsid w:val="00F87D92"/>
    <w:rsid w:val="00F90AA7"/>
    <w:rsid w:val="00F92498"/>
    <w:rsid w:val="00F9496B"/>
    <w:rsid w:val="00F970C9"/>
    <w:rsid w:val="00F978D6"/>
    <w:rsid w:val="00FA06A8"/>
    <w:rsid w:val="00FA3DF5"/>
    <w:rsid w:val="00FA6CF6"/>
    <w:rsid w:val="00FA741F"/>
    <w:rsid w:val="00FB4E07"/>
    <w:rsid w:val="00FB755A"/>
    <w:rsid w:val="00FC60A2"/>
    <w:rsid w:val="00FD1871"/>
    <w:rsid w:val="00FD3110"/>
    <w:rsid w:val="00FD5BDE"/>
    <w:rsid w:val="00FE7822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0"/>
    <o:shapelayout v:ext="edit">
      <o:idmap v:ext="edit" data="1"/>
    </o:shapelayout>
  </w:shapeDefaults>
  <w:decimalSymbol w:val="."/>
  <w:listSeparator w:val=","/>
  <w14:docId w14:val="07B1495C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E70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4C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4C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4CD"/>
    <w:rPr>
      <w:b/>
      <w:bCs/>
      <w:szCs w:val="20"/>
    </w:rPr>
  </w:style>
  <w:style w:type="paragraph" w:styleId="ListBullet">
    <w:name w:val="List Bullet"/>
    <w:basedOn w:val="Normal"/>
    <w:uiPriority w:val="99"/>
    <w:unhideWhenUsed/>
    <w:rsid w:val="009B66B6"/>
    <w:pPr>
      <w:numPr>
        <w:numId w:val="1"/>
      </w:numPr>
      <w:contextualSpacing/>
    </w:pPr>
  </w:style>
  <w:style w:type="paragraph" w:styleId="Revision">
    <w:name w:val="Revision"/>
    <w:hidden/>
    <w:uiPriority w:val="99"/>
    <w:semiHidden/>
    <w:rsid w:val="00DF5A9F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361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3618F"/>
    <w:rPr>
      <w:rFonts w:ascii="Courier New" w:eastAsia="Times New Roman" w:hAnsi="Courier New" w:cs="Courier New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cgih.org/tlv-bei-guidelines/policies-procedures-presentatio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72534266EB4D2CB47D866458CD7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93041-7ED8-4EBD-97DC-46B961F5ACA8}"/>
      </w:docPartPr>
      <w:docPartBody>
        <w:p w:rsidR="00A56178" w:rsidRDefault="007B57AF" w:rsidP="007B57AF">
          <w:pPr>
            <w:pStyle w:val="7972534266EB4D2CB47D866458CD7ACA"/>
          </w:pPr>
          <w:r>
            <w:rPr>
              <w:color w:val="00B050"/>
            </w:rPr>
            <w:t>tier </w:t>
          </w:r>
          <w:r w:rsidRPr="0071660C">
            <w:rPr>
              <w:color w:val="00B050"/>
            </w:rPr>
            <w:t>II</w:t>
          </w:r>
        </w:p>
      </w:docPartBody>
    </w:docPart>
    <w:docPart>
      <w:docPartPr>
        <w:name w:val="56866B09ABAA4237835D61C0097C8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269BE-3DCD-43E3-AF29-04BACA708D81}"/>
      </w:docPartPr>
      <w:docPartBody>
        <w:p w:rsidR="003173E2" w:rsidRDefault="00B65CB7" w:rsidP="00B65CB7">
          <w:pPr>
            <w:pStyle w:val="56866B09ABAA4237835D61C0097C86F3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1D47564DC4A24291863A4A8ADA948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F00D-AEA0-49FD-B983-E8C15502540C}"/>
      </w:docPartPr>
      <w:docPartBody>
        <w:p w:rsidR="0080297C" w:rsidRDefault="00CB2676" w:rsidP="00CB2676">
          <w:pPr>
            <w:pStyle w:val="1D47564DC4A24291863A4A8ADA948E28"/>
          </w:pPr>
          <w:r w:rsidRPr="00724F1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2102B0"/>
    <w:rsid w:val="003173E2"/>
    <w:rsid w:val="00655C34"/>
    <w:rsid w:val="007B57AF"/>
    <w:rsid w:val="0080297C"/>
    <w:rsid w:val="009D327F"/>
    <w:rsid w:val="00A56178"/>
    <w:rsid w:val="00B65CB7"/>
    <w:rsid w:val="00CB2676"/>
    <w:rsid w:val="00D21A9F"/>
    <w:rsid w:val="00EE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2676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9CA3680910B84463AF99EF4C2BB00212">
    <w:name w:val="9CA3680910B84463AF99EF4C2BB00212"/>
    <w:rsid w:val="00EE4142"/>
    <w:rPr>
      <w:lang w:val="en-US" w:eastAsia="en-US"/>
    </w:rPr>
  </w:style>
  <w:style w:type="paragraph" w:customStyle="1" w:styleId="AC4B0AB852934CE59738E90C3BC3095E">
    <w:name w:val="AC4B0AB852934CE59738E90C3BC3095E"/>
    <w:rsid w:val="00EE4142"/>
    <w:rPr>
      <w:lang w:val="en-US" w:eastAsia="en-US"/>
    </w:rPr>
  </w:style>
  <w:style w:type="paragraph" w:customStyle="1" w:styleId="3BD9C6F0DDF74B51985833FC9E0F414C">
    <w:name w:val="3BD9C6F0DDF74B51985833FC9E0F414C"/>
    <w:rsid w:val="00EE4142"/>
    <w:rPr>
      <w:lang w:val="en-US" w:eastAsia="en-US"/>
    </w:rPr>
  </w:style>
  <w:style w:type="paragraph" w:customStyle="1" w:styleId="34333EFA1B694F7D810C5B5F200779ED">
    <w:name w:val="34333EFA1B694F7D810C5B5F200779ED"/>
    <w:rsid w:val="00EE4142"/>
    <w:rPr>
      <w:lang w:val="en-US" w:eastAsia="en-US"/>
    </w:rPr>
  </w:style>
  <w:style w:type="paragraph" w:customStyle="1" w:styleId="6AB6DFD024E04679A5EAD01D4C29BF2C">
    <w:name w:val="6AB6DFD024E04679A5EAD01D4C29BF2C"/>
    <w:rsid w:val="00EE4142"/>
    <w:rPr>
      <w:lang w:val="en-US" w:eastAsia="en-US"/>
    </w:rPr>
  </w:style>
  <w:style w:type="paragraph" w:customStyle="1" w:styleId="1A10392A2B724585AA7F9E40149E7D7A">
    <w:name w:val="1A10392A2B724585AA7F9E40149E7D7A"/>
    <w:rsid w:val="00EE4142"/>
    <w:rPr>
      <w:lang w:val="en-US" w:eastAsia="en-US"/>
    </w:rPr>
  </w:style>
  <w:style w:type="paragraph" w:customStyle="1" w:styleId="FCBF7D6FF428461EA43552E3753B1525">
    <w:name w:val="FCBF7D6FF428461EA43552E3753B1525"/>
    <w:rsid w:val="00EE4142"/>
    <w:rPr>
      <w:lang w:val="en-US" w:eastAsia="en-US"/>
    </w:rPr>
  </w:style>
  <w:style w:type="paragraph" w:customStyle="1" w:styleId="347B4F5EEBE84D5CA162B0DD9693D147">
    <w:name w:val="347B4F5EEBE84D5CA162B0DD9693D147"/>
    <w:rsid w:val="00EE4142"/>
    <w:rPr>
      <w:lang w:val="en-US" w:eastAsia="en-US"/>
    </w:rPr>
  </w:style>
  <w:style w:type="paragraph" w:customStyle="1" w:styleId="5D277621D25B49BFB6D50834AC9A7398">
    <w:name w:val="5D277621D25B49BFB6D50834AC9A7398"/>
    <w:rsid w:val="00EE4142"/>
    <w:rPr>
      <w:lang w:val="en-US" w:eastAsia="en-US"/>
    </w:rPr>
  </w:style>
  <w:style w:type="paragraph" w:customStyle="1" w:styleId="7972534266EB4D2CB47D866458CD7ACA">
    <w:name w:val="7972534266EB4D2CB47D866458CD7ACA"/>
    <w:rsid w:val="007B57AF"/>
  </w:style>
  <w:style w:type="paragraph" w:customStyle="1" w:styleId="56866B09ABAA4237835D61C0097C86F3">
    <w:name w:val="56866B09ABAA4237835D61C0097C86F3"/>
    <w:rsid w:val="00B65CB7"/>
  </w:style>
  <w:style w:type="paragraph" w:customStyle="1" w:styleId="1D47564DC4A24291863A4A8ADA948E28">
    <w:name w:val="1D47564DC4A24291863A4A8ADA948E28"/>
    <w:rsid w:val="00CB26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D3B4-E5FF-44D0-A85D-1656AEB7AF7B}">
  <ds:schemaRefs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bf54d604-3e62-4e70-ba33-9e9084b96a66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9871D8-9D74-41DB-9324-BA2ABEB99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1B18D6-12CA-4B64-9371-2636F3BC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6FD4CA57.dotm</Template>
  <TotalTime>1264</TotalTime>
  <Pages>6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122</cp:revision>
  <cp:lastPrinted>2018-10-22T22:41:00Z</cp:lastPrinted>
  <dcterms:created xsi:type="dcterms:W3CDTF">2019-04-14T23:55:00Z</dcterms:created>
  <dcterms:modified xsi:type="dcterms:W3CDTF">2019-09-13T06:26:00Z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