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6DA2B759" w14:textId="77777777" w:rsidR="00BD499F" w:rsidRPr="004C23F4" w:rsidRDefault="00B212E3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2-</w:t>
          </w:r>
          <w:r w:rsidR="00EC676A">
            <w:rPr>
              <w:rFonts w:ascii="Arial" w:hAnsi="Arial" w:cs="Arial"/>
            </w:rPr>
            <w:t>B</w:t>
          </w:r>
          <w:r w:rsidR="004624EA">
            <w:rPr>
              <w:rFonts w:ascii="Arial" w:hAnsi="Arial" w:cs="Arial"/>
            </w:rPr>
            <w:t>utoxyethanol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3"/>
        <w:gridCol w:w="5043"/>
      </w:tblGrid>
      <w:tr w:rsidR="00F43AD5" w:rsidRPr="004C23F4" w14:paraId="76DC03BD" w14:textId="77777777" w:rsidTr="0091438D">
        <w:trPr>
          <w:cantSplit/>
          <w:tblHeader/>
        </w:trPr>
        <w:tc>
          <w:tcPr>
            <w:tcW w:w="3983" w:type="dxa"/>
          </w:tcPr>
          <w:p w14:paraId="1660C2DA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43" w:type="dxa"/>
          </w:tcPr>
          <w:p w14:paraId="191FDFDE" w14:textId="77777777" w:rsidR="00F43AD5" w:rsidRPr="00717D45" w:rsidRDefault="00B212E3" w:rsidP="00B76A41">
            <w:pPr>
              <w:pStyle w:val="Tablefont"/>
            </w:pPr>
            <w:r>
              <w:t>111-76-2</w:t>
            </w:r>
          </w:p>
        </w:tc>
      </w:tr>
      <w:tr w:rsidR="00F43AD5" w:rsidRPr="004C23F4" w14:paraId="7B550A7C" w14:textId="77777777" w:rsidTr="0091438D">
        <w:trPr>
          <w:cantSplit/>
        </w:trPr>
        <w:tc>
          <w:tcPr>
            <w:tcW w:w="3983" w:type="dxa"/>
          </w:tcPr>
          <w:p w14:paraId="71885D6C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43" w:type="dxa"/>
          </w:tcPr>
          <w:p w14:paraId="1774EA81" w14:textId="15D380EA" w:rsidR="00F43AD5" w:rsidRPr="00717D45" w:rsidRDefault="007D41BE" w:rsidP="00723BEC">
            <w:pPr>
              <w:pStyle w:val="Tablefont"/>
            </w:pPr>
            <w:r>
              <w:t>n-Butoxyethanol, butyl oxito</w:t>
            </w:r>
            <w:r w:rsidR="005B27F8">
              <w:t>l, glycol ether EB</w:t>
            </w:r>
            <w:r w:rsidR="009E6783">
              <w:t xml:space="preserve">, </w:t>
            </w:r>
            <w:r w:rsidR="004D3D36">
              <w:br/>
            </w:r>
            <w:r w:rsidR="009E6783">
              <w:t>butyl cellosolve, EGBE, ethanol, 2-butoxy</w:t>
            </w:r>
            <w:r w:rsidR="00FC0CAF">
              <w:t xml:space="preserve">, </w:t>
            </w:r>
            <w:r w:rsidR="000C023F">
              <w:br/>
            </w:r>
            <w:r w:rsidR="00FC0CAF">
              <w:t>ethylene glycol monobutyl ether</w:t>
            </w:r>
          </w:p>
        </w:tc>
      </w:tr>
      <w:tr w:rsidR="00F43AD5" w:rsidRPr="004C23F4" w14:paraId="4F3807B4" w14:textId="77777777" w:rsidTr="0091438D">
        <w:trPr>
          <w:cantSplit/>
        </w:trPr>
        <w:tc>
          <w:tcPr>
            <w:tcW w:w="3983" w:type="dxa"/>
          </w:tcPr>
          <w:p w14:paraId="08803D06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43" w:type="dxa"/>
          </w:tcPr>
          <w:p w14:paraId="3AB1B9F7" w14:textId="77777777" w:rsidR="00F43AD5" w:rsidRPr="00717D45" w:rsidRDefault="00C85C09" w:rsidP="00B76A41">
            <w:pPr>
              <w:pStyle w:val="Tablefont"/>
            </w:pPr>
            <w:r>
              <w:t>C</w:t>
            </w:r>
            <w:r w:rsidRPr="00C85C09">
              <w:rPr>
                <w:vertAlign w:val="subscript"/>
              </w:rPr>
              <w:t>6</w:t>
            </w:r>
            <w:r>
              <w:t>H</w:t>
            </w:r>
            <w:r w:rsidRPr="00C85C09">
              <w:rPr>
                <w:vertAlign w:val="subscript"/>
              </w:rPr>
              <w:t>14</w:t>
            </w:r>
            <w:r>
              <w:t>O</w:t>
            </w:r>
            <w:r w:rsidRPr="00C85C09">
              <w:rPr>
                <w:vertAlign w:val="subscript"/>
              </w:rPr>
              <w:t>2</w:t>
            </w:r>
          </w:p>
        </w:tc>
      </w:tr>
    </w:tbl>
    <w:p w14:paraId="66BA3963" w14:textId="4EFB98B1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E8062B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14:paraId="2AF0A351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113878E3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3E8261D9" w14:textId="77777777" w:rsidR="002C7AFE" w:rsidRPr="00EB3D1B" w:rsidRDefault="001A616C" w:rsidP="00017C82">
            <w:pPr>
              <w:pStyle w:val="Tablefont"/>
              <w:rPr>
                <w:b/>
              </w:rPr>
            </w:pPr>
            <w:r w:rsidRPr="001A616C">
              <w:rPr>
                <w:b/>
              </w:rPr>
              <w:t>10 ppm (49 mg/m</w:t>
            </w:r>
            <w:r w:rsidRPr="001A616C">
              <w:rPr>
                <w:b/>
                <w:vertAlign w:val="superscript"/>
              </w:rPr>
              <w:t>3</w:t>
            </w:r>
            <w:r w:rsidRPr="001A616C">
              <w:rPr>
                <w:b/>
              </w:rPr>
              <w:t>)</w:t>
            </w:r>
          </w:p>
        </w:tc>
      </w:tr>
      <w:tr w:rsidR="002C7AFE" w:rsidRPr="004C23F4" w14:paraId="55AA9AB7" w14:textId="77777777" w:rsidTr="00921DE7">
        <w:trPr>
          <w:cantSplit/>
        </w:trPr>
        <w:tc>
          <w:tcPr>
            <w:tcW w:w="4077" w:type="dxa"/>
            <w:vAlign w:val="center"/>
          </w:tcPr>
          <w:p w14:paraId="6CB619F6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210EF3C5" w14:textId="48526301" w:rsidR="002C7AFE" w:rsidRPr="00F54AF3" w:rsidRDefault="003809B4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4</w:t>
            </w:r>
            <w:r w:rsidR="00F54AF3">
              <w:rPr>
                <w:b/>
              </w:rPr>
              <w:t>0 ppm</w:t>
            </w:r>
            <w:r>
              <w:rPr>
                <w:b/>
              </w:rPr>
              <w:t xml:space="preserve"> (196</w:t>
            </w:r>
            <w:r w:rsidR="00F54AF3">
              <w:rPr>
                <w:b/>
              </w:rPr>
              <w:t xml:space="preserve"> mg/m</w:t>
            </w:r>
            <w:r w:rsidR="00F54AF3">
              <w:rPr>
                <w:b/>
                <w:vertAlign w:val="superscript"/>
              </w:rPr>
              <w:t>3</w:t>
            </w:r>
            <w:r w:rsidR="00F54AF3">
              <w:rPr>
                <w:b/>
              </w:rPr>
              <w:t>)</w:t>
            </w:r>
          </w:p>
        </w:tc>
      </w:tr>
      <w:tr w:rsidR="002C7AFE" w:rsidRPr="004C23F4" w14:paraId="59BADC00" w14:textId="77777777" w:rsidTr="00921DE7">
        <w:trPr>
          <w:cantSplit/>
        </w:trPr>
        <w:tc>
          <w:tcPr>
            <w:tcW w:w="4077" w:type="dxa"/>
            <w:vAlign w:val="center"/>
          </w:tcPr>
          <w:p w14:paraId="0CFE49A2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125B7597" w14:textId="77777777" w:rsidR="002C7AFE" w:rsidRPr="00EB3D1B" w:rsidRDefault="004E6DA7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0414B076" w14:textId="77777777" w:rsidTr="00A2073D">
        <w:trPr>
          <w:cantSplit/>
        </w:trPr>
        <w:tc>
          <w:tcPr>
            <w:tcW w:w="4077" w:type="dxa"/>
          </w:tcPr>
          <w:p w14:paraId="7096C40A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62EB9DE1" w14:textId="77777777" w:rsidR="002C7AFE" w:rsidRPr="00EB3D1B" w:rsidRDefault="0014513D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Sk.</w:t>
            </w:r>
          </w:p>
        </w:tc>
      </w:tr>
      <w:tr w:rsidR="002C7AFE" w:rsidRPr="004C23F4" w14:paraId="1E5F5BB3" w14:textId="77777777" w:rsidTr="00921DE7">
        <w:trPr>
          <w:cantSplit/>
        </w:trPr>
        <w:tc>
          <w:tcPr>
            <w:tcW w:w="4077" w:type="dxa"/>
            <w:vAlign w:val="center"/>
          </w:tcPr>
          <w:p w14:paraId="28C24BAD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40DDF727" w14:textId="77777777" w:rsidR="002C7AFE" w:rsidRPr="00EB3D1B" w:rsidRDefault="004377A6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700 ppm</w:t>
            </w:r>
          </w:p>
        </w:tc>
      </w:tr>
      <w:tr w:rsidR="009F04D2" w:rsidRPr="004C23F4" w14:paraId="71FD8DCC" w14:textId="77777777" w:rsidTr="00921DE7">
        <w:trPr>
          <w:cantSplit/>
        </w:trPr>
        <w:tc>
          <w:tcPr>
            <w:tcW w:w="4077" w:type="dxa"/>
            <w:vAlign w:val="center"/>
          </w:tcPr>
          <w:p w14:paraId="4B4DB546" w14:textId="77777777" w:rsidR="009F04D2" w:rsidRDefault="009F04D2" w:rsidP="005B27F8">
            <w:pPr>
              <w:pStyle w:val="Tablerowright"/>
              <w:jc w:val="left"/>
            </w:pPr>
            <w:r>
              <w:t>Sampling and analysis:</w:t>
            </w:r>
          </w:p>
        </w:tc>
        <w:tc>
          <w:tcPr>
            <w:tcW w:w="5165" w:type="dxa"/>
          </w:tcPr>
          <w:p w14:paraId="7F3010B3" w14:textId="071FC4DD" w:rsidR="009F04D2" w:rsidRPr="0091438D" w:rsidRDefault="0091438D" w:rsidP="00017C82">
            <w:pPr>
              <w:pStyle w:val="Tablefont"/>
            </w:pPr>
            <w:r w:rsidRPr="0091438D">
              <w:t>There is uncertainty regarding quantification of the recommended value with available sampling and/or analysis techniques.</w:t>
            </w:r>
          </w:p>
        </w:tc>
      </w:tr>
    </w:tbl>
    <w:p w14:paraId="2735C52B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4D9D86A" w14:textId="000C969B" w:rsidR="006639B4" w:rsidRDefault="005F4ED8" w:rsidP="000C139A">
      <w:pPr>
        <w:rPr>
          <w:rFonts w:cs="Arial"/>
        </w:rPr>
      </w:pPr>
      <w:r>
        <w:rPr>
          <w:rFonts w:cs="Arial"/>
        </w:rPr>
        <w:t xml:space="preserve">A </w:t>
      </w:r>
      <w:r w:rsidR="001A616C">
        <w:rPr>
          <w:rFonts w:cs="Arial"/>
        </w:rPr>
        <w:t xml:space="preserve">TWA of </w:t>
      </w:r>
      <w:r w:rsidR="001A616C" w:rsidRPr="001A616C">
        <w:rPr>
          <w:rFonts w:cs="Arial"/>
        </w:rPr>
        <w:t>10 ppm (49 mg/m</w:t>
      </w:r>
      <w:r w:rsidR="001A616C" w:rsidRPr="001A616C">
        <w:rPr>
          <w:rFonts w:cs="Arial"/>
          <w:vertAlign w:val="superscript"/>
        </w:rPr>
        <w:t>3</w:t>
      </w:r>
      <w:r w:rsidR="001A616C" w:rsidRPr="001A616C">
        <w:rPr>
          <w:rFonts w:cs="Arial"/>
        </w:rPr>
        <w:t>)</w:t>
      </w:r>
      <w:r w:rsidR="001A616C">
        <w:rPr>
          <w:rFonts w:cs="Arial"/>
        </w:rPr>
        <w:t xml:space="preserve"> </w:t>
      </w:r>
      <w:r w:rsidR="00F54AF3">
        <w:rPr>
          <w:rFonts w:cs="Arial"/>
        </w:rPr>
        <w:t>and a</w:t>
      </w:r>
      <w:r w:rsidR="001A616C">
        <w:rPr>
          <w:rFonts w:cs="Arial"/>
        </w:rPr>
        <w:t xml:space="preserve"> </w:t>
      </w:r>
      <w:r w:rsidR="00F54AF3">
        <w:rPr>
          <w:rFonts w:cs="Arial"/>
        </w:rPr>
        <w:t xml:space="preserve">STEL of </w:t>
      </w:r>
      <w:r w:rsidR="003809B4">
        <w:rPr>
          <w:rFonts w:cs="Arial"/>
        </w:rPr>
        <w:t>40 ppm (196</w:t>
      </w:r>
      <w:r w:rsidR="00F54AF3">
        <w:rPr>
          <w:rFonts w:cs="Arial"/>
        </w:rPr>
        <w:t xml:space="preserve"> mg/m</w:t>
      </w:r>
      <w:r w:rsidR="00F54AF3">
        <w:rPr>
          <w:rFonts w:cs="Arial"/>
          <w:vertAlign w:val="superscript"/>
        </w:rPr>
        <w:t>3</w:t>
      </w:r>
      <w:r w:rsidR="00F54AF3">
        <w:rPr>
          <w:rFonts w:cs="Arial"/>
        </w:rPr>
        <w:t xml:space="preserve">) are </w:t>
      </w:r>
      <w:r w:rsidR="001A616C">
        <w:rPr>
          <w:rFonts w:cs="Arial"/>
        </w:rPr>
        <w:t xml:space="preserve">recommend to protect for irritation </w:t>
      </w:r>
      <w:r w:rsidR="000C023F">
        <w:rPr>
          <w:rFonts w:cs="Arial"/>
        </w:rPr>
        <w:t xml:space="preserve">of the eyes and nose </w:t>
      </w:r>
      <w:r w:rsidR="001A616C">
        <w:rPr>
          <w:rFonts w:cs="Arial"/>
        </w:rPr>
        <w:t>in exposed workers.</w:t>
      </w:r>
      <w:r w:rsidR="00F76100">
        <w:rPr>
          <w:rFonts w:cs="Arial"/>
        </w:rPr>
        <w:t xml:space="preserve"> The STEL is also considered to protect for reported neurological effects (nausea and headaches) at concentrations that cause irritation.</w:t>
      </w:r>
    </w:p>
    <w:p w14:paraId="44503386" w14:textId="77777777" w:rsidR="00C7155E" w:rsidRPr="004C23F4" w:rsidRDefault="00F10C97" w:rsidP="003365A5">
      <w:pPr>
        <w:pStyle w:val="Heading2"/>
      </w:pPr>
      <w:r>
        <w:t>Discussion and conclusions</w:t>
      </w:r>
    </w:p>
    <w:p w14:paraId="34D13E01" w14:textId="64C0AA7A" w:rsidR="008F2C6D" w:rsidRDefault="001A616C" w:rsidP="00A620DA">
      <w:r>
        <w:t>2-Butoxyethanol is u</w:t>
      </w:r>
      <w:r w:rsidR="004B3233">
        <w:t xml:space="preserve">sed in various hard-surface cleaning products, cosmetic products and hair dyes and colours. </w:t>
      </w:r>
      <w:r>
        <w:t>It is also used</w:t>
      </w:r>
      <w:r w:rsidR="004B3233">
        <w:t xml:space="preserve"> as a solvent in water </w:t>
      </w:r>
      <w:r w:rsidR="003C719A">
        <w:t>and</w:t>
      </w:r>
      <w:r w:rsidR="004B3233">
        <w:t xml:space="preserve"> organic solvent-based coatings</w:t>
      </w:r>
      <w:r>
        <w:t>.</w:t>
      </w:r>
      <w:r w:rsidR="00EC676A">
        <w:t xml:space="preserve"> </w:t>
      </w:r>
    </w:p>
    <w:p w14:paraId="7EF51344" w14:textId="6D53E7A8" w:rsidR="004D3D36" w:rsidRDefault="004B3233" w:rsidP="006639B4">
      <w:r>
        <w:t xml:space="preserve">Rodents </w:t>
      </w:r>
      <w:r w:rsidR="006A3678">
        <w:t xml:space="preserve">are </w:t>
      </w:r>
      <w:r>
        <w:t>considered the sensitive species with red blood cell haemolysis and related systemic toxi</w:t>
      </w:r>
      <w:r w:rsidR="001A616C">
        <w:t xml:space="preserve">city </w:t>
      </w:r>
      <w:r w:rsidR="004D3D36">
        <w:t>reported</w:t>
      </w:r>
      <w:r w:rsidR="001A616C">
        <w:t xml:space="preserve"> as </w:t>
      </w:r>
      <w:r w:rsidR="006744AD">
        <w:t xml:space="preserve">the </w:t>
      </w:r>
      <w:r w:rsidR="001A616C">
        <w:t>critical effects.</w:t>
      </w:r>
      <w:r w:rsidR="001A616C" w:rsidRPr="001A616C">
        <w:t xml:space="preserve"> </w:t>
      </w:r>
      <w:r w:rsidR="00425E09">
        <w:t>S</w:t>
      </w:r>
      <w:r w:rsidR="001A616C" w:rsidRPr="001A616C">
        <w:t xml:space="preserve">tudies indicate that human </w:t>
      </w:r>
      <w:r w:rsidR="001A616C">
        <w:t>red blood cells are</w:t>
      </w:r>
      <w:r w:rsidR="001A616C" w:rsidRPr="001A616C">
        <w:t xml:space="preserve"> less susceptible to haemoly</w:t>
      </w:r>
      <w:r w:rsidR="00F63D69">
        <w:t>tic</w:t>
      </w:r>
      <w:r w:rsidR="001A616C" w:rsidRPr="001A616C">
        <w:t xml:space="preserve"> </w:t>
      </w:r>
      <w:r w:rsidR="006744AD">
        <w:t xml:space="preserve">effects </w:t>
      </w:r>
      <w:r w:rsidR="001A616C" w:rsidRPr="001A616C">
        <w:t xml:space="preserve">than </w:t>
      </w:r>
      <w:r w:rsidR="006744AD">
        <w:t>in sensitive animal species</w:t>
      </w:r>
      <w:r w:rsidR="00425E09">
        <w:t xml:space="preserve">. However, </w:t>
      </w:r>
      <w:r w:rsidR="004752C0">
        <w:t>i</w:t>
      </w:r>
      <w:r>
        <w:t>rrita</w:t>
      </w:r>
      <w:r w:rsidR="008D1D7F">
        <w:t>n</w:t>
      </w:r>
      <w:r>
        <w:t>t</w:t>
      </w:r>
      <w:r w:rsidR="008D1D7F">
        <w:t xml:space="preserve"> </w:t>
      </w:r>
      <w:r>
        <w:t xml:space="preserve">effects </w:t>
      </w:r>
      <w:r w:rsidR="00586DCD">
        <w:t xml:space="preserve">are </w:t>
      </w:r>
      <w:r>
        <w:t>consider</w:t>
      </w:r>
      <w:r w:rsidR="008D1D7F">
        <w:t>ed</w:t>
      </w:r>
      <w:r>
        <w:t xml:space="preserve"> more relevant in humans</w:t>
      </w:r>
      <w:r w:rsidR="006A3678">
        <w:t xml:space="preserve"> (ACGIH, 2018; DFG 2010, SCOEL, 1996)</w:t>
      </w:r>
      <w:r w:rsidR="00FC3F89">
        <w:t>.</w:t>
      </w:r>
      <w:r w:rsidR="0091438D">
        <w:t xml:space="preserve"> </w:t>
      </w:r>
      <w:r w:rsidR="00FC3F89" w:rsidRPr="00FC3F89">
        <w:t xml:space="preserve">No clinical signs of adverse effects </w:t>
      </w:r>
      <w:r w:rsidR="0091438D">
        <w:t xml:space="preserve">or </w:t>
      </w:r>
      <w:r w:rsidR="00FC3F89" w:rsidRPr="00FC3F89">
        <w:t xml:space="preserve">complaints </w:t>
      </w:r>
      <w:r w:rsidR="00FC3F89">
        <w:t xml:space="preserve">were reported </w:t>
      </w:r>
      <w:r w:rsidR="008F2C6D">
        <w:t xml:space="preserve">after </w:t>
      </w:r>
      <w:r w:rsidR="00D2279D">
        <w:t>seven</w:t>
      </w:r>
      <w:r w:rsidR="00D2279D" w:rsidRPr="00FC3F89">
        <w:t xml:space="preserve"> </w:t>
      </w:r>
      <w:r w:rsidR="0070659E">
        <w:t>men</w:t>
      </w:r>
      <w:r w:rsidR="00FC3F89" w:rsidRPr="00FC3F89">
        <w:t xml:space="preserve"> </w:t>
      </w:r>
      <w:r w:rsidR="0091438D">
        <w:t xml:space="preserve">were </w:t>
      </w:r>
      <w:r w:rsidR="00FC3F89" w:rsidRPr="00FC3F89">
        <w:t>exposed to 20</w:t>
      </w:r>
      <w:r w:rsidR="0091438D">
        <w:t> </w:t>
      </w:r>
      <w:r w:rsidR="00FC3F89" w:rsidRPr="00FC3F89">
        <w:t xml:space="preserve">ppm for </w:t>
      </w:r>
      <w:r w:rsidR="00A6519E">
        <w:t>two</w:t>
      </w:r>
      <w:r w:rsidR="00FC3F89" w:rsidRPr="00FC3F89">
        <w:t xml:space="preserve"> hour</w:t>
      </w:r>
      <w:r w:rsidR="00EC676A">
        <w:t>s</w:t>
      </w:r>
      <w:r w:rsidR="00FC3F89" w:rsidRPr="00FC3F89">
        <w:t xml:space="preserve"> during light exercise</w:t>
      </w:r>
      <w:r w:rsidR="006942A4">
        <w:t>.</w:t>
      </w:r>
      <w:r w:rsidR="00FC3F89">
        <w:t xml:space="preserve"> </w:t>
      </w:r>
      <w:r w:rsidR="00BF001A">
        <w:t>Eigh</w:t>
      </w:r>
      <w:r w:rsidR="0091438D">
        <w:t xml:space="preserve">t </w:t>
      </w:r>
      <w:r w:rsidR="00BF001A">
        <w:t xml:space="preserve">hour exposure of 100 or 200 ppm in human volunteers caused </w:t>
      </w:r>
      <w:r w:rsidR="006942A4">
        <w:t xml:space="preserve">immediate and continued eye and nose irritation </w:t>
      </w:r>
      <w:r w:rsidR="00FC3F89">
        <w:t xml:space="preserve">(ACGIH, 2018). </w:t>
      </w:r>
    </w:p>
    <w:p w14:paraId="01B7571D" w14:textId="3A7A93B0" w:rsidR="006639B4" w:rsidRPr="004C23F4" w:rsidRDefault="00870BD6" w:rsidP="006639B4">
      <w:pPr>
        <w:rPr>
          <w:rFonts w:cs="Arial"/>
        </w:rPr>
      </w:pPr>
      <w:r>
        <w:t>The selected TWA is based on a</w:t>
      </w:r>
      <w:r w:rsidR="00FC3F89">
        <w:t xml:space="preserve"> </w:t>
      </w:r>
      <w:r w:rsidR="0091438D">
        <w:t xml:space="preserve">two </w:t>
      </w:r>
      <w:r w:rsidR="003D47DD">
        <w:t>year</w:t>
      </w:r>
      <w:r w:rsidR="00FC3F89">
        <w:t xml:space="preserve"> </w:t>
      </w:r>
      <w:r w:rsidR="008D1D7F">
        <w:t xml:space="preserve">rat </w:t>
      </w:r>
      <w:r w:rsidR="00FC3F89">
        <w:t xml:space="preserve">inhalation study </w:t>
      </w:r>
      <w:r w:rsidR="007E0D13">
        <w:t>in which a</w:t>
      </w:r>
      <w:r w:rsidR="00FC3F89">
        <w:t xml:space="preserve"> LOAEC of 31.2 mg/m</w:t>
      </w:r>
      <w:r w:rsidR="00FC3F89" w:rsidRPr="00FC3F89">
        <w:rPr>
          <w:vertAlign w:val="superscript"/>
        </w:rPr>
        <w:t>3</w:t>
      </w:r>
      <w:r w:rsidR="00FC3F89">
        <w:t xml:space="preserve"> (6.5</w:t>
      </w:r>
      <w:r w:rsidR="0056762D">
        <w:t> </w:t>
      </w:r>
      <w:r w:rsidR="00FC3F89">
        <w:t>ppm)</w:t>
      </w:r>
      <w:r w:rsidR="007E0D13">
        <w:t xml:space="preserve"> was reported</w:t>
      </w:r>
      <w:r w:rsidR="00FC3F89">
        <w:t xml:space="preserve"> for increase</w:t>
      </w:r>
      <w:r w:rsidR="008D1D7F">
        <w:t>d</w:t>
      </w:r>
      <w:r w:rsidR="00FC3F89">
        <w:t xml:space="preserve"> incidence</w:t>
      </w:r>
      <w:r w:rsidR="008D1D7F">
        <w:t>s</w:t>
      </w:r>
      <w:r w:rsidR="00FC3F89">
        <w:t xml:space="preserve"> of irritation of </w:t>
      </w:r>
      <w:r w:rsidR="0091196F">
        <w:t xml:space="preserve">the </w:t>
      </w:r>
      <w:r w:rsidR="00FC3F89">
        <w:t>nose</w:t>
      </w:r>
      <w:r w:rsidR="008D1D7F" w:rsidRPr="008D1D7F">
        <w:t xml:space="preserve"> </w:t>
      </w:r>
      <w:r>
        <w:t>(DFG, 2010)</w:t>
      </w:r>
      <w:r w:rsidR="00BA6112">
        <w:t>. The</w:t>
      </w:r>
      <w:r w:rsidR="008D1D7F">
        <w:t xml:space="preserve"> </w:t>
      </w:r>
      <w:r w:rsidR="00BA6112">
        <w:t xml:space="preserve">effect was </w:t>
      </w:r>
      <w:r w:rsidR="00FC3F89">
        <w:t xml:space="preserve">concentration dependent </w:t>
      </w:r>
      <w:r w:rsidR="00BA6112">
        <w:t xml:space="preserve">and statistically </w:t>
      </w:r>
      <w:r w:rsidR="00FC3F89">
        <w:t>significant at 13 p</w:t>
      </w:r>
      <w:r w:rsidR="001C4BDF">
        <w:t>pm</w:t>
      </w:r>
      <w:r w:rsidR="007E0D13">
        <w:t xml:space="preserve"> </w:t>
      </w:r>
      <w:r w:rsidR="000C023F">
        <w:t>and above</w:t>
      </w:r>
      <w:r w:rsidR="005B27F8">
        <w:t>.</w:t>
      </w:r>
      <w:r w:rsidR="00DD6839">
        <w:t xml:space="preserve"> </w:t>
      </w:r>
      <w:r w:rsidR="007E0D13">
        <w:t>Because</w:t>
      </w:r>
      <w:r w:rsidR="001C4BDF">
        <w:t xml:space="preserve"> rats breathe only through the nose, the</w:t>
      </w:r>
      <w:r w:rsidR="00A620DA">
        <w:t xml:space="preserve"> </w:t>
      </w:r>
      <w:r w:rsidR="007E0D13">
        <w:t>irritant effects</w:t>
      </w:r>
      <w:r w:rsidR="008F2C6D">
        <w:t xml:space="preserve"> </w:t>
      </w:r>
      <w:r w:rsidR="00A620DA">
        <w:t xml:space="preserve">were </w:t>
      </w:r>
      <w:r w:rsidR="00B93D23">
        <w:t xml:space="preserve">considered as </w:t>
      </w:r>
      <w:r w:rsidR="00A620DA">
        <w:t xml:space="preserve">an </w:t>
      </w:r>
      <w:r w:rsidR="00FC3F89">
        <w:t>incr</w:t>
      </w:r>
      <w:r w:rsidR="00A620DA">
        <w:t xml:space="preserve">ease in incidence </w:t>
      </w:r>
      <w:r w:rsidR="007E0D13">
        <w:t>with no increase</w:t>
      </w:r>
      <w:r w:rsidR="005A2763">
        <w:t xml:space="preserve"> </w:t>
      </w:r>
      <w:r w:rsidR="007E0D13">
        <w:t xml:space="preserve">in the </w:t>
      </w:r>
      <w:r w:rsidR="00A620DA">
        <w:t>severity</w:t>
      </w:r>
      <w:r w:rsidR="001C4BDF">
        <w:t>; consequently</w:t>
      </w:r>
      <w:r w:rsidR="007E0D13">
        <w:t xml:space="preserve"> </w:t>
      </w:r>
      <w:r w:rsidR="00143273">
        <w:t xml:space="preserve">irritant effects of same sensitivity are </w:t>
      </w:r>
      <w:r w:rsidR="007E0D13">
        <w:t>unlikely to happen in humans</w:t>
      </w:r>
      <w:r w:rsidR="00143273">
        <w:t xml:space="preserve"> (DFG, 2010)</w:t>
      </w:r>
      <w:r w:rsidR="005A2763">
        <w:t xml:space="preserve">. </w:t>
      </w:r>
      <w:r w:rsidR="007E0D13">
        <w:t xml:space="preserve">Therefore, </w:t>
      </w:r>
      <w:r w:rsidR="005C6192">
        <w:t xml:space="preserve">a </w:t>
      </w:r>
      <w:r w:rsidR="00673606">
        <w:t>TWA of 10 ppm</w:t>
      </w:r>
      <w:r w:rsidR="004752C0">
        <w:t xml:space="preserve"> is </w:t>
      </w:r>
      <w:r w:rsidR="00B649DE">
        <w:t>considered</w:t>
      </w:r>
      <w:r w:rsidR="00A620DA">
        <w:t xml:space="preserve"> protect</w:t>
      </w:r>
      <w:r w:rsidR="00B649DE">
        <w:t>ive</w:t>
      </w:r>
      <w:r w:rsidR="00A620DA">
        <w:t xml:space="preserve"> for irritant effects in</w:t>
      </w:r>
      <w:r w:rsidR="00B649DE">
        <w:t xml:space="preserve"> exposed workers</w:t>
      </w:r>
      <w:r w:rsidR="00A620DA">
        <w:t xml:space="preserve">. </w:t>
      </w:r>
      <w:r w:rsidR="00BA6112">
        <w:t xml:space="preserve">A </w:t>
      </w:r>
      <w:r w:rsidR="00F76100">
        <w:t>STEL of 40 ppm is recommended as the irritation reported at 100 ppm is immediate and accompanied by neurological effects including nausea and headache</w:t>
      </w:r>
      <w:r w:rsidR="00BA6112">
        <w:t xml:space="preserve"> based on the weight of evidence</w:t>
      </w:r>
      <w:r w:rsidR="00F76100">
        <w:t>.</w:t>
      </w:r>
    </w:p>
    <w:p w14:paraId="7195994C" w14:textId="77777777" w:rsidR="004529F0" w:rsidRPr="004C23F4" w:rsidRDefault="004529F0" w:rsidP="004529F0">
      <w:pPr>
        <w:pStyle w:val="Heading2"/>
      </w:pPr>
      <w:r>
        <w:lastRenderedPageBreak/>
        <w:t>Recommendation for notations</w:t>
      </w:r>
    </w:p>
    <w:p w14:paraId="1326E76F" w14:textId="77777777" w:rsidR="0036008F" w:rsidRPr="00E8062B" w:rsidRDefault="0036008F" w:rsidP="0036008F">
      <w:pPr>
        <w:rPr>
          <w:rFonts w:cs="Arial"/>
          <w:szCs w:val="20"/>
        </w:rPr>
      </w:pPr>
      <w:r w:rsidRPr="00E8062B">
        <w:t>Not classified as a carcinogen ac</w:t>
      </w:r>
      <w:r w:rsidR="005B27F8">
        <w:t>cording to the Globally Harmoniz</w:t>
      </w:r>
      <w:r w:rsidRPr="00E8062B">
        <w:t xml:space="preserve">ed System of Classification and Labelling on Chemicals (GHS). </w:t>
      </w:r>
    </w:p>
    <w:p w14:paraId="56894A3D" w14:textId="0D2DD413" w:rsidR="0036008F" w:rsidRPr="00E8062B" w:rsidRDefault="0036008F" w:rsidP="0036008F">
      <w:pPr>
        <w:rPr>
          <w:rFonts w:ascii="Calibri" w:hAnsi="Calibri" w:cs="Calibri"/>
          <w:sz w:val="22"/>
        </w:rPr>
      </w:pPr>
      <w:r w:rsidRPr="00E8062B">
        <w:t>Not classified as a skin</w:t>
      </w:r>
      <w:r w:rsidR="000405A9">
        <w:t xml:space="preserve"> sensitiser</w:t>
      </w:r>
      <w:r w:rsidRPr="00E8062B">
        <w:t xml:space="preserve"> or respiratory sensitiser according to the GHS.</w:t>
      </w:r>
    </w:p>
    <w:p w14:paraId="6BF1F9D9" w14:textId="77777777" w:rsidR="005E6979" w:rsidRPr="004C23F4" w:rsidRDefault="00E8062B">
      <w:pPr>
        <w:rPr>
          <w:rFonts w:cs="Arial"/>
        </w:rPr>
        <w:sectPr w:rsidR="005E6979" w:rsidRPr="004C23F4" w:rsidSect="00422AC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titlePg/>
          <w:docGrid w:linePitch="360"/>
        </w:sectPr>
      </w:pPr>
      <w:r>
        <w:t>A skin notation is re</w:t>
      </w:r>
      <w:r w:rsidR="005B27F8">
        <w:t xml:space="preserve">commended based on animal data </w:t>
      </w:r>
      <w:r>
        <w:t>and the potential contribution to systemic effects in exposed workers.</w:t>
      </w:r>
    </w:p>
    <w:p w14:paraId="3D0AE50E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6602213A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6EF4D6E4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7AC1916C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020C94DA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1E4D001" w14:textId="0330F913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6E656D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6E656D">
                  <w:t>TWA: 20 ppm (96.9 mg/m</w:t>
                </w:r>
                <w:r w:rsidR="006E656D" w:rsidRPr="006E656D">
                  <w:rPr>
                    <w:vertAlign w:val="superscript"/>
                  </w:rPr>
                  <w:t>3</w:t>
                </w:r>
                <w:r w:rsidR="006E656D">
                  <w:t>); STEL: 50 ppm (242 mg/m</w:t>
                </w:r>
                <w:r w:rsidR="006E656D" w:rsidRPr="006E656D">
                  <w:rPr>
                    <w:vertAlign w:val="superscript"/>
                  </w:rPr>
                  <w:t>3</w:t>
                </w:r>
                <w:r w:rsidR="006E656D">
                  <w:t>)</w:t>
                </w:r>
              </w:sdtContent>
            </w:sdt>
          </w:p>
        </w:tc>
      </w:tr>
      <w:tr w:rsidR="00C978F0" w:rsidRPr="00DA352E" w14:paraId="0801CEE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7B7248C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79819653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86C3031" w14:textId="68EC3C51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4703B2">
                  <w:t>2003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4703B2">
                  <w:t>TLV-TWA: 20 ppm (97 mg/m</w:t>
                </w:r>
                <w:r w:rsidR="004703B2" w:rsidRPr="004703B2">
                  <w:rPr>
                    <w:vertAlign w:val="superscript"/>
                  </w:rPr>
                  <w:t>3</w:t>
                </w:r>
                <w:r w:rsidR="004703B2">
                  <w:t>)</w:t>
                </w:r>
              </w:sdtContent>
            </w:sdt>
          </w:p>
        </w:tc>
      </w:tr>
      <w:tr w:rsidR="00C978F0" w:rsidRPr="00DA352E" w14:paraId="428377D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B70D5C6" w14:textId="77777777" w:rsidR="00C978F0" w:rsidRDefault="006C1003" w:rsidP="003365A5">
            <w:pPr>
              <w:pStyle w:val="Tabletextprimarysource"/>
            </w:pPr>
            <w:r>
              <w:t>TLV-TWA</w:t>
            </w:r>
            <w:r w:rsidR="00F37A1F">
              <w:t xml:space="preserve"> recommended to minimise the potential for irritant effects in exposed workers</w:t>
            </w:r>
            <w:r w:rsidR="005B27F8">
              <w:t>.</w:t>
            </w:r>
          </w:p>
          <w:p w14:paraId="32C6153A" w14:textId="77777777" w:rsidR="00555287" w:rsidRDefault="00555287" w:rsidP="003365A5">
            <w:pPr>
              <w:pStyle w:val="Tabletextprimarysource"/>
            </w:pPr>
            <w:r>
              <w:t>Summary of data:</w:t>
            </w:r>
          </w:p>
          <w:p w14:paraId="74291521" w14:textId="197C1B23" w:rsidR="008D7CC7" w:rsidRDefault="008D7CC7" w:rsidP="00555287">
            <w:pPr>
              <w:pStyle w:val="Tabletextprimarysource"/>
            </w:pPr>
            <w:r>
              <w:t xml:space="preserve">Rodents considered sensitive species with </w:t>
            </w:r>
            <w:r w:rsidR="000C023F">
              <w:t>RBC</w:t>
            </w:r>
            <w:r>
              <w:t xml:space="preserve"> haemolysis and related systemic toxicity </w:t>
            </w:r>
            <w:r w:rsidR="000C023F">
              <w:t>considered</w:t>
            </w:r>
            <w:r>
              <w:t xml:space="preserve"> critical effects</w:t>
            </w:r>
            <w:r w:rsidR="000C023F">
              <w:t>. H</w:t>
            </w:r>
            <w:r>
              <w:t xml:space="preserve">uman </w:t>
            </w:r>
            <w:r w:rsidR="00CB5A58">
              <w:t>RBC</w:t>
            </w:r>
            <w:r>
              <w:t xml:space="preserve"> </w:t>
            </w:r>
            <w:r w:rsidR="00BA6112">
              <w:t xml:space="preserve">are </w:t>
            </w:r>
            <w:r>
              <w:t xml:space="preserve">less susceptible as demonstrated in </w:t>
            </w:r>
            <w:r>
              <w:rPr>
                <w:i/>
              </w:rPr>
              <w:t xml:space="preserve">in vivo </w:t>
            </w:r>
            <w:r>
              <w:t xml:space="preserve">and </w:t>
            </w:r>
            <w:r>
              <w:rPr>
                <w:i/>
              </w:rPr>
              <w:t>in vitro</w:t>
            </w:r>
            <w:r>
              <w:t xml:space="preserve"> studies validated by PB-PK modelling of data</w:t>
            </w:r>
            <w:r w:rsidR="000C023F">
              <w:t>.</w:t>
            </w:r>
            <w:r>
              <w:t xml:space="preserve"> </w:t>
            </w:r>
            <w:r w:rsidR="000C023F">
              <w:t>I</w:t>
            </w:r>
            <w:r>
              <w:t>rritation effects consider</w:t>
            </w:r>
            <w:r w:rsidR="00EC676A">
              <w:t>ed</w:t>
            </w:r>
            <w:r>
              <w:t xml:space="preserve"> more relevant in humans</w:t>
            </w:r>
            <w:r w:rsidR="00EC676A">
              <w:t>.</w:t>
            </w:r>
          </w:p>
          <w:p w14:paraId="671C82A1" w14:textId="77777777" w:rsidR="00F37A1F" w:rsidRDefault="00F37A1F" w:rsidP="00555287">
            <w:pPr>
              <w:pStyle w:val="Tabletextprimarysource"/>
            </w:pPr>
            <w:r>
              <w:t>Human data:</w:t>
            </w:r>
          </w:p>
          <w:p w14:paraId="4BCC4D34" w14:textId="62445558" w:rsidR="003A675D" w:rsidRDefault="003A675D" w:rsidP="003A675D">
            <w:pPr>
              <w:pStyle w:val="ListBullet"/>
              <w:ind w:left="720"/>
            </w:pPr>
            <w:r>
              <w:t xml:space="preserve">2-butoxyacetic acid identified </w:t>
            </w:r>
            <w:r w:rsidR="005C6192">
              <w:t xml:space="preserve">as </w:t>
            </w:r>
            <w:r>
              <w:t>a significant urinary metabolite (produces effects in RBC of rats and other sensitive species)</w:t>
            </w:r>
          </w:p>
          <w:p w14:paraId="77BAA140" w14:textId="24C72DD6" w:rsidR="003A675D" w:rsidRDefault="003A675D" w:rsidP="003A675D">
            <w:pPr>
              <w:pStyle w:val="ListBullet"/>
              <w:ind w:left="720"/>
            </w:pPr>
            <w:r>
              <w:t>Studies indicated human RBC much less susceptible to 2-butoxyacetic acid-induced haemolysis than RBC from sensitive animal species (rats, mice, hamsters, rabbits and baboons)</w:t>
            </w:r>
          </w:p>
          <w:p w14:paraId="34827D42" w14:textId="33659F18" w:rsidR="000C023F" w:rsidRDefault="007A0A3E" w:rsidP="00D9769B">
            <w:pPr>
              <w:pStyle w:val="ListBullet"/>
              <w:ind w:left="720"/>
            </w:pPr>
            <w:r>
              <w:t>Volunteers exposed</w:t>
            </w:r>
            <w:r w:rsidR="005B27F8">
              <w:t xml:space="preserve"> for 8 h</w:t>
            </w:r>
            <w:r>
              <w:t xml:space="preserve"> at 100 or 200 ppm </w:t>
            </w:r>
            <w:r w:rsidR="007815EC">
              <w:t xml:space="preserve">reported </w:t>
            </w:r>
            <w:r>
              <w:t>immediate and con</w:t>
            </w:r>
            <w:r w:rsidR="007815EC">
              <w:t>tinued eye and nose irritation</w:t>
            </w:r>
            <w:r w:rsidR="00713929">
              <w:t>:</w:t>
            </w:r>
          </w:p>
          <w:p w14:paraId="6DCED187" w14:textId="1CBEE70D" w:rsidR="000C023F" w:rsidRDefault="00CB5A58" w:rsidP="00A74887">
            <w:pPr>
              <w:pStyle w:val="ListBullet"/>
              <w:numPr>
                <w:ilvl w:val="0"/>
                <w:numId w:val="6"/>
              </w:numPr>
            </w:pPr>
            <w:r>
              <w:t>no evidence of systemic toxicity even though urinary excretion of metabolic noted</w:t>
            </w:r>
          </w:p>
          <w:p w14:paraId="4DC8FA87" w14:textId="73545806" w:rsidR="00F37A1F" w:rsidRDefault="007A0A3E" w:rsidP="00A74887">
            <w:pPr>
              <w:pStyle w:val="ListBullet"/>
              <w:numPr>
                <w:ilvl w:val="0"/>
                <w:numId w:val="6"/>
              </w:numPr>
            </w:pPr>
            <w:r>
              <w:t xml:space="preserve">nausea and headache </w:t>
            </w:r>
            <w:r w:rsidR="007815EC">
              <w:t>reported</w:t>
            </w:r>
            <w:r>
              <w:t xml:space="preserve"> </w:t>
            </w:r>
            <w:r w:rsidR="007815EC">
              <w:t>during</w:t>
            </w:r>
            <w:r>
              <w:t xml:space="preserve"> </w:t>
            </w:r>
            <w:r w:rsidR="007815EC">
              <w:t>7</w:t>
            </w:r>
            <w:r w:rsidR="00EC676A">
              <w:t>–</w:t>
            </w:r>
            <w:r w:rsidR="005B27F8">
              <w:t>24</w:t>
            </w:r>
            <w:r w:rsidR="00EC676A">
              <w:t xml:space="preserve"> </w:t>
            </w:r>
            <w:r w:rsidR="005B27F8">
              <w:t>h</w:t>
            </w:r>
            <w:r>
              <w:t xml:space="preserve"> </w:t>
            </w:r>
            <w:r w:rsidR="007815EC">
              <w:t xml:space="preserve">following </w:t>
            </w:r>
            <w:r w:rsidR="00D9769B">
              <w:t>exposure</w:t>
            </w:r>
          </w:p>
          <w:p w14:paraId="323FE4A3" w14:textId="4D482FAD" w:rsidR="007815EC" w:rsidRDefault="00D9769B" w:rsidP="00D9769B">
            <w:pPr>
              <w:pStyle w:val="ListBullet"/>
              <w:ind w:left="720"/>
            </w:pPr>
            <w:r>
              <w:t>No clinical signs of adverse effects or complaints in</w:t>
            </w:r>
            <w:r w:rsidR="007815EC">
              <w:t xml:space="preserve"> 7 ma</w:t>
            </w:r>
            <w:r w:rsidR="005B27F8">
              <w:t>les exposed to 20 ppm for 2 h</w:t>
            </w:r>
            <w:r w:rsidR="007815EC">
              <w:t xml:space="preserve"> during light </w:t>
            </w:r>
            <w:r>
              <w:t>exercise</w:t>
            </w:r>
          </w:p>
          <w:p w14:paraId="583301A7" w14:textId="21BF5FA3" w:rsidR="003A675D" w:rsidRDefault="003A675D" w:rsidP="00D9769B">
            <w:pPr>
              <w:pStyle w:val="ListBullet"/>
              <w:ind w:left="720"/>
            </w:pPr>
            <w:r>
              <w:t xml:space="preserve">Based on </w:t>
            </w:r>
            <w:r w:rsidR="00346C6E">
              <w:t>PB</w:t>
            </w:r>
            <w:r w:rsidR="00701FA1">
              <w:t>-</w:t>
            </w:r>
            <w:r w:rsidR="00346C6E">
              <w:t xml:space="preserve">PK model estimates </w:t>
            </w:r>
            <w:r w:rsidR="00C223ED">
              <w:t xml:space="preserve">dermal </w:t>
            </w:r>
            <w:r>
              <w:t>absor</w:t>
            </w:r>
            <w:r w:rsidR="00C223ED">
              <w:t>ption</w:t>
            </w:r>
            <w:r>
              <w:t xml:space="preserve"> </w:t>
            </w:r>
            <w:r w:rsidR="00346C6E">
              <w:t>amounts</w:t>
            </w:r>
            <w:r w:rsidR="00C223ED">
              <w:t xml:space="preserve"> not</w:t>
            </w:r>
            <w:r>
              <w:t xml:space="preserve"> sufficient </w:t>
            </w:r>
            <w:r w:rsidR="00346C6E">
              <w:t>to cause RBC haemolysis in humans</w:t>
            </w:r>
          </w:p>
          <w:p w14:paraId="1EA2BAA0" w14:textId="2F786756" w:rsidR="00713929" w:rsidRDefault="00892A48" w:rsidP="004D3D36">
            <w:pPr>
              <w:pStyle w:val="ListBullet"/>
              <w:ind w:left="720"/>
            </w:pPr>
            <w:r>
              <w:t xml:space="preserve">Negative results in </w:t>
            </w:r>
            <w:r w:rsidR="00036F30">
              <w:t xml:space="preserve">back patch </w:t>
            </w:r>
            <w:r>
              <w:t xml:space="preserve">skin sensitisation </w:t>
            </w:r>
            <w:r w:rsidR="00036F30">
              <w:t xml:space="preserve">test </w:t>
            </w:r>
            <w:r w:rsidR="000C023F">
              <w:t xml:space="preserve">on </w:t>
            </w:r>
            <w:r w:rsidR="00036F30">
              <w:t>201 volunteers</w:t>
            </w:r>
            <w:r w:rsidR="00EC676A">
              <w:t>.</w:t>
            </w:r>
          </w:p>
          <w:p w14:paraId="12CB7E24" w14:textId="77777777" w:rsidR="00346C6E" w:rsidRDefault="00346C6E" w:rsidP="00346C6E">
            <w:pPr>
              <w:pStyle w:val="Tabletextprimarysource"/>
            </w:pPr>
            <w:r>
              <w:t>Animal data:</w:t>
            </w:r>
          </w:p>
          <w:p w14:paraId="23B2D50A" w14:textId="77777777" w:rsidR="00346C6E" w:rsidRDefault="00346C6E" w:rsidP="00346C6E">
            <w:pPr>
              <w:pStyle w:val="ListBullet"/>
              <w:ind w:left="720"/>
            </w:pPr>
            <w:r>
              <w:t>LD</w:t>
            </w:r>
            <w:r>
              <w:rPr>
                <w:vertAlign w:val="subscript"/>
              </w:rPr>
              <w:t>50</w:t>
            </w:r>
            <w:r w:rsidR="005B27F8">
              <w:t>: 400 mg/kg (</w:t>
            </w:r>
            <w:r>
              <w:t>rabbits</w:t>
            </w:r>
            <w:r w:rsidR="005B27F8">
              <w:t>, dermal)</w:t>
            </w:r>
          </w:p>
          <w:p w14:paraId="1EA3AFAF" w14:textId="77777777" w:rsidR="00346C6E" w:rsidRDefault="00346C6E" w:rsidP="00346C6E">
            <w:pPr>
              <w:pStyle w:val="ListBullet"/>
              <w:ind w:left="720"/>
            </w:pPr>
            <w:r>
              <w:t>LC</w:t>
            </w:r>
            <w:r w:rsidR="00892A48">
              <w:rPr>
                <w:vertAlign w:val="subscript"/>
              </w:rPr>
              <w:t>50</w:t>
            </w:r>
            <w:r w:rsidR="00892A48">
              <w:t>: 700 ppm in mice; 486 ppm in rats</w:t>
            </w:r>
          </w:p>
          <w:p w14:paraId="08979841" w14:textId="0836306E" w:rsidR="00892A48" w:rsidRDefault="00892A48" w:rsidP="00346C6E">
            <w:pPr>
              <w:pStyle w:val="ListBullet"/>
              <w:ind w:left="720"/>
            </w:pPr>
            <w:r>
              <w:t>NOEL 25 ppm for RBC effects and increased liver weig</w:t>
            </w:r>
            <w:r w:rsidR="005B27F8">
              <w:t>ht</w:t>
            </w:r>
            <w:r w:rsidR="000C023F">
              <w:t xml:space="preserve"> (</w:t>
            </w:r>
            <w:r w:rsidR="005B27F8">
              <w:t>inhalation study in rats 6</w:t>
            </w:r>
            <w:r w:rsidR="00EC676A">
              <w:t xml:space="preserve"> </w:t>
            </w:r>
            <w:r w:rsidR="005B27F8">
              <w:t>h/d, 5</w:t>
            </w:r>
            <w:r w:rsidR="00713929">
              <w:t> </w:t>
            </w:r>
            <w:r w:rsidR="005B27F8">
              <w:t>d/wk for 90 d</w:t>
            </w:r>
            <w:r w:rsidR="000C023F">
              <w:t>)</w:t>
            </w:r>
          </w:p>
          <w:p w14:paraId="3AB8BA9F" w14:textId="77777777" w:rsidR="00892A48" w:rsidRDefault="00892A48" w:rsidP="00346C6E">
            <w:pPr>
              <w:pStyle w:val="ListBullet"/>
              <w:ind w:left="720"/>
            </w:pPr>
            <w:r>
              <w:t>Limited evidence of carcinogenicity in rats and mice</w:t>
            </w:r>
          </w:p>
          <w:p w14:paraId="5BDC4AC4" w14:textId="557A09FB" w:rsidR="00892A48" w:rsidRDefault="00E037E4" w:rsidP="004D3D36">
            <w:pPr>
              <w:pStyle w:val="ListBullet"/>
              <w:ind w:left="720"/>
            </w:pPr>
            <w:r>
              <w:t>Limited</w:t>
            </w:r>
            <w:r w:rsidR="00036F30">
              <w:t xml:space="preserve"> evidence of reproductive or developmental toxicity </w:t>
            </w:r>
            <w:r>
              <w:t>at below maternal toxicity levels</w:t>
            </w:r>
            <w:r w:rsidR="00EC676A">
              <w:t>.</w:t>
            </w:r>
          </w:p>
          <w:p w14:paraId="2CC91C23" w14:textId="77777777" w:rsidR="00487EDC" w:rsidRDefault="00892A48" w:rsidP="00555287">
            <w:pPr>
              <w:pStyle w:val="Tabletextprimarysource"/>
            </w:pPr>
            <w:r>
              <w:t>L</w:t>
            </w:r>
            <w:r w:rsidR="00F37A1F">
              <w:t xml:space="preserve">ack of overall </w:t>
            </w:r>
            <w:r w:rsidR="00F37A1F" w:rsidRPr="00F37A1F">
              <w:rPr>
                <w:i/>
              </w:rPr>
              <w:t>in vitro</w:t>
            </w:r>
            <w:r w:rsidR="00F37A1F">
              <w:t xml:space="preserve"> and </w:t>
            </w:r>
            <w:r w:rsidR="00F37A1F" w:rsidRPr="00F37A1F">
              <w:rPr>
                <w:i/>
              </w:rPr>
              <w:t xml:space="preserve">in vivo </w:t>
            </w:r>
            <w:r w:rsidR="00F37A1F">
              <w:t>genotoxic activity</w:t>
            </w:r>
            <w:r w:rsidR="005B27F8">
              <w:t>.</w:t>
            </w:r>
          </w:p>
          <w:p w14:paraId="6AACE4A9" w14:textId="6E71EE28" w:rsidR="00C223ED" w:rsidRDefault="00A83FBE" w:rsidP="00555287">
            <w:pPr>
              <w:pStyle w:val="Tabletextprimarysource"/>
            </w:pPr>
            <w:r>
              <w:t>Insufficient data to recommend a TLV-STEL</w:t>
            </w:r>
            <w:r w:rsidR="00713929">
              <w:t>.</w:t>
            </w:r>
          </w:p>
          <w:p w14:paraId="3598D07F" w14:textId="2998EC45" w:rsidR="003809B4" w:rsidRPr="00DA352E" w:rsidRDefault="003809B4" w:rsidP="00555287">
            <w:pPr>
              <w:pStyle w:val="Tabletextprimarysource"/>
            </w:pPr>
          </w:p>
        </w:tc>
      </w:tr>
      <w:tr w:rsidR="00C978F0" w:rsidRPr="00DA352E" w14:paraId="1F28DFA3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8988B68" w14:textId="2A0E566B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91438D">
                  <w:t>2010/2019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A14048">
                  <w:t>MAK: 10 ppm (49 mg/m</w:t>
                </w:r>
                <w:r w:rsidR="00A14048" w:rsidRPr="00A14048">
                  <w:rPr>
                    <w:vertAlign w:val="superscript"/>
                  </w:rPr>
                  <w:t>3</w:t>
                </w:r>
                <w:r w:rsidR="00A14048">
                  <w:t>)</w:t>
                </w:r>
              </w:sdtContent>
            </w:sdt>
          </w:p>
        </w:tc>
      </w:tr>
      <w:tr w:rsidR="00C978F0" w:rsidRPr="00DA352E" w14:paraId="03DA0F42" w14:textId="77777777" w:rsidTr="004D3D36">
        <w:trPr>
          <w:gridAfter w:val="1"/>
          <w:wAfter w:w="8" w:type="pct"/>
        </w:trPr>
        <w:tc>
          <w:tcPr>
            <w:tcW w:w="4992" w:type="pct"/>
          </w:tcPr>
          <w:p w14:paraId="7E18354C" w14:textId="77777777" w:rsidR="00C978F0" w:rsidRDefault="00E855BC" w:rsidP="003365A5">
            <w:pPr>
              <w:pStyle w:val="Tabletextprimarysource"/>
            </w:pPr>
            <w:r>
              <w:t>MAK recommended to protect for irritant effects in exposed workers</w:t>
            </w:r>
            <w:r w:rsidR="00EC676A">
              <w:t>.</w:t>
            </w:r>
          </w:p>
          <w:p w14:paraId="01C19096" w14:textId="77777777" w:rsidR="00E855BC" w:rsidRDefault="00E855BC" w:rsidP="003365A5">
            <w:pPr>
              <w:pStyle w:val="Tabletextprimarysource"/>
            </w:pPr>
            <w:r>
              <w:t>Summary of additional data:</w:t>
            </w:r>
          </w:p>
          <w:p w14:paraId="79725175" w14:textId="1E1C695B" w:rsidR="000C023F" w:rsidRDefault="004662C8" w:rsidP="006A3678">
            <w:pPr>
              <w:pStyle w:val="ListBullet"/>
              <w:ind w:left="720"/>
            </w:pPr>
            <w:r>
              <w:t>LOAEC of 31.2 mg/m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  <w:r w:rsidR="006A3678">
              <w:t xml:space="preserve">(6.5 ppm) </w:t>
            </w:r>
            <w:r w:rsidR="00E6730E">
              <w:t xml:space="preserve">in rats </w:t>
            </w:r>
            <w:r>
              <w:t>for</w:t>
            </w:r>
            <w:r w:rsidR="00E037E4">
              <w:t xml:space="preserve"> increase</w:t>
            </w:r>
            <w:r w:rsidR="00E6730E">
              <w:t>d</w:t>
            </w:r>
            <w:r w:rsidR="00E037E4">
              <w:t xml:space="preserve"> </w:t>
            </w:r>
            <w:r>
              <w:t>ir</w:t>
            </w:r>
            <w:r w:rsidR="005B27F8">
              <w:t>ritation of</w:t>
            </w:r>
            <w:r w:rsidR="00224F20">
              <w:t xml:space="preserve"> the</w:t>
            </w:r>
            <w:r w:rsidR="005B27F8">
              <w:t xml:space="preserve"> nose in </w:t>
            </w:r>
            <w:r w:rsidR="00E6730E">
              <w:t>histolog</w:t>
            </w:r>
            <w:r w:rsidR="008D1D7F">
              <w:t>ical testing</w:t>
            </w:r>
            <w:r w:rsidR="000C023F">
              <w:t xml:space="preserve"> (</w:t>
            </w:r>
            <w:r w:rsidR="005B27F8">
              <w:t>2 yr</w:t>
            </w:r>
            <w:r>
              <w:t xml:space="preserve"> inhalation </w:t>
            </w:r>
            <w:r w:rsidR="006A3678">
              <w:t>study</w:t>
            </w:r>
            <w:r w:rsidR="000C023F">
              <w:t>)</w:t>
            </w:r>
            <w:r w:rsidR="00713929">
              <w:t>:</w:t>
            </w:r>
          </w:p>
          <w:p w14:paraId="79D47439" w14:textId="022E0290" w:rsidR="00E855BC" w:rsidRDefault="006A3678" w:rsidP="00A74887">
            <w:pPr>
              <w:pStyle w:val="ListBullet"/>
              <w:numPr>
                <w:ilvl w:val="0"/>
                <w:numId w:val="6"/>
              </w:numPr>
            </w:pPr>
            <w:r>
              <w:t xml:space="preserve">concentration dependent increase in hyaline degeneration of olfactory epithelium significant at </w:t>
            </w:r>
            <w:r>
              <w:rPr>
                <w:rFonts w:cs="Arial"/>
              </w:rPr>
              <w:t>≥</w:t>
            </w:r>
            <w:r w:rsidR="005B27F8">
              <w:t>62.5 mL</w:t>
            </w:r>
            <w:r>
              <w:t>/m</w:t>
            </w:r>
            <w:r w:rsidRPr="006A3678">
              <w:rPr>
                <w:vertAlign w:val="superscript"/>
              </w:rPr>
              <w:t>3</w:t>
            </w:r>
            <w:r>
              <w:t xml:space="preserve"> (13 ppm)</w:t>
            </w:r>
          </w:p>
          <w:p w14:paraId="61B6CEB9" w14:textId="77777777" w:rsidR="004D3D36" w:rsidRDefault="00FE350F" w:rsidP="00EC676A">
            <w:pPr>
              <w:pStyle w:val="ListBullet"/>
              <w:numPr>
                <w:ilvl w:val="0"/>
                <w:numId w:val="6"/>
              </w:numPr>
            </w:pPr>
            <w:r>
              <w:t>r</w:t>
            </w:r>
            <w:r w:rsidR="004D3D36">
              <w:t xml:space="preserve">at breathes only through nose therefore considered </w:t>
            </w:r>
            <w:r w:rsidR="00FC3F89">
              <w:t>increase in incidence n</w:t>
            </w:r>
            <w:r w:rsidR="005B27F8">
              <w:t>ot severity</w:t>
            </w:r>
          </w:p>
          <w:p w14:paraId="6891235A" w14:textId="77777777" w:rsidR="0091438D" w:rsidRDefault="005B27F8" w:rsidP="00EC676A">
            <w:pPr>
              <w:pStyle w:val="ListBullet"/>
              <w:numPr>
                <w:ilvl w:val="0"/>
                <w:numId w:val="6"/>
              </w:numPr>
            </w:pPr>
            <w:r>
              <w:t>assume humans do not react with same sensitivity</w:t>
            </w:r>
            <w:r w:rsidR="004752C0">
              <w:t xml:space="preserve"> so the MAK value of 10</w:t>
            </w:r>
            <w:r w:rsidR="00D205C9">
              <w:t xml:space="preserve"> mL</w:t>
            </w:r>
            <w:r w:rsidR="004752C0">
              <w:t>/m</w:t>
            </w:r>
            <w:r w:rsidR="004752C0" w:rsidRPr="00FC3F89">
              <w:rPr>
                <w:vertAlign w:val="superscript"/>
              </w:rPr>
              <w:t>3</w:t>
            </w:r>
          </w:p>
          <w:p w14:paraId="667BB594" w14:textId="45084022" w:rsidR="006A3678" w:rsidRDefault="004752C0" w:rsidP="00EC676A">
            <w:pPr>
              <w:pStyle w:val="ListBullet"/>
              <w:numPr>
                <w:ilvl w:val="0"/>
                <w:numId w:val="6"/>
              </w:numPr>
            </w:pPr>
            <w:r>
              <w:t>(10</w:t>
            </w:r>
            <w:r w:rsidR="004D3D36">
              <w:t> </w:t>
            </w:r>
            <w:r>
              <w:t>ppm) is obtained by lowering LOAEC of 31.2 mg/m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  <w:p w14:paraId="4A16EE0E" w14:textId="77777777" w:rsidR="000C023F" w:rsidRDefault="00E037E4" w:rsidP="0091438D">
            <w:pPr>
              <w:pStyle w:val="ListBullet"/>
              <w:ind w:left="720"/>
            </w:pPr>
            <w:r>
              <w:t>N</w:t>
            </w:r>
            <w:r w:rsidRPr="00E037E4">
              <w:t>o clinical findings</w:t>
            </w:r>
            <w:r>
              <w:t xml:space="preserve"> of skin </w:t>
            </w:r>
            <w:r w:rsidR="00D74645">
              <w:t xml:space="preserve">sensitisation </w:t>
            </w:r>
            <w:r>
              <w:t>or respiratory sensitis</w:t>
            </w:r>
            <w:r w:rsidRPr="00E037E4">
              <w:t>ation</w:t>
            </w:r>
            <w:r w:rsidR="005B27F8">
              <w:t>.</w:t>
            </w:r>
          </w:p>
          <w:p w14:paraId="32F1DDE3" w14:textId="3B05017D" w:rsidR="0091438D" w:rsidRPr="00DA352E" w:rsidRDefault="0091438D" w:rsidP="0091438D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DA352E" w14:paraId="7E093836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F87F685" w14:textId="3D1AB426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E644E5">
                  <w:t>1996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E644E5">
                  <w:t>TWA: 20 ppm (98 mg/m</w:t>
                </w:r>
                <w:r w:rsidR="00E644E5" w:rsidRPr="00E644E5">
                  <w:rPr>
                    <w:vertAlign w:val="superscript"/>
                  </w:rPr>
                  <w:t>3</w:t>
                </w:r>
                <w:r w:rsidR="00E644E5">
                  <w:t>)</w:t>
                </w:r>
                <w:r w:rsidR="008E1154">
                  <w:t>; STEL: 50 ppm (246 mg/m</w:t>
                </w:r>
                <w:r w:rsidR="008E1154" w:rsidRPr="008E1154">
                  <w:rPr>
                    <w:vertAlign w:val="superscript"/>
                  </w:rPr>
                  <w:t>3</w:t>
                </w:r>
                <w:r w:rsidR="008E1154">
                  <w:t>)</w:t>
                </w:r>
              </w:sdtContent>
            </w:sdt>
          </w:p>
        </w:tc>
      </w:tr>
      <w:tr w:rsidR="00C978F0" w:rsidRPr="00DA352E" w14:paraId="01A9FEC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2BE5F09" w14:textId="77777777" w:rsidR="00A57778" w:rsidRDefault="00A57778" w:rsidP="003365A5">
            <w:pPr>
              <w:pStyle w:val="Tabletextprimarysource"/>
            </w:pPr>
            <w:r>
              <w:t>TWA recommended to protect for haematological effects in exposed workers</w:t>
            </w:r>
            <w:r w:rsidR="00EC676A">
              <w:t>.</w:t>
            </w:r>
          </w:p>
          <w:p w14:paraId="1C50BA02" w14:textId="77777777" w:rsidR="00A57778" w:rsidRDefault="00A57778" w:rsidP="003365A5">
            <w:pPr>
              <w:pStyle w:val="Tabletextprimarysource"/>
            </w:pPr>
            <w:r>
              <w:t>STEL recommended to protect for irritation effects in exposed workers</w:t>
            </w:r>
            <w:r w:rsidR="00EC676A">
              <w:t>.</w:t>
            </w:r>
          </w:p>
          <w:p w14:paraId="5FFC9B1E" w14:textId="77777777" w:rsidR="00A57778" w:rsidRDefault="00A57778" w:rsidP="003365A5">
            <w:pPr>
              <w:pStyle w:val="Tabletextprimarysource"/>
            </w:pPr>
            <w:r>
              <w:t>Summary of additional data:</w:t>
            </w:r>
          </w:p>
          <w:p w14:paraId="16A97652" w14:textId="3DE5490D" w:rsidR="000C023F" w:rsidRDefault="00A57778" w:rsidP="00A74887">
            <w:pPr>
              <w:pStyle w:val="ListBullet"/>
              <w:ind w:left="720"/>
            </w:pPr>
            <w:r>
              <w:t>TWA is based on NOAEL of 25 ppm for haematological effects in rats</w:t>
            </w:r>
          </w:p>
          <w:p w14:paraId="23D1B6F2" w14:textId="045B7E76" w:rsidR="000C023F" w:rsidRDefault="00A57778" w:rsidP="00A74887">
            <w:pPr>
              <w:pStyle w:val="ListBullet"/>
              <w:numPr>
                <w:ilvl w:val="0"/>
                <w:numId w:val="6"/>
              </w:numPr>
            </w:pPr>
            <w:r>
              <w:t>human resistance to RBC effects negates the need for uncertainty factor</w:t>
            </w:r>
          </w:p>
          <w:p w14:paraId="78D7B72B" w14:textId="3E1CF31B" w:rsidR="00C978F0" w:rsidRDefault="00AD2859" w:rsidP="00A74887">
            <w:pPr>
              <w:pStyle w:val="ListBullet"/>
              <w:numPr>
                <w:ilvl w:val="0"/>
                <w:numId w:val="6"/>
              </w:numPr>
            </w:pPr>
            <w:r>
              <w:t>rounded down as per SCOEL methodology</w:t>
            </w:r>
          </w:p>
          <w:p w14:paraId="073109A4" w14:textId="416F9A74" w:rsidR="00AD2859" w:rsidRDefault="00AD2859" w:rsidP="00A74887">
            <w:pPr>
              <w:pStyle w:val="ListBullet"/>
              <w:ind w:left="720"/>
            </w:pPr>
            <w:r>
              <w:t xml:space="preserve">STEL </w:t>
            </w:r>
            <w:r w:rsidR="005B27F8">
              <w:t>based on 4 or 8 h</w:t>
            </w:r>
            <w:r>
              <w:t xml:space="preserve"> volunteer study</w:t>
            </w:r>
            <w:r w:rsidR="00D440E1">
              <w:t xml:space="preserve"> for irritation; 100 ppm and 200 ppm irritation effects (same as ACGIH)</w:t>
            </w:r>
            <w:r w:rsidR="005B27F8">
              <w:t>.</w:t>
            </w:r>
          </w:p>
          <w:p w14:paraId="069AF4B2" w14:textId="29F716C3" w:rsidR="008A5886" w:rsidRPr="00DA352E" w:rsidRDefault="008A5886" w:rsidP="00A74887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DA352E" w:rsidRPr="00DA352E" w14:paraId="706E9903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19EB40F" w14:textId="372321C8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5B4654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5B4654">
                  <w:t>NA</w:t>
                </w:r>
              </w:sdtContent>
            </w:sdt>
          </w:p>
        </w:tc>
      </w:tr>
      <w:tr w:rsidR="00DA352E" w:rsidRPr="00DA352E" w14:paraId="7ECD258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DF0ED51" w14:textId="2944BCE9" w:rsidR="00DA352E" w:rsidRPr="00DA352E" w:rsidRDefault="005B4654" w:rsidP="003365A5">
            <w:pPr>
              <w:pStyle w:val="Tabletextprimarysource"/>
            </w:pPr>
            <w:r>
              <w:t>No report</w:t>
            </w:r>
            <w:r w:rsidR="004D3D36">
              <w:t>.</w:t>
            </w:r>
          </w:p>
        </w:tc>
      </w:tr>
      <w:tr w:rsidR="00DA352E" w:rsidRPr="00DA352E" w14:paraId="1F239E1D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F2665FF" w14:textId="0DF05714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C03C4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C03C43">
                  <w:t>NA</w:t>
                </w:r>
              </w:sdtContent>
            </w:sdt>
          </w:p>
        </w:tc>
      </w:tr>
      <w:tr w:rsidR="00DA352E" w:rsidRPr="00DA352E" w14:paraId="18F14B46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4757409" w14:textId="09388207" w:rsidR="00DA352E" w:rsidRPr="00DA352E" w:rsidRDefault="00C03C43" w:rsidP="003365A5">
            <w:pPr>
              <w:pStyle w:val="Tabletextprimarysource"/>
            </w:pPr>
            <w:r>
              <w:t>No report</w:t>
            </w:r>
            <w:r w:rsidR="004D3D36">
              <w:t>.</w:t>
            </w:r>
          </w:p>
        </w:tc>
      </w:tr>
    </w:tbl>
    <w:p w14:paraId="7BE17346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8"/>
        <w:gridCol w:w="423"/>
        <w:gridCol w:w="661"/>
        <w:gridCol w:w="6444"/>
      </w:tblGrid>
      <w:tr w:rsidR="004966BF" w:rsidRPr="00263255" w14:paraId="503AC185" w14:textId="77777777" w:rsidTr="004B3233">
        <w:trPr>
          <w:cantSplit/>
          <w:trHeight w:val="393"/>
          <w:tblHeader/>
        </w:trPr>
        <w:tc>
          <w:tcPr>
            <w:tcW w:w="1498" w:type="dxa"/>
            <w:shd w:val="clear" w:color="auto" w:fill="BFBFBF" w:themeFill="background1" w:themeFillShade="BF"/>
            <w:vAlign w:val="center"/>
          </w:tcPr>
          <w:p w14:paraId="13104323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71EC4F2F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11A6A421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4" w:type="dxa"/>
            <w:shd w:val="clear" w:color="auto" w:fill="BFBFBF" w:themeFill="background1" w:themeFillShade="BF"/>
            <w:vAlign w:val="center"/>
          </w:tcPr>
          <w:p w14:paraId="40F348C0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65A07460" w14:textId="77777777" w:rsidTr="004B3233">
        <w:trPr>
          <w:cantSplit/>
        </w:trPr>
        <w:tc>
          <w:tcPr>
            <w:tcW w:w="1498" w:type="dxa"/>
          </w:tcPr>
          <w:p w14:paraId="791EE800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31B73C4A" w14:textId="77777777" w:rsidR="004966BF" w:rsidRPr="00CE617F" w:rsidRDefault="008A0582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4B3233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D90B920" w14:textId="77777777" w:rsidR="004966BF" w:rsidRPr="004C23F4" w:rsidRDefault="004B3233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1996</w:t>
            </w:r>
          </w:p>
        </w:tc>
        <w:tc>
          <w:tcPr>
            <w:tcW w:w="6444" w:type="dxa"/>
          </w:tcPr>
          <w:p w14:paraId="141ADD17" w14:textId="643E0919" w:rsidR="004966BF" w:rsidRPr="004C23F4" w:rsidRDefault="004B3233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 further information</w:t>
            </w:r>
            <w:r w:rsidR="0091438D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1B9C535A" w14:textId="77777777" w:rsidTr="004B3233">
        <w:trPr>
          <w:cantSplit/>
        </w:trPr>
        <w:tc>
          <w:tcPr>
            <w:tcW w:w="1498" w:type="dxa"/>
          </w:tcPr>
          <w:p w14:paraId="579D697B" w14:textId="77777777" w:rsidR="004966BF" w:rsidRPr="004C23F4" w:rsidRDefault="004966BF" w:rsidP="00224EE2">
            <w:pPr>
              <w:pStyle w:val="Tablefont"/>
            </w:pPr>
            <w:r>
              <w:t>IARC</w:t>
            </w:r>
          </w:p>
        </w:tc>
        <w:tc>
          <w:tcPr>
            <w:tcW w:w="423" w:type="dxa"/>
          </w:tcPr>
          <w:p w14:paraId="4CE46F05" w14:textId="77777777" w:rsidR="004966BF" w:rsidRPr="00CE617F" w:rsidRDefault="008A0582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592279139"/>
                <w:placeholder>
                  <w:docPart w:val="20BC8D26515A4C11AC6304FB75A7CBA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4B3233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7283FCC3" w14:textId="77777777" w:rsidR="004966BF" w:rsidRPr="004C23F4" w:rsidRDefault="004B3233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2006</w:t>
            </w:r>
          </w:p>
        </w:tc>
        <w:tc>
          <w:tcPr>
            <w:tcW w:w="6444" w:type="dxa"/>
          </w:tcPr>
          <w:p w14:paraId="4C84BEE6" w14:textId="290CD0CE" w:rsidR="004966BF" w:rsidRPr="004C23F4" w:rsidRDefault="004B3233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 further information</w:t>
            </w:r>
            <w:r w:rsidR="0091438D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0"/>
    <w:p w14:paraId="5A9B6614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035AEC91" w14:textId="77777777" w:rsidTr="00A620DA">
        <w:trPr>
          <w:trHeight w:val="454"/>
          <w:tblHeader/>
        </w:trPr>
        <w:tc>
          <w:tcPr>
            <w:tcW w:w="6603" w:type="dxa"/>
            <w:vAlign w:val="center"/>
          </w:tcPr>
          <w:p w14:paraId="16A7EDA0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4353DD3B" w14:textId="77777777" w:rsidR="002E0D61" w:rsidRDefault="00A620DA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0C023F" w14:paraId="2E9F79DD" w14:textId="77777777" w:rsidTr="002036E4">
        <w:trPr>
          <w:trHeight w:val="454"/>
        </w:trPr>
        <w:sdt>
          <w:sdtPr>
            <w:rPr>
              <w:b/>
            </w:rPr>
            <w:id w:val="1830936485"/>
            <w:placeholder>
              <w:docPart w:val="876887717F144F3699198FA2D89C1C29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66ED09D7" w14:textId="4E3F7E57" w:rsidR="000C023F" w:rsidRDefault="004D3D36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</w:tr>
    </w:tbl>
    <w:bookmarkEnd w:id="1"/>
    <w:p w14:paraId="3712D752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46DB238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68DB3BEE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3D96FCD1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65FC36D" w14:textId="77777777" w:rsidTr="00812887">
        <w:trPr>
          <w:cantSplit/>
        </w:trPr>
        <w:tc>
          <w:tcPr>
            <w:tcW w:w="3227" w:type="dxa"/>
          </w:tcPr>
          <w:p w14:paraId="5F5AF572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F86EDDB" w14:textId="77777777" w:rsidR="00687890" w:rsidRPr="00DD2F9B" w:rsidRDefault="003C703E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34ADAEF5" w14:textId="77777777" w:rsidTr="00812887">
        <w:trPr>
          <w:cantSplit/>
        </w:trPr>
        <w:tc>
          <w:tcPr>
            <w:tcW w:w="3227" w:type="dxa"/>
          </w:tcPr>
          <w:p w14:paraId="12D8F069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278BAE62" w14:textId="77777777" w:rsidR="007925F0" w:rsidRPr="00DD2F9B" w:rsidRDefault="003C703E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5BB05432" w14:textId="77777777" w:rsidTr="00812887">
        <w:trPr>
          <w:cantSplit/>
        </w:trPr>
        <w:tc>
          <w:tcPr>
            <w:tcW w:w="3227" w:type="dxa"/>
          </w:tcPr>
          <w:p w14:paraId="061DC02E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3E6249A7" w14:textId="77777777" w:rsidR="00AF483F" w:rsidRPr="00DD2F9B" w:rsidRDefault="00652708" w:rsidP="00DD2F9B">
            <w:pPr>
              <w:pStyle w:val="Tablefont"/>
            </w:pPr>
            <w:r>
              <w:t>—</w:t>
            </w:r>
          </w:p>
        </w:tc>
      </w:tr>
      <w:tr w:rsidR="00687890" w:rsidRPr="004C23F4" w14:paraId="3836684D" w14:textId="77777777" w:rsidTr="00812887">
        <w:trPr>
          <w:cantSplit/>
        </w:trPr>
        <w:tc>
          <w:tcPr>
            <w:tcW w:w="3227" w:type="dxa"/>
          </w:tcPr>
          <w:p w14:paraId="169AFBC7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2B9AD33" w14:textId="77777777" w:rsidR="00687890" w:rsidRPr="00DD2F9B" w:rsidRDefault="006425A0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37572E43" w14:textId="77777777" w:rsidTr="00812887">
        <w:trPr>
          <w:cantSplit/>
        </w:trPr>
        <w:tc>
          <w:tcPr>
            <w:tcW w:w="3227" w:type="dxa"/>
          </w:tcPr>
          <w:p w14:paraId="1A4C2598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64B06F7" w14:textId="77777777" w:rsidR="00E41A26" w:rsidRPr="00DD2F9B" w:rsidRDefault="006425A0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0D2671E" w14:textId="77777777" w:rsidTr="00812887">
        <w:trPr>
          <w:cantSplit/>
        </w:trPr>
        <w:tc>
          <w:tcPr>
            <w:tcW w:w="3227" w:type="dxa"/>
          </w:tcPr>
          <w:p w14:paraId="269695FC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7A04AF9F" w14:textId="77777777" w:rsidR="002E0D61" w:rsidRPr="00DD2F9B" w:rsidRDefault="00A01452" w:rsidP="00DD2F9B">
            <w:pPr>
              <w:pStyle w:val="Tablefont"/>
            </w:pPr>
            <w:r w:rsidRPr="00A01452">
              <w:t>Carcinogenicity – A3</w:t>
            </w:r>
          </w:p>
        </w:tc>
      </w:tr>
      <w:tr w:rsidR="002E0D61" w:rsidRPr="004C23F4" w14:paraId="412E40B9" w14:textId="77777777" w:rsidTr="00812887">
        <w:trPr>
          <w:cantSplit/>
        </w:trPr>
        <w:tc>
          <w:tcPr>
            <w:tcW w:w="3227" w:type="dxa"/>
          </w:tcPr>
          <w:p w14:paraId="42CAA338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2E47375" w14:textId="77777777" w:rsidR="002E0D61" w:rsidRPr="00DD2F9B" w:rsidRDefault="00EA1E2D" w:rsidP="00DD2F9B">
            <w:pPr>
              <w:pStyle w:val="Tablefont"/>
            </w:pPr>
            <w:r w:rsidRPr="00EA1E2D">
              <w:t>H (skin)</w:t>
            </w:r>
          </w:p>
        </w:tc>
      </w:tr>
      <w:tr w:rsidR="002E0D61" w:rsidRPr="004C23F4" w14:paraId="5330F379" w14:textId="77777777" w:rsidTr="00812887">
        <w:trPr>
          <w:cantSplit/>
        </w:trPr>
        <w:tc>
          <w:tcPr>
            <w:tcW w:w="3227" w:type="dxa"/>
          </w:tcPr>
          <w:p w14:paraId="2675BE5E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0E14E8BB" w14:textId="77777777" w:rsidR="002E0D61" w:rsidRPr="00DD2F9B" w:rsidRDefault="004C433F" w:rsidP="00DD2F9B">
            <w:pPr>
              <w:pStyle w:val="Tablefont"/>
            </w:pPr>
            <w:r>
              <w:t>Skin</w:t>
            </w:r>
          </w:p>
        </w:tc>
      </w:tr>
      <w:tr w:rsidR="002E0D61" w:rsidRPr="004C23F4" w14:paraId="6F5504EF" w14:textId="77777777" w:rsidTr="00812887">
        <w:trPr>
          <w:cantSplit/>
        </w:trPr>
        <w:tc>
          <w:tcPr>
            <w:tcW w:w="3227" w:type="dxa"/>
          </w:tcPr>
          <w:p w14:paraId="17F942E0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50873DA7" w14:textId="77777777" w:rsidR="002E0D61" w:rsidRPr="00DD2F9B" w:rsidRDefault="00EA1E2D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73DBEA5" w14:textId="77777777" w:rsidTr="00812887">
        <w:trPr>
          <w:cantSplit/>
        </w:trPr>
        <w:tc>
          <w:tcPr>
            <w:tcW w:w="3227" w:type="dxa"/>
          </w:tcPr>
          <w:p w14:paraId="2BAB39CA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62D4C2B0" w14:textId="77777777" w:rsidR="00386093" w:rsidRPr="00DD2F9B" w:rsidRDefault="00EA1E2D" w:rsidP="00DD2F9B">
            <w:pPr>
              <w:pStyle w:val="Tablefont"/>
            </w:pPr>
            <w:r w:rsidRPr="00EA1E2D">
              <w:t>Carcinogenicity – Group 3</w:t>
            </w:r>
          </w:p>
        </w:tc>
      </w:tr>
      <w:tr w:rsidR="00386093" w:rsidRPr="004C23F4" w14:paraId="5E13A3E3" w14:textId="77777777" w:rsidTr="00812887">
        <w:trPr>
          <w:cantSplit/>
        </w:trPr>
        <w:tc>
          <w:tcPr>
            <w:tcW w:w="3227" w:type="dxa"/>
          </w:tcPr>
          <w:p w14:paraId="36C77837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D5B9945" w14:textId="77777777" w:rsidR="00386093" w:rsidRPr="00DD2F9B" w:rsidRDefault="0087573B" w:rsidP="00D87570">
            <w:pPr>
              <w:pStyle w:val="Tablefont"/>
              <w:keepNext/>
            </w:pPr>
            <w:r>
              <w:t>SK: SYS</w:t>
            </w:r>
          </w:p>
        </w:tc>
      </w:tr>
    </w:tbl>
    <w:bookmarkEnd w:id="2"/>
    <w:p w14:paraId="328321AB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6BAF6DAB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12DB47BC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440F1D13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137DAA44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920" w:type="dxa"/>
              <w:tblLook w:val="04A0" w:firstRow="1" w:lastRow="0" w:firstColumn="1" w:lastColumn="0" w:noHBand="0" w:noVBand="1"/>
            </w:tblPr>
            <w:tblGrid>
              <w:gridCol w:w="3583"/>
              <w:gridCol w:w="1057"/>
              <w:gridCol w:w="1057"/>
              <w:gridCol w:w="1556"/>
              <w:gridCol w:w="1557"/>
            </w:tblGrid>
            <w:tr w:rsidR="00E8062B" w:rsidRPr="00E8062B" w14:paraId="21ACD4BB" w14:textId="77777777" w:rsidTr="00652708">
              <w:trPr>
                <w:trHeight w:val="354"/>
              </w:trPr>
              <w:tc>
                <w:tcPr>
                  <w:tcW w:w="36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15BA502" w14:textId="77777777" w:rsidR="00E8062B" w:rsidRPr="00E8062B" w:rsidRDefault="00E8062B" w:rsidP="00E8062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8062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3D5E990" w14:textId="77777777" w:rsidR="00E8062B" w:rsidRPr="00E8062B" w:rsidRDefault="00E8062B" w:rsidP="00E8062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8062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06DF6C2" w14:textId="77777777" w:rsidR="00E8062B" w:rsidRPr="00E8062B" w:rsidRDefault="00E8062B" w:rsidP="00E8062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E8062B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5A02D5C" w14:textId="77777777" w:rsidR="00E8062B" w:rsidRPr="00E8062B" w:rsidRDefault="00E8062B" w:rsidP="00E8062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8062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CF8D914" w14:textId="77777777" w:rsidR="00E8062B" w:rsidRPr="00E8062B" w:rsidRDefault="00E8062B" w:rsidP="00E8062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8062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E8062B" w:rsidRPr="00E8062B" w14:paraId="000F4CDE" w14:textId="77777777" w:rsidTr="00652708">
              <w:trPr>
                <w:trHeight w:val="354"/>
              </w:trPr>
              <w:tc>
                <w:tcPr>
                  <w:tcW w:w="36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E69E0EC" w14:textId="77777777" w:rsidR="00E8062B" w:rsidRPr="00E8062B" w:rsidRDefault="00E8062B" w:rsidP="00E8062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8062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E8062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E8062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3EE6B984" w14:textId="77777777" w:rsidR="00E8062B" w:rsidRPr="00E8062B" w:rsidRDefault="00E8062B" w:rsidP="00E8062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E8062B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467D97E" w14:textId="77777777" w:rsidR="00E8062B" w:rsidRPr="00E8062B" w:rsidRDefault="00E8062B" w:rsidP="00E8062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E8062B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F0F76C4" w14:textId="77777777" w:rsidR="00E8062B" w:rsidRPr="00E8062B" w:rsidRDefault="00E8062B" w:rsidP="00E8062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8062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F4BF553" w14:textId="77777777" w:rsidR="00E8062B" w:rsidRPr="00E8062B" w:rsidRDefault="00E8062B" w:rsidP="00E8062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8062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E8062B" w:rsidRPr="00E8062B" w14:paraId="557D83D0" w14:textId="77777777" w:rsidTr="00652708">
              <w:trPr>
                <w:trHeight w:val="354"/>
              </w:trPr>
              <w:tc>
                <w:tcPr>
                  <w:tcW w:w="36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604A0B6" w14:textId="77777777" w:rsidR="00E8062B" w:rsidRPr="00E8062B" w:rsidRDefault="00E8062B" w:rsidP="00E8062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8062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A964B92" w14:textId="77777777" w:rsidR="00E8062B" w:rsidRPr="00E8062B" w:rsidRDefault="00E8062B" w:rsidP="00E8062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8062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2DE0544" w14:textId="77777777" w:rsidR="00E8062B" w:rsidRPr="00E8062B" w:rsidRDefault="00E8062B" w:rsidP="00E8062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E8062B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A7CEAC1" w14:textId="77777777" w:rsidR="00E8062B" w:rsidRPr="00E8062B" w:rsidRDefault="00E8062B" w:rsidP="00E8062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8062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546BAEB" w14:textId="77777777" w:rsidR="00E8062B" w:rsidRPr="00E8062B" w:rsidRDefault="00E8062B" w:rsidP="00E8062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8062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E8062B" w:rsidRPr="00E8062B" w14:paraId="79CB57CC" w14:textId="77777777" w:rsidTr="00652708">
              <w:trPr>
                <w:trHeight w:val="354"/>
              </w:trPr>
              <w:tc>
                <w:tcPr>
                  <w:tcW w:w="36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B36B67A" w14:textId="77777777" w:rsidR="00E8062B" w:rsidRPr="00E8062B" w:rsidRDefault="00E8062B" w:rsidP="00E8062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8062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E8062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E8062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E8062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E8062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D034016" w14:textId="77777777" w:rsidR="00E8062B" w:rsidRPr="00E8062B" w:rsidRDefault="00E8062B" w:rsidP="00E8062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8062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0BE56B2" w14:textId="77777777" w:rsidR="00E8062B" w:rsidRPr="00E8062B" w:rsidRDefault="00E8062B" w:rsidP="00E8062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E8062B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110C82D" w14:textId="77777777" w:rsidR="00E8062B" w:rsidRPr="00E8062B" w:rsidRDefault="00E8062B" w:rsidP="00E8062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8062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BDC3432" w14:textId="77777777" w:rsidR="00E8062B" w:rsidRPr="00E8062B" w:rsidRDefault="00E8062B" w:rsidP="00E8062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8062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E8062B" w:rsidRPr="00E8062B" w14:paraId="20718AD5" w14:textId="77777777" w:rsidTr="00652708">
              <w:trPr>
                <w:trHeight w:val="354"/>
              </w:trPr>
              <w:tc>
                <w:tcPr>
                  <w:tcW w:w="36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8F43435" w14:textId="77777777" w:rsidR="00E8062B" w:rsidRPr="00E8062B" w:rsidRDefault="00E8062B" w:rsidP="00E8062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E8062B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E8062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B839BEA" w14:textId="77777777" w:rsidR="00E8062B" w:rsidRPr="00E8062B" w:rsidRDefault="00E8062B" w:rsidP="00E8062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8062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3011E80" w14:textId="77777777" w:rsidR="00E8062B" w:rsidRPr="00E8062B" w:rsidRDefault="00E8062B" w:rsidP="00E8062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E8062B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CFBDAB4" w14:textId="77777777" w:rsidR="00E8062B" w:rsidRPr="00E8062B" w:rsidRDefault="00E8062B" w:rsidP="00E8062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8062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5023329" w14:textId="77777777" w:rsidR="00E8062B" w:rsidRPr="00E8062B" w:rsidRDefault="00E8062B" w:rsidP="00E8062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8062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E8062B" w:rsidRPr="00E8062B" w14:paraId="0FC0E21C" w14:textId="77777777" w:rsidTr="00652708">
              <w:trPr>
                <w:trHeight w:val="354"/>
              </w:trPr>
              <w:tc>
                <w:tcPr>
                  <w:tcW w:w="36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EE7C62D" w14:textId="77777777" w:rsidR="00E8062B" w:rsidRPr="00E8062B" w:rsidRDefault="00E8062B" w:rsidP="00E8062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8062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CAA7A0C" w14:textId="77777777" w:rsidR="00E8062B" w:rsidRPr="00E8062B" w:rsidRDefault="00E8062B" w:rsidP="00E8062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8062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3190610" w14:textId="77777777" w:rsidR="00E8062B" w:rsidRPr="00E8062B" w:rsidRDefault="00E8062B" w:rsidP="00E8062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E8062B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20A5646" w14:textId="77777777" w:rsidR="00E8062B" w:rsidRPr="00E8062B" w:rsidRDefault="00E8062B" w:rsidP="00E8062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8062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19C99B1" w14:textId="77777777" w:rsidR="00E8062B" w:rsidRPr="00E8062B" w:rsidRDefault="00E8062B" w:rsidP="00E8062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8062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E8062B" w:rsidRPr="00E8062B" w14:paraId="024D5EFE" w14:textId="77777777" w:rsidTr="00652708">
              <w:trPr>
                <w:trHeight w:val="354"/>
              </w:trPr>
              <w:tc>
                <w:tcPr>
                  <w:tcW w:w="36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5AF1899" w14:textId="77777777" w:rsidR="00E8062B" w:rsidRPr="00E8062B" w:rsidRDefault="00E8062B" w:rsidP="00E8062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8062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94F89E9" w14:textId="77777777" w:rsidR="00E8062B" w:rsidRPr="00E8062B" w:rsidRDefault="00E8062B" w:rsidP="00E8062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8062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B6A91E0" w14:textId="77777777" w:rsidR="00E8062B" w:rsidRPr="00E8062B" w:rsidRDefault="00E8062B" w:rsidP="00E8062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E8062B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3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26B1D3D" w14:textId="77777777" w:rsidR="00E8062B" w:rsidRPr="00E8062B" w:rsidRDefault="00E8062B" w:rsidP="00E8062B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E8062B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consider assigning a skin notation</w:t>
                  </w:r>
                </w:p>
              </w:tc>
            </w:tr>
          </w:tbl>
          <w:p w14:paraId="6D41E1BB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56F9A953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3D509304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42E1BEF4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69675C66" w14:textId="55B669D0" w:rsidR="00EB3D1B" w:rsidRDefault="004377A6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5724D1C0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4C455FF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A8F8FA9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3087293A" w14:textId="5A49D98F" w:rsidR="001B79E5" w:rsidRDefault="005E7291" w:rsidP="001B79E5">
                <w:pPr>
                  <w:pStyle w:val="Tablefont"/>
                </w:pPr>
                <w:r>
                  <w:t>118.17</w:t>
                </w:r>
              </w:p>
            </w:tc>
          </w:sdtContent>
        </w:sdt>
      </w:tr>
      <w:tr w:rsidR="00A31D99" w:rsidRPr="004C23F4" w14:paraId="7D82B7F5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C7ECADE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739551B" w14:textId="5D54A662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6A3678">
                  <w:t>4.83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6A3678">
                  <w:rPr>
                    <w:color w:val="808080"/>
                  </w:rPr>
                  <w:t>0.27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715724D7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AD83954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41C00C9" w14:textId="7423380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92B9292" w14:textId="77777777" w:rsidTr="00EA6243">
        <w:trPr>
          <w:cantSplit/>
        </w:trPr>
        <w:tc>
          <w:tcPr>
            <w:tcW w:w="4077" w:type="dxa"/>
            <w:vAlign w:val="center"/>
          </w:tcPr>
          <w:p w14:paraId="372D35D5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C76EB3E" w14:textId="3A50E65D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1D20D94" w14:textId="77777777" w:rsidTr="00EA6243">
        <w:trPr>
          <w:cantSplit/>
        </w:trPr>
        <w:tc>
          <w:tcPr>
            <w:tcW w:w="4077" w:type="dxa"/>
            <w:vAlign w:val="center"/>
          </w:tcPr>
          <w:p w14:paraId="77A2DE33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E3351B3" w14:textId="63F4D9C8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3093CBB0" w14:textId="77777777" w:rsidTr="00EA6243">
        <w:trPr>
          <w:cantSplit/>
        </w:trPr>
        <w:tc>
          <w:tcPr>
            <w:tcW w:w="4077" w:type="dxa"/>
            <w:vAlign w:val="center"/>
          </w:tcPr>
          <w:p w14:paraId="025FC089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2E69EC1C" w14:textId="5B9519AA" w:rsidR="00E06F40" w:rsidRPr="00A006A0" w:rsidRDefault="008A0582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52708">
                  <w:sym w:font="Wingdings" w:char="F0FC"/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30F9DD6E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41A1357A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7CB08B2A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1BD7D208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652B0B4D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608D687A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BEE0463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3F5D71CC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7EE37D5E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784D6C51" w14:textId="77777777" w:rsidR="00E037E4" w:rsidRDefault="00E037E4" w:rsidP="00E037E4">
      <w:r w:rsidRPr="002022B6">
        <w:t>Deutsche Forschungsgemeinschaft (DFG)</w:t>
      </w:r>
      <w:r>
        <w:t xml:space="preserve"> (2010) 2-Butoxyethanol (ethylene glycol monobutyl ether) – MAK value documentation.</w:t>
      </w:r>
    </w:p>
    <w:p w14:paraId="4D41524A" w14:textId="3EBB3A6F" w:rsidR="00A62AA7" w:rsidRDefault="00A62AA7" w:rsidP="00084859">
      <w:r w:rsidRPr="002022B6">
        <w:t>Deutsche Forschungsgemeinschaft (DFG)</w:t>
      </w:r>
      <w:r>
        <w:t xml:space="preserve"> (</w:t>
      </w:r>
      <w:r w:rsidR="005E6991">
        <w:t>2019</w:t>
      </w:r>
      <w:r>
        <w:t xml:space="preserve">) </w:t>
      </w:r>
      <w:r w:rsidR="00B03ACE">
        <w:t>2-Butoxyethanol (ethylene glycol monobutyl ether)</w:t>
      </w:r>
      <w:r>
        <w:t xml:space="preserve"> – MAK value documentation.</w:t>
      </w:r>
    </w:p>
    <w:p w14:paraId="5DFECC41" w14:textId="054FE10A" w:rsidR="00A62AA7" w:rsidRDefault="00A62AA7" w:rsidP="00084859">
      <w:r w:rsidRPr="002022B6">
        <w:t>EU Scientific Committee on Occupational Exposure Limits (SCOEL)</w:t>
      </w:r>
      <w:r>
        <w:t xml:space="preserve"> (</w:t>
      </w:r>
      <w:r w:rsidR="008422EE">
        <w:t>1996</w:t>
      </w:r>
      <w:r>
        <w:t xml:space="preserve">) Recommendation from the Scientific </w:t>
      </w:r>
      <w:r w:rsidR="008422EE">
        <w:t>Expert Group</w:t>
      </w:r>
      <w:r>
        <w:t xml:space="preserve"> on Occupational Exposure Limits for </w:t>
      </w:r>
      <w:r w:rsidR="008422EE">
        <w:t>2-</w:t>
      </w:r>
      <w:r w:rsidR="00EC676A">
        <w:t>B</w:t>
      </w:r>
      <w:r w:rsidR="008422EE">
        <w:t>utoxyethanol</w:t>
      </w:r>
      <w:r>
        <w:t>. SE</w:t>
      </w:r>
      <w:r w:rsidR="00CF54C2">
        <w:t>G</w:t>
      </w:r>
      <w:r>
        <w:t>/</w:t>
      </w:r>
      <w:r w:rsidR="008422EE">
        <w:t>SUM/70</w:t>
      </w:r>
      <w:r>
        <w:t>.</w:t>
      </w:r>
    </w:p>
    <w:p w14:paraId="12EEBE9F" w14:textId="77777777" w:rsidR="00AD7D28" w:rsidRDefault="00AD7D28" w:rsidP="00084859">
      <w:r w:rsidRPr="00AD7D28">
        <w:t>International Agency for Research on Cancer (IARC) (</w:t>
      </w:r>
      <w:r w:rsidR="004E6A9C">
        <w:t>2006</w:t>
      </w:r>
      <w:r w:rsidRPr="00AD7D28">
        <w:t xml:space="preserve">) Volume </w:t>
      </w:r>
      <w:r w:rsidR="004E6A9C">
        <w:t>88</w:t>
      </w:r>
      <w:r w:rsidRPr="00AD7D28">
        <w:t xml:space="preserve"> </w:t>
      </w:r>
      <w:r w:rsidR="004E6A9C">
        <w:t>Formaldehyde, 2-Butoxyethanol and 1-tert-Butoxypropan-2-ol</w:t>
      </w:r>
      <w:r w:rsidRPr="00AD7D28">
        <w:t>. IARC Monographs on the evaluation of the carcinogenic risk to humans.</w:t>
      </w:r>
    </w:p>
    <w:p w14:paraId="6C13878A" w14:textId="77777777" w:rsidR="00AD7D28" w:rsidRDefault="00AD7D28" w:rsidP="00084859">
      <w:r w:rsidRPr="00D86E03">
        <w:t>US National Institute for Occupational Safety and Health (NIOSH)</w:t>
      </w:r>
      <w:r>
        <w:t xml:space="preserve"> (</w:t>
      </w:r>
      <w:r w:rsidR="00E037E4">
        <w:t>1994</w:t>
      </w:r>
      <w:r>
        <w:t xml:space="preserve">) Immediately dangerous to life or health concentrations – </w:t>
      </w:r>
      <w:r w:rsidR="00C33840">
        <w:t>2-Butoxyethanol</w:t>
      </w:r>
      <w:r>
        <w:t>.</w:t>
      </w:r>
    </w:p>
    <w:p w14:paraId="4443B8A9" w14:textId="77777777" w:rsidR="00652708" w:rsidRPr="00351FE0" w:rsidRDefault="00652708" w:rsidP="00652708">
      <w:r>
        <w:t>US National Institute for Occupational Safety and Health (NIOSH) (2011) Skin Notation Profiles: 2-Butoxyethanol (BE).</w:t>
      </w:r>
    </w:p>
    <w:p w14:paraId="75100B3A" w14:textId="77777777" w:rsidR="00652708" w:rsidRPr="00351FE0" w:rsidRDefault="00652708" w:rsidP="00652708"/>
    <w:sectPr w:rsidR="00652708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0575BF" w16cid:durableId="2120DDA6"/>
  <w16cid:commentId w16cid:paraId="10EEDFF2" w16cid:durableId="2120DE28"/>
  <w16cid:commentId w16cid:paraId="62E4F119" w16cid:durableId="2120DFF1"/>
  <w16cid:commentId w16cid:paraId="0CFB88AC" w16cid:durableId="2120E495"/>
  <w16cid:commentId w16cid:paraId="48CB3981" w16cid:durableId="2120E27C"/>
  <w16cid:commentId w16cid:paraId="43F05465" w16cid:durableId="2120E3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C5801" w14:textId="77777777" w:rsidR="00096764" w:rsidRDefault="00096764" w:rsidP="00F43AD5">
      <w:pPr>
        <w:spacing w:after="0" w:line="240" w:lineRule="auto"/>
      </w:pPr>
      <w:r>
        <w:separator/>
      </w:r>
    </w:p>
  </w:endnote>
  <w:endnote w:type="continuationSeparator" w:id="0">
    <w:p w14:paraId="279F64BB" w14:textId="77777777" w:rsidR="00096764" w:rsidRDefault="00096764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AE8DF" w14:textId="77777777" w:rsidR="00422AC2" w:rsidRDefault="00422A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73C8AE5" w14:textId="77777777" w:rsidR="008A36CF" w:rsidRDefault="00C76B35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2-Butoxyethanol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111-76-2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18A95DBE" w14:textId="057B7454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8A0582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5242B" w14:textId="77777777" w:rsidR="00422AC2" w:rsidRDefault="00422A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5B88F" w14:textId="77777777" w:rsidR="00096764" w:rsidRDefault="00096764" w:rsidP="00F43AD5">
      <w:pPr>
        <w:spacing w:after="0" w:line="240" w:lineRule="auto"/>
      </w:pPr>
      <w:r>
        <w:separator/>
      </w:r>
    </w:p>
  </w:footnote>
  <w:footnote w:type="continuationSeparator" w:id="0">
    <w:p w14:paraId="7D0C1184" w14:textId="77777777" w:rsidR="00096764" w:rsidRDefault="00096764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EDE0D" w14:textId="77777777" w:rsidR="00422AC2" w:rsidRDefault="00422A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48CF2" w14:textId="34E8A677" w:rsidR="008A36CF" w:rsidRDefault="008A0582" w:rsidP="00F43AD5">
    <w:pPr>
      <w:pStyle w:val="Header"/>
      <w:jc w:val="right"/>
    </w:pPr>
    <w:sdt>
      <w:sdtPr>
        <w:id w:val="-1144662092"/>
        <w:docPartObj>
          <w:docPartGallery w:val="Watermarks"/>
          <w:docPartUnique/>
        </w:docPartObj>
      </w:sdtPr>
      <w:sdtContent>
        <w:r>
          <w:pict w14:anchorId="6E97140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42" type="#_x0000_t136" style="position:absolute;left:0;text-align:left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23391" w14:textId="4A20AAF2" w:rsidR="00422AC2" w:rsidRDefault="008A0582" w:rsidP="00422AC2">
    <w:pPr>
      <w:pStyle w:val="Header"/>
      <w:jc w:val="right"/>
    </w:pPr>
    <w:sdt>
      <w:sdtPr>
        <w:id w:val="973340795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39239DC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1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22AC2">
      <w:rPr>
        <w:noProof/>
        <w:lang w:eastAsia="en-AU"/>
      </w:rPr>
      <w:drawing>
        <wp:inline distT="0" distB="0" distL="0" distR="0" wp14:anchorId="72221E3F" wp14:editId="21EF44A9">
          <wp:extent cx="2938272" cy="594360"/>
          <wp:effectExtent l="0" t="0" r="0" b="0"/>
          <wp:docPr id="1" name="Picture 1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BD9F9" w14:textId="461914D0" w:rsidR="008A36CF" w:rsidRPr="00AC0CBA" w:rsidRDefault="008A0582" w:rsidP="00AC0CBA">
    <w:pPr>
      <w:pStyle w:val="Header"/>
    </w:pPr>
    <w:sdt>
      <w:sdtPr>
        <w:id w:val="1788550805"/>
        <w:docPartObj>
          <w:docPartGallery w:val="Watermarks"/>
          <w:docPartUnique/>
        </w:docPartObj>
      </w:sdtPr>
      <w:sdtContent>
        <w:r>
          <w:pict w14:anchorId="212C232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43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5A80F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2F0F8B"/>
    <w:multiLevelType w:val="hybridMultilevel"/>
    <w:tmpl w:val="EEFA7EF8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9461A0"/>
    <w:multiLevelType w:val="hybridMultilevel"/>
    <w:tmpl w:val="242C2D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1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55DD"/>
    <w:rsid w:val="00006BE1"/>
    <w:rsid w:val="00007B80"/>
    <w:rsid w:val="00013A22"/>
    <w:rsid w:val="00014C3F"/>
    <w:rsid w:val="00017C82"/>
    <w:rsid w:val="00032B88"/>
    <w:rsid w:val="00036F30"/>
    <w:rsid w:val="000405A9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93ED4"/>
    <w:rsid w:val="00096764"/>
    <w:rsid w:val="000B0868"/>
    <w:rsid w:val="000B3E12"/>
    <w:rsid w:val="000B3E78"/>
    <w:rsid w:val="000B7B48"/>
    <w:rsid w:val="000C023F"/>
    <w:rsid w:val="000C096D"/>
    <w:rsid w:val="000C139A"/>
    <w:rsid w:val="000C2053"/>
    <w:rsid w:val="000C248C"/>
    <w:rsid w:val="000D1E5A"/>
    <w:rsid w:val="000D291C"/>
    <w:rsid w:val="000E4C1F"/>
    <w:rsid w:val="000E5A54"/>
    <w:rsid w:val="000E63D3"/>
    <w:rsid w:val="000E67CF"/>
    <w:rsid w:val="0010461E"/>
    <w:rsid w:val="00106FAA"/>
    <w:rsid w:val="00113443"/>
    <w:rsid w:val="00123474"/>
    <w:rsid w:val="001269A7"/>
    <w:rsid w:val="00131092"/>
    <w:rsid w:val="00140E6A"/>
    <w:rsid w:val="00143273"/>
    <w:rsid w:val="0014513D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A616C"/>
    <w:rsid w:val="001B79E5"/>
    <w:rsid w:val="001C4BDF"/>
    <w:rsid w:val="001D56F0"/>
    <w:rsid w:val="001D663B"/>
    <w:rsid w:val="001D7B41"/>
    <w:rsid w:val="001E40D3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4F20"/>
    <w:rsid w:val="00227EC7"/>
    <w:rsid w:val="00244AD1"/>
    <w:rsid w:val="002463BC"/>
    <w:rsid w:val="002465CE"/>
    <w:rsid w:val="002505E1"/>
    <w:rsid w:val="00254CE8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D4907"/>
    <w:rsid w:val="002E0D61"/>
    <w:rsid w:val="002E4C7B"/>
    <w:rsid w:val="00302B4B"/>
    <w:rsid w:val="00303179"/>
    <w:rsid w:val="0030740C"/>
    <w:rsid w:val="003102C2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6C6E"/>
    <w:rsid w:val="00347192"/>
    <w:rsid w:val="0034744C"/>
    <w:rsid w:val="00351FE0"/>
    <w:rsid w:val="00352615"/>
    <w:rsid w:val="0035412B"/>
    <w:rsid w:val="003567A8"/>
    <w:rsid w:val="0036008F"/>
    <w:rsid w:val="0036156C"/>
    <w:rsid w:val="00362895"/>
    <w:rsid w:val="00370DBF"/>
    <w:rsid w:val="00373EF2"/>
    <w:rsid w:val="003809B4"/>
    <w:rsid w:val="00386093"/>
    <w:rsid w:val="003904A4"/>
    <w:rsid w:val="00391841"/>
    <w:rsid w:val="00391B6D"/>
    <w:rsid w:val="00394922"/>
    <w:rsid w:val="003976FA"/>
    <w:rsid w:val="003A0E32"/>
    <w:rsid w:val="003A2B94"/>
    <w:rsid w:val="003A675D"/>
    <w:rsid w:val="003B387D"/>
    <w:rsid w:val="003C0D58"/>
    <w:rsid w:val="003C35C3"/>
    <w:rsid w:val="003C703E"/>
    <w:rsid w:val="003C719A"/>
    <w:rsid w:val="003D161C"/>
    <w:rsid w:val="003D47DD"/>
    <w:rsid w:val="003D4FA3"/>
    <w:rsid w:val="003E0807"/>
    <w:rsid w:val="003E51FB"/>
    <w:rsid w:val="003E5A9E"/>
    <w:rsid w:val="003E6B39"/>
    <w:rsid w:val="003E719B"/>
    <w:rsid w:val="003F07E1"/>
    <w:rsid w:val="004030BC"/>
    <w:rsid w:val="00403F7D"/>
    <w:rsid w:val="00406785"/>
    <w:rsid w:val="004079B4"/>
    <w:rsid w:val="00417A56"/>
    <w:rsid w:val="00420957"/>
    <w:rsid w:val="00422A10"/>
    <w:rsid w:val="00422AC2"/>
    <w:rsid w:val="00425E09"/>
    <w:rsid w:val="00430179"/>
    <w:rsid w:val="004377A6"/>
    <w:rsid w:val="004414B5"/>
    <w:rsid w:val="00444482"/>
    <w:rsid w:val="00444B42"/>
    <w:rsid w:val="00445E44"/>
    <w:rsid w:val="004509E2"/>
    <w:rsid w:val="004515EE"/>
    <w:rsid w:val="004529F0"/>
    <w:rsid w:val="00460307"/>
    <w:rsid w:val="00460A03"/>
    <w:rsid w:val="004624EA"/>
    <w:rsid w:val="004662C8"/>
    <w:rsid w:val="004703B2"/>
    <w:rsid w:val="00472A11"/>
    <w:rsid w:val="00472AAD"/>
    <w:rsid w:val="00474E33"/>
    <w:rsid w:val="004752C0"/>
    <w:rsid w:val="00476803"/>
    <w:rsid w:val="00477B34"/>
    <w:rsid w:val="00485BFD"/>
    <w:rsid w:val="004867A2"/>
    <w:rsid w:val="004873F2"/>
    <w:rsid w:val="00487EDC"/>
    <w:rsid w:val="00490D4C"/>
    <w:rsid w:val="00493A35"/>
    <w:rsid w:val="0049527A"/>
    <w:rsid w:val="004966BF"/>
    <w:rsid w:val="00497984"/>
    <w:rsid w:val="004A5088"/>
    <w:rsid w:val="004B3233"/>
    <w:rsid w:val="004C1E3F"/>
    <w:rsid w:val="004C23F4"/>
    <w:rsid w:val="004C3475"/>
    <w:rsid w:val="004C433F"/>
    <w:rsid w:val="004C58B6"/>
    <w:rsid w:val="004C7E53"/>
    <w:rsid w:val="004D16A3"/>
    <w:rsid w:val="004D3D36"/>
    <w:rsid w:val="004D4AA1"/>
    <w:rsid w:val="004D6D68"/>
    <w:rsid w:val="004E5EDD"/>
    <w:rsid w:val="004E6A9C"/>
    <w:rsid w:val="004E6DA7"/>
    <w:rsid w:val="004E74F0"/>
    <w:rsid w:val="004F3846"/>
    <w:rsid w:val="004F448A"/>
    <w:rsid w:val="004F493D"/>
    <w:rsid w:val="004F65E8"/>
    <w:rsid w:val="0050005E"/>
    <w:rsid w:val="00502B88"/>
    <w:rsid w:val="005142C4"/>
    <w:rsid w:val="0051509C"/>
    <w:rsid w:val="0051537F"/>
    <w:rsid w:val="005272E2"/>
    <w:rsid w:val="0053108F"/>
    <w:rsid w:val="00532B56"/>
    <w:rsid w:val="00534B10"/>
    <w:rsid w:val="005446A2"/>
    <w:rsid w:val="00544D2F"/>
    <w:rsid w:val="00551BD8"/>
    <w:rsid w:val="00555287"/>
    <w:rsid w:val="00561179"/>
    <w:rsid w:val="0056762D"/>
    <w:rsid w:val="00581055"/>
    <w:rsid w:val="00582A09"/>
    <w:rsid w:val="00586DCD"/>
    <w:rsid w:val="00591E38"/>
    <w:rsid w:val="005A19C5"/>
    <w:rsid w:val="005A2763"/>
    <w:rsid w:val="005A3034"/>
    <w:rsid w:val="005A462D"/>
    <w:rsid w:val="005A7501"/>
    <w:rsid w:val="005B253B"/>
    <w:rsid w:val="005B27F8"/>
    <w:rsid w:val="005B4654"/>
    <w:rsid w:val="005B6104"/>
    <w:rsid w:val="005B771D"/>
    <w:rsid w:val="005C4C9E"/>
    <w:rsid w:val="005C5D16"/>
    <w:rsid w:val="005C6192"/>
    <w:rsid w:val="005D3193"/>
    <w:rsid w:val="005D4A6E"/>
    <w:rsid w:val="005E6979"/>
    <w:rsid w:val="005E6991"/>
    <w:rsid w:val="005E7291"/>
    <w:rsid w:val="005E75CB"/>
    <w:rsid w:val="005F4ED8"/>
    <w:rsid w:val="006013C1"/>
    <w:rsid w:val="0060669E"/>
    <w:rsid w:val="00610F2E"/>
    <w:rsid w:val="00611399"/>
    <w:rsid w:val="00611EA5"/>
    <w:rsid w:val="00624498"/>
    <w:rsid w:val="00624C4E"/>
    <w:rsid w:val="00625200"/>
    <w:rsid w:val="006325C1"/>
    <w:rsid w:val="006363A8"/>
    <w:rsid w:val="00636DB7"/>
    <w:rsid w:val="006425A0"/>
    <w:rsid w:val="006466BB"/>
    <w:rsid w:val="00650905"/>
    <w:rsid w:val="00652708"/>
    <w:rsid w:val="006532ED"/>
    <w:rsid w:val="006538E6"/>
    <w:rsid w:val="006549F2"/>
    <w:rsid w:val="006567B7"/>
    <w:rsid w:val="00657BFB"/>
    <w:rsid w:val="0066333C"/>
    <w:rsid w:val="006639B4"/>
    <w:rsid w:val="006650FE"/>
    <w:rsid w:val="0067305D"/>
    <w:rsid w:val="00673606"/>
    <w:rsid w:val="006744AD"/>
    <w:rsid w:val="00677D9B"/>
    <w:rsid w:val="006867F3"/>
    <w:rsid w:val="00687890"/>
    <w:rsid w:val="00687B96"/>
    <w:rsid w:val="006901A2"/>
    <w:rsid w:val="00690368"/>
    <w:rsid w:val="0069079C"/>
    <w:rsid w:val="00690B53"/>
    <w:rsid w:val="006942A4"/>
    <w:rsid w:val="00695B72"/>
    <w:rsid w:val="006A304B"/>
    <w:rsid w:val="006A3678"/>
    <w:rsid w:val="006B160A"/>
    <w:rsid w:val="006B4E6C"/>
    <w:rsid w:val="006B50B6"/>
    <w:rsid w:val="006C1003"/>
    <w:rsid w:val="006D79EA"/>
    <w:rsid w:val="006E5D05"/>
    <w:rsid w:val="006E656D"/>
    <w:rsid w:val="006F53A5"/>
    <w:rsid w:val="00701053"/>
    <w:rsid w:val="00701507"/>
    <w:rsid w:val="00701FA1"/>
    <w:rsid w:val="00705595"/>
    <w:rsid w:val="0070659E"/>
    <w:rsid w:val="00707E8E"/>
    <w:rsid w:val="00713929"/>
    <w:rsid w:val="00714021"/>
    <w:rsid w:val="00716A0F"/>
    <w:rsid w:val="00717D45"/>
    <w:rsid w:val="007208F7"/>
    <w:rsid w:val="007218AF"/>
    <w:rsid w:val="00723BEC"/>
    <w:rsid w:val="00732534"/>
    <w:rsid w:val="007365D1"/>
    <w:rsid w:val="00740E0E"/>
    <w:rsid w:val="0074504D"/>
    <w:rsid w:val="00746544"/>
    <w:rsid w:val="00750212"/>
    <w:rsid w:val="00754779"/>
    <w:rsid w:val="0075716D"/>
    <w:rsid w:val="00765F14"/>
    <w:rsid w:val="00770E31"/>
    <w:rsid w:val="007735E0"/>
    <w:rsid w:val="007770F1"/>
    <w:rsid w:val="007815EC"/>
    <w:rsid w:val="00783FB1"/>
    <w:rsid w:val="00785CDD"/>
    <w:rsid w:val="00791847"/>
    <w:rsid w:val="007925F0"/>
    <w:rsid w:val="007939B3"/>
    <w:rsid w:val="0079509C"/>
    <w:rsid w:val="00796708"/>
    <w:rsid w:val="00797884"/>
    <w:rsid w:val="007A0A3E"/>
    <w:rsid w:val="007B1B42"/>
    <w:rsid w:val="007C30EB"/>
    <w:rsid w:val="007D063B"/>
    <w:rsid w:val="007D41BE"/>
    <w:rsid w:val="007E063C"/>
    <w:rsid w:val="007E0D13"/>
    <w:rsid w:val="007E1A84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22EE"/>
    <w:rsid w:val="00843E21"/>
    <w:rsid w:val="0084508E"/>
    <w:rsid w:val="00857A8A"/>
    <w:rsid w:val="008630EE"/>
    <w:rsid w:val="00864D13"/>
    <w:rsid w:val="00870BD6"/>
    <w:rsid w:val="00871CD5"/>
    <w:rsid w:val="008745A2"/>
    <w:rsid w:val="0087573B"/>
    <w:rsid w:val="008768A8"/>
    <w:rsid w:val="0088798F"/>
    <w:rsid w:val="00887E4B"/>
    <w:rsid w:val="008900EB"/>
    <w:rsid w:val="008915C8"/>
    <w:rsid w:val="00892A48"/>
    <w:rsid w:val="008A0582"/>
    <w:rsid w:val="008A36CF"/>
    <w:rsid w:val="008A3BC4"/>
    <w:rsid w:val="008A5886"/>
    <w:rsid w:val="008B18C2"/>
    <w:rsid w:val="008B403C"/>
    <w:rsid w:val="008B7983"/>
    <w:rsid w:val="008C2511"/>
    <w:rsid w:val="008D026D"/>
    <w:rsid w:val="008D1D7F"/>
    <w:rsid w:val="008D23AB"/>
    <w:rsid w:val="008D4B8B"/>
    <w:rsid w:val="008D5A78"/>
    <w:rsid w:val="008D7CC7"/>
    <w:rsid w:val="008E1154"/>
    <w:rsid w:val="008E4C59"/>
    <w:rsid w:val="008E7B64"/>
    <w:rsid w:val="008F2C6D"/>
    <w:rsid w:val="008F5DCD"/>
    <w:rsid w:val="00900951"/>
    <w:rsid w:val="009118A6"/>
    <w:rsid w:val="0091196F"/>
    <w:rsid w:val="0091438D"/>
    <w:rsid w:val="00916909"/>
    <w:rsid w:val="00916EC0"/>
    <w:rsid w:val="00920467"/>
    <w:rsid w:val="00921DE7"/>
    <w:rsid w:val="0093041A"/>
    <w:rsid w:val="00930714"/>
    <w:rsid w:val="009310F4"/>
    <w:rsid w:val="00931B03"/>
    <w:rsid w:val="009323B9"/>
    <w:rsid w:val="00932DCE"/>
    <w:rsid w:val="0093327E"/>
    <w:rsid w:val="00934028"/>
    <w:rsid w:val="009351E0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A43B2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E6783"/>
    <w:rsid w:val="009F04D2"/>
    <w:rsid w:val="009F05CF"/>
    <w:rsid w:val="009F0F3A"/>
    <w:rsid w:val="00A01452"/>
    <w:rsid w:val="00A01D0C"/>
    <w:rsid w:val="00A02C1E"/>
    <w:rsid w:val="00A0643F"/>
    <w:rsid w:val="00A067EE"/>
    <w:rsid w:val="00A10FCE"/>
    <w:rsid w:val="00A14048"/>
    <w:rsid w:val="00A16D91"/>
    <w:rsid w:val="00A174CC"/>
    <w:rsid w:val="00A2073D"/>
    <w:rsid w:val="00A20751"/>
    <w:rsid w:val="00A27E2D"/>
    <w:rsid w:val="00A308AD"/>
    <w:rsid w:val="00A31D99"/>
    <w:rsid w:val="00A357BA"/>
    <w:rsid w:val="00A35ADC"/>
    <w:rsid w:val="00A402A3"/>
    <w:rsid w:val="00A53681"/>
    <w:rsid w:val="00A5432A"/>
    <w:rsid w:val="00A57778"/>
    <w:rsid w:val="00A620DA"/>
    <w:rsid w:val="00A62AA7"/>
    <w:rsid w:val="00A633D4"/>
    <w:rsid w:val="00A6461A"/>
    <w:rsid w:val="00A6519E"/>
    <w:rsid w:val="00A65B07"/>
    <w:rsid w:val="00A74887"/>
    <w:rsid w:val="00A82FD3"/>
    <w:rsid w:val="00A83FBE"/>
    <w:rsid w:val="00A84504"/>
    <w:rsid w:val="00A8672F"/>
    <w:rsid w:val="00A93057"/>
    <w:rsid w:val="00A968B0"/>
    <w:rsid w:val="00AA585D"/>
    <w:rsid w:val="00AB2672"/>
    <w:rsid w:val="00AB2817"/>
    <w:rsid w:val="00AB43C4"/>
    <w:rsid w:val="00AB5F07"/>
    <w:rsid w:val="00AC0A86"/>
    <w:rsid w:val="00AC0CBA"/>
    <w:rsid w:val="00AC32E7"/>
    <w:rsid w:val="00AC3A9F"/>
    <w:rsid w:val="00AC6D2F"/>
    <w:rsid w:val="00AD2859"/>
    <w:rsid w:val="00AD7D28"/>
    <w:rsid w:val="00AE2745"/>
    <w:rsid w:val="00AE2F64"/>
    <w:rsid w:val="00AF0A73"/>
    <w:rsid w:val="00AF42CB"/>
    <w:rsid w:val="00AF483F"/>
    <w:rsid w:val="00AF5E07"/>
    <w:rsid w:val="00AF5F06"/>
    <w:rsid w:val="00B00A25"/>
    <w:rsid w:val="00B03970"/>
    <w:rsid w:val="00B03ACE"/>
    <w:rsid w:val="00B1422A"/>
    <w:rsid w:val="00B1472F"/>
    <w:rsid w:val="00B1765C"/>
    <w:rsid w:val="00B212E3"/>
    <w:rsid w:val="00B213C4"/>
    <w:rsid w:val="00B33F60"/>
    <w:rsid w:val="00B40C60"/>
    <w:rsid w:val="00B479A9"/>
    <w:rsid w:val="00B52EDF"/>
    <w:rsid w:val="00B649DE"/>
    <w:rsid w:val="00B71188"/>
    <w:rsid w:val="00B76A41"/>
    <w:rsid w:val="00B87D4C"/>
    <w:rsid w:val="00B93646"/>
    <w:rsid w:val="00B93D23"/>
    <w:rsid w:val="00BA0B38"/>
    <w:rsid w:val="00BA1DBB"/>
    <w:rsid w:val="00BA4510"/>
    <w:rsid w:val="00BA529A"/>
    <w:rsid w:val="00BA6112"/>
    <w:rsid w:val="00BB612A"/>
    <w:rsid w:val="00BC09FA"/>
    <w:rsid w:val="00BC79C2"/>
    <w:rsid w:val="00BD499F"/>
    <w:rsid w:val="00BD56DE"/>
    <w:rsid w:val="00BE35F7"/>
    <w:rsid w:val="00BF001A"/>
    <w:rsid w:val="00BF2406"/>
    <w:rsid w:val="00C0339F"/>
    <w:rsid w:val="00C03C43"/>
    <w:rsid w:val="00C06E43"/>
    <w:rsid w:val="00C15052"/>
    <w:rsid w:val="00C16315"/>
    <w:rsid w:val="00C223ED"/>
    <w:rsid w:val="00C3091E"/>
    <w:rsid w:val="00C33840"/>
    <w:rsid w:val="00C34D4A"/>
    <w:rsid w:val="00C40FF1"/>
    <w:rsid w:val="00C419E2"/>
    <w:rsid w:val="00C5020E"/>
    <w:rsid w:val="00C5092C"/>
    <w:rsid w:val="00C57452"/>
    <w:rsid w:val="00C61EDF"/>
    <w:rsid w:val="00C6239D"/>
    <w:rsid w:val="00C6401A"/>
    <w:rsid w:val="00C6594B"/>
    <w:rsid w:val="00C67FFB"/>
    <w:rsid w:val="00C7155E"/>
    <w:rsid w:val="00C71D1E"/>
    <w:rsid w:val="00C71D7D"/>
    <w:rsid w:val="00C74833"/>
    <w:rsid w:val="00C76B35"/>
    <w:rsid w:val="00C77602"/>
    <w:rsid w:val="00C850A0"/>
    <w:rsid w:val="00C85A86"/>
    <w:rsid w:val="00C85C09"/>
    <w:rsid w:val="00C978F0"/>
    <w:rsid w:val="00CA4943"/>
    <w:rsid w:val="00CA58FE"/>
    <w:rsid w:val="00CB1CB1"/>
    <w:rsid w:val="00CB5A58"/>
    <w:rsid w:val="00CB6BC1"/>
    <w:rsid w:val="00CB6CB8"/>
    <w:rsid w:val="00CC1A68"/>
    <w:rsid w:val="00CC2123"/>
    <w:rsid w:val="00CD2BFD"/>
    <w:rsid w:val="00CE5AD6"/>
    <w:rsid w:val="00CE617F"/>
    <w:rsid w:val="00CE78EF"/>
    <w:rsid w:val="00CF54C2"/>
    <w:rsid w:val="00D048F7"/>
    <w:rsid w:val="00D0517E"/>
    <w:rsid w:val="00D140FC"/>
    <w:rsid w:val="00D205C9"/>
    <w:rsid w:val="00D21D8C"/>
    <w:rsid w:val="00D2279D"/>
    <w:rsid w:val="00D23704"/>
    <w:rsid w:val="00D31357"/>
    <w:rsid w:val="00D33220"/>
    <w:rsid w:val="00D334D1"/>
    <w:rsid w:val="00D440E1"/>
    <w:rsid w:val="00D44C89"/>
    <w:rsid w:val="00D516CD"/>
    <w:rsid w:val="00D668E6"/>
    <w:rsid w:val="00D70670"/>
    <w:rsid w:val="00D72C8E"/>
    <w:rsid w:val="00D74645"/>
    <w:rsid w:val="00D74D80"/>
    <w:rsid w:val="00D76624"/>
    <w:rsid w:val="00D87570"/>
    <w:rsid w:val="00D91CB9"/>
    <w:rsid w:val="00D9769B"/>
    <w:rsid w:val="00D97989"/>
    <w:rsid w:val="00D97D8D"/>
    <w:rsid w:val="00DA352E"/>
    <w:rsid w:val="00DA482B"/>
    <w:rsid w:val="00DB3EDF"/>
    <w:rsid w:val="00DC7694"/>
    <w:rsid w:val="00DD077D"/>
    <w:rsid w:val="00DD1BF6"/>
    <w:rsid w:val="00DD2F9B"/>
    <w:rsid w:val="00DD6839"/>
    <w:rsid w:val="00DE0F71"/>
    <w:rsid w:val="00DE2513"/>
    <w:rsid w:val="00DE26E8"/>
    <w:rsid w:val="00DF6F36"/>
    <w:rsid w:val="00E0084C"/>
    <w:rsid w:val="00E025AB"/>
    <w:rsid w:val="00E02B23"/>
    <w:rsid w:val="00E037E4"/>
    <w:rsid w:val="00E06F40"/>
    <w:rsid w:val="00E07CE8"/>
    <w:rsid w:val="00E17F45"/>
    <w:rsid w:val="00E26A07"/>
    <w:rsid w:val="00E3147A"/>
    <w:rsid w:val="00E32595"/>
    <w:rsid w:val="00E37CFD"/>
    <w:rsid w:val="00E41A26"/>
    <w:rsid w:val="00E453B7"/>
    <w:rsid w:val="00E46BCB"/>
    <w:rsid w:val="00E51CAF"/>
    <w:rsid w:val="00E5790F"/>
    <w:rsid w:val="00E60F04"/>
    <w:rsid w:val="00E62AAC"/>
    <w:rsid w:val="00E644E5"/>
    <w:rsid w:val="00E6730E"/>
    <w:rsid w:val="00E67C2F"/>
    <w:rsid w:val="00E67EF5"/>
    <w:rsid w:val="00E736E0"/>
    <w:rsid w:val="00E75DAE"/>
    <w:rsid w:val="00E804EA"/>
    <w:rsid w:val="00E8062B"/>
    <w:rsid w:val="00E80A71"/>
    <w:rsid w:val="00E82337"/>
    <w:rsid w:val="00E855BC"/>
    <w:rsid w:val="00E92499"/>
    <w:rsid w:val="00E949AF"/>
    <w:rsid w:val="00E96077"/>
    <w:rsid w:val="00EA0A06"/>
    <w:rsid w:val="00EA1E2D"/>
    <w:rsid w:val="00EA6243"/>
    <w:rsid w:val="00EA74AB"/>
    <w:rsid w:val="00EB3D1B"/>
    <w:rsid w:val="00EC676A"/>
    <w:rsid w:val="00ED06BA"/>
    <w:rsid w:val="00ED1D89"/>
    <w:rsid w:val="00ED66BC"/>
    <w:rsid w:val="00EE5108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37A1F"/>
    <w:rsid w:val="00F43AD5"/>
    <w:rsid w:val="00F4402E"/>
    <w:rsid w:val="00F54AF3"/>
    <w:rsid w:val="00F56DD0"/>
    <w:rsid w:val="00F63D69"/>
    <w:rsid w:val="00F6491C"/>
    <w:rsid w:val="00F67BBB"/>
    <w:rsid w:val="00F76100"/>
    <w:rsid w:val="00F87D92"/>
    <w:rsid w:val="00F90AA7"/>
    <w:rsid w:val="00F92498"/>
    <w:rsid w:val="00F94020"/>
    <w:rsid w:val="00F9496B"/>
    <w:rsid w:val="00F970C9"/>
    <w:rsid w:val="00FA06A8"/>
    <w:rsid w:val="00FA3CD2"/>
    <w:rsid w:val="00FA3DF5"/>
    <w:rsid w:val="00FA741F"/>
    <w:rsid w:val="00FB2B65"/>
    <w:rsid w:val="00FB4E07"/>
    <w:rsid w:val="00FB755A"/>
    <w:rsid w:val="00FC0CAF"/>
    <w:rsid w:val="00FC3F89"/>
    <w:rsid w:val="00FC60A2"/>
    <w:rsid w:val="00FD1871"/>
    <w:rsid w:val="00FD3110"/>
    <w:rsid w:val="00FE350F"/>
    <w:rsid w:val="00FF48E4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  <w14:docId w14:val="6B48683E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7A0A3E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6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76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76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76A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20BC8D26515A4C11AC6304FB75A7C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72BE-1073-48D1-A613-18F5D94AD94A}"/>
      </w:docPartPr>
      <w:docPartBody>
        <w:p w:rsidR="00D21A9F" w:rsidRDefault="00D21A9F">
          <w:pPr>
            <w:pStyle w:val="20BC8D26515A4C11AC6304FB75A7CBA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876887717F144F3699198FA2D89C1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E89D-0D33-484E-931B-64777D5E492A}"/>
      </w:docPartPr>
      <w:docPartBody>
        <w:p w:rsidR="007952EE" w:rsidRDefault="00C7379A" w:rsidP="00C7379A">
          <w:pPr>
            <w:pStyle w:val="876887717F144F3699198FA2D89C1C29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2B7134"/>
    <w:rsid w:val="007952EE"/>
    <w:rsid w:val="009E1CAA"/>
    <w:rsid w:val="00BD0321"/>
    <w:rsid w:val="00C7379A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379A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551503E396454E7E84E8A33CFFBE0A5B">
    <w:name w:val="551503E396454E7E84E8A33CFFBE0A5B"/>
    <w:rsid w:val="009E1CAA"/>
    <w:rPr>
      <w:lang w:val="en-US" w:eastAsia="en-US"/>
    </w:rPr>
  </w:style>
  <w:style w:type="paragraph" w:customStyle="1" w:styleId="A63907C5146D4D0E889ADB1E724C0AA5">
    <w:name w:val="A63907C5146D4D0E889ADB1E724C0AA5"/>
    <w:rsid w:val="009E1CAA"/>
    <w:rPr>
      <w:lang w:val="en-US" w:eastAsia="en-US"/>
    </w:rPr>
  </w:style>
  <w:style w:type="paragraph" w:customStyle="1" w:styleId="EDE438ADC7A444C599A0A1CBC66007AF">
    <w:name w:val="EDE438ADC7A444C599A0A1CBC66007AF"/>
    <w:rsid w:val="009E1CAA"/>
    <w:rPr>
      <w:lang w:val="en-US" w:eastAsia="en-US"/>
    </w:rPr>
  </w:style>
  <w:style w:type="paragraph" w:customStyle="1" w:styleId="4CD1879060F3419BA69D8098A2F08D80">
    <w:name w:val="4CD1879060F3419BA69D8098A2F08D80"/>
    <w:rsid w:val="009E1CAA"/>
    <w:rPr>
      <w:lang w:val="en-US" w:eastAsia="en-US"/>
    </w:rPr>
  </w:style>
  <w:style w:type="paragraph" w:customStyle="1" w:styleId="66C2FEC110154EB384D98B1E35F8EB4B">
    <w:name w:val="66C2FEC110154EB384D98B1E35F8EB4B"/>
    <w:rsid w:val="009E1CAA"/>
    <w:rPr>
      <w:lang w:val="en-US" w:eastAsia="en-US"/>
    </w:rPr>
  </w:style>
  <w:style w:type="paragraph" w:customStyle="1" w:styleId="684CBE02ECEE4F9B9BA0FAEDF2B40E3D">
    <w:name w:val="684CBE02ECEE4F9B9BA0FAEDF2B40E3D"/>
    <w:rsid w:val="009E1CAA"/>
    <w:rPr>
      <w:lang w:val="en-US" w:eastAsia="en-US"/>
    </w:rPr>
  </w:style>
  <w:style w:type="paragraph" w:customStyle="1" w:styleId="00D3995789B14AC29960851793F049FC">
    <w:name w:val="00D3995789B14AC29960851793F049FC"/>
    <w:rsid w:val="009E1CAA"/>
    <w:rPr>
      <w:lang w:val="en-US" w:eastAsia="en-US"/>
    </w:rPr>
  </w:style>
  <w:style w:type="paragraph" w:customStyle="1" w:styleId="876887717F144F3699198FA2D89C1C29">
    <w:name w:val="876887717F144F3699198FA2D89C1C29"/>
    <w:rsid w:val="00C737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1C235-50F6-44AC-87CF-1A60898E7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19635A-4551-4C5A-B882-20B85DD2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D457DD0.dotm</Template>
  <TotalTime>237</TotalTime>
  <Pages>6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19</cp:revision>
  <cp:lastPrinted>2018-10-22T22:41:00Z</cp:lastPrinted>
  <dcterms:created xsi:type="dcterms:W3CDTF">2019-08-12T06:32:00Z</dcterms:created>
  <dcterms:modified xsi:type="dcterms:W3CDTF">2019-09-13T06:27:00Z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