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Hlk15573228" w:displacedByCustomXml="next"/>
    <w:sdt>
      <w:sdtPr>
        <w:rPr>
          <w:rFonts w:ascii="Arial" w:hAnsi="Arial" w:cs="Arial"/>
        </w:rPr>
        <w:alias w:val="NameofChemical"/>
        <w:tag w:val="NameofChemical"/>
        <w:id w:val="1425919599"/>
        <w:lock w:val="sdtLocked"/>
        <w:placeholder>
          <w:docPart w:val="CE1736E50B02464986D1BEC8B7ACDE96"/>
        </w:placeholder>
        <w:text/>
      </w:sdtPr>
      <w:sdtEndPr/>
      <w:sdtContent>
        <w:p w14:paraId="782DE164" w14:textId="6B880C93" w:rsidR="00BD499F" w:rsidRPr="004C23F4" w:rsidRDefault="00B135A1" w:rsidP="00B40C60">
          <w:pPr>
            <w:pStyle w:val="Heading1"/>
            <w:jc w:val="center"/>
            <w:rPr>
              <w:rFonts w:ascii="Arial" w:hAnsi="Arial" w:cs="Arial"/>
            </w:rPr>
          </w:pPr>
          <w:r>
            <w:rPr>
              <w:rFonts w:ascii="Arial" w:hAnsi="Arial" w:cs="Arial"/>
            </w:rPr>
            <w:t>Benzoyl peroxide</w:t>
          </w:r>
        </w:p>
      </w:sdtContent>
    </w:sdt>
    <w:bookmarkEnd w:id="1" w:displacedByCustomXml="prev"/>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83"/>
        <w:gridCol w:w="5043"/>
      </w:tblGrid>
      <w:tr w:rsidR="00F43AD5" w:rsidRPr="004C23F4" w14:paraId="782DE167" w14:textId="77777777" w:rsidTr="00174F30">
        <w:trPr>
          <w:cantSplit/>
          <w:tblHeader/>
        </w:trPr>
        <w:tc>
          <w:tcPr>
            <w:tcW w:w="3983" w:type="dxa"/>
          </w:tcPr>
          <w:p w14:paraId="782DE165" w14:textId="77777777" w:rsidR="00F43AD5" w:rsidRPr="00921DE7" w:rsidRDefault="00CB1CB1" w:rsidP="00B76A41">
            <w:pPr>
              <w:pStyle w:val="Tablerowright"/>
            </w:pPr>
            <w:r w:rsidRPr="00921DE7">
              <w:t>CAS number:</w:t>
            </w:r>
          </w:p>
        </w:tc>
        <w:tc>
          <w:tcPr>
            <w:tcW w:w="5043" w:type="dxa"/>
          </w:tcPr>
          <w:p w14:paraId="782DE166" w14:textId="602C78BB" w:rsidR="00F43AD5" w:rsidRPr="00717D45" w:rsidRDefault="00AF70E2" w:rsidP="00B76A41">
            <w:pPr>
              <w:pStyle w:val="Tablefont"/>
            </w:pPr>
            <w:r w:rsidRPr="00AF70E2">
              <w:t>94-36-0</w:t>
            </w:r>
          </w:p>
        </w:tc>
      </w:tr>
      <w:tr w:rsidR="00F43AD5" w:rsidRPr="004C23F4" w14:paraId="782DE16A" w14:textId="77777777" w:rsidTr="00174F30">
        <w:trPr>
          <w:cantSplit/>
        </w:trPr>
        <w:tc>
          <w:tcPr>
            <w:tcW w:w="3983" w:type="dxa"/>
          </w:tcPr>
          <w:p w14:paraId="782DE168" w14:textId="77777777" w:rsidR="00F43AD5" w:rsidRPr="00921DE7" w:rsidRDefault="00CB1CB1" w:rsidP="00B76A41">
            <w:pPr>
              <w:pStyle w:val="Tablerowright"/>
            </w:pPr>
            <w:r w:rsidRPr="00921DE7">
              <w:t>Synonyms:</w:t>
            </w:r>
          </w:p>
        </w:tc>
        <w:tc>
          <w:tcPr>
            <w:tcW w:w="5043" w:type="dxa"/>
          </w:tcPr>
          <w:p w14:paraId="782DE169" w14:textId="59BDAF75" w:rsidR="00F43AD5" w:rsidRPr="00717D45" w:rsidRDefault="00D4530C" w:rsidP="00D4530C">
            <w:pPr>
              <w:pStyle w:val="Tablefont"/>
            </w:pPr>
            <w:proofErr w:type="spellStart"/>
            <w:r>
              <w:t>D</w:t>
            </w:r>
            <w:r w:rsidRPr="00D4530C">
              <w:t>ibenzoyl</w:t>
            </w:r>
            <w:proofErr w:type="spellEnd"/>
            <w:r w:rsidRPr="00D4530C">
              <w:t xml:space="preserve"> peroxide</w:t>
            </w:r>
            <w:r w:rsidR="008F12B9">
              <w:t xml:space="preserve">, </w:t>
            </w:r>
            <w:proofErr w:type="spellStart"/>
            <w:r w:rsidR="008F12B9">
              <w:t>benzoperoxide</w:t>
            </w:r>
            <w:proofErr w:type="spellEnd"/>
            <w:r w:rsidR="008F12B9">
              <w:t>,</w:t>
            </w:r>
            <w:r w:rsidRPr="00D4530C">
              <w:t xml:space="preserve"> </w:t>
            </w:r>
            <w:r w:rsidR="00174F30">
              <w:br/>
            </w:r>
            <w:r w:rsidRPr="00D4530C">
              <w:t>benzoyl</w:t>
            </w:r>
            <w:r>
              <w:t xml:space="preserve"> </w:t>
            </w:r>
            <w:r w:rsidR="008F12B9">
              <w:t>superoxide,</w:t>
            </w:r>
            <w:r w:rsidRPr="00D4530C">
              <w:t xml:space="preserve"> </w:t>
            </w:r>
            <w:proofErr w:type="spellStart"/>
            <w:r w:rsidRPr="00D4530C">
              <w:t>diphenylglyoxal</w:t>
            </w:r>
            <w:proofErr w:type="spellEnd"/>
            <w:r w:rsidRPr="00D4530C">
              <w:t xml:space="preserve"> peroxide</w:t>
            </w:r>
          </w:p>
        </w:tc>
      </w:tr>
      <w:tr w:rsidR="00F43AD5" w:rsidRPr="004C23F4" w14:paraId="782DE16D" w14:textId="77777777" w:rsidTr="00174F30">
        <w:trPr>
          <w:cantSplit/>
        </w:trPr>
        <w:tc>
          <w:tcPr>
            <w:tcW w:w="3983" w:type="dxa"/>
          </w:tcPr>
          <w:p w14:paraId="782DE16B" w14:textId="77777777" w:rsidR="00F43AD5" w:rsidRPr="00921DE7" w:rsidRDefault="00CB1CB1" w:rsidP="00B76A41">
            <w:pPr>
              <w:pStyle w:val="Tablerowright"/>
            </w:pPr>
            <w:r w:rsidRPr="00921DE7">
              <w:t>Chemical formula:</w:t>
            </w:r>
          </w:p>
        </w:tc>
        <w:tc>
          <w:tcPr>
            <w:tcW w:w="5043" w:type="dxa"/>
          </w:tcPr>
          <w:p w14:paraId="782DE16C" w14:textId="335DE7BB" w:rsidR="00F43AD5" w:rsidRPr="00717D45" w:rsidRDefault="008871F2" w:rsidP="00B76A41">
            <w:pPr>
              <w:pStyle w:val="Tablefont"/>
            </w:pPr>
            <w:r w:rsidRPr="008871F2">
              <w:t>C</w:t>
            </w:r>
            <w:r w:rsidRPr="008871F2">
              <w:rPr>
                <w:vertAlign w:val="subscript"/>
              </w:rPr>
              <w:t>14</w:t>
            </w:r>
            <w:r w:rsidRPr="008871F2">
              <w:t>H</w:t>
            </w:r>
            <w:r w:rsidRPr="008871F2">
              <w:rPr>
                <w:vertAlign w:val="subscript"/>
              </w:rPr>
              <w:t>10</w:t>
            </w:r>
            <w:r w:rsidRPr="008871F2">
              <w:t>O</w:t>
            </w:r>
            <w:r w:rsidRPr="008871F2">
              <w:rPr>
                <w:vertAlign w:val="subscript"/>
              </w:rPr>
              <w:t>4</w:t>
            </w:r>
          </w:p>
        </w:tc>
      </w:tr>
    </w:tbl>
    <w:p w14:paraId="782DE171" w14:textId="6697D3FB"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1743F9">
            <w:rPr>
              <w:rStyle w:val="WESstatus"/>
            </w:rPr>
            <w:t>(retained)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97"/>
        <w:gridCol w:w="5029"/>
      </w:tblGrid>
      <w:tr w:rsidR="002C7AFE" w:rsidRPr="004C23F4" w14:paraId="782DE174" w14:textId="77777777" w:rsidTr="00610F2E">
        <w:trPr>
          <w:cantSplit/>
          <w:tblHeader/>
        </w:trPr>
        <w:tc>
          <w:tcPr>
            <w:tcW w:w="4077" w:type="dxa"/>
            <w:vAlign w:val="center"/>
          </w:tcPr>
          <w:p w14:paraId="782DE172" w14:textId="77777777" w:rsidR="002C7AFE" w:rsidRPr="002C58FF" w:rsidRDefault="00921DE7" w:rsidP="00921DE7">
            <w:pPr>
              <w:pStyle w:val="Tablerowright"/>
            </w:pPr>
            <w:r>
              <w:t>TWA:</w:t>
            </w:r>
          </w:p>
        </w:tc>
        <w:tc>
          <w:tcPr>
            <w:tcW w:w="5165" w:type="dxa"/>
          </w:tcPr>
          <w:p w14:paraId="782DE173" w14:textId="15A164C3" w:rsidR="002C7AFE" w:rsidRPr="001743F9" w:rsidRDefault="001743F9" w:rsidP="00017C82">
            <w:pPr>
              <w:pStyle w:val="Tablefont"/>
              <w:rPr>
                <w:b/>
              </w:rPr>
            </w:pPr>
            <w:r>
              <w:rPr>
                <w:b/>
              </w:rPr>
              <w:t>5 mg/m</w:t>
            </w:r>
            <w:r>
              <w:rPr>
                <w:b/>
                <w:vertAlign w:val="superscript"/>
              </w:rPr>
              <w:t>3</w:t>
            </w:r>
          </w:p>
        </w:tc>
      </w:tr>
      <w:tr w:rsidR="002C7AFE" w:rsidRPr="004C23F4" w14:paraId="782DE177" w14:textId="77777777" w:rsidTr="00921DE7">
        <w:trPr>
          <w:cantSplit/>
        </w:trPr>
        <w:tc>
          <w:tcPr>
            <w:tcW w:w="4077" w:type="dxa"/>
            <w:vAlign w:val="center"/>
          </w:tcPr>
          <w:p w14:paraId="782DE175" w14:textId="77777777" w:rsidR="002C7AFE" w:rsidRPr="002C58FF" w:rsidRDefault="002C7AFE" w:rsidP="00921DE7">
            <w:pPr>
              <w:pStyle w:val="Tablerowright"/>
            </w:pPr>
            <w:r w:rsidRPr="002C58FF">
              <w:t>STEL</w:t>
            </w:r>
            <w:r w:rsidR="00921DE7">
              <w:t>:</w:t>
            </w:r>
          </w:p>
        </w:tc>
        <w:tc>
          <w:tcPr>
            <w:tcW w:w="5165" w:type="dxa"/>
          </w:tcPr>
          <w:p w14:paraId="782DE176" w14:textId="3A97319C" w:rsidR="002C7AFE" w:rsidRPr="00EB3D1B" w:rsidRDefault="00AD44A5" w:rsidP="00017C82">
            <w:pPr>
              <w:pStyle w:val="Tablefont"/>
              <w:rPr>
                <w:b/>
              </w:rPr>
            </w:pPr>
            <w:r>
              <w:rPr>
                <w:b/>
              </w:rPr>
              <w:t>—</w:t>
            </w:r>
          </w:p>
        </w:tc>
      </w:tr>
      <w:tr w:rsidR="002C7AFE" w:rsidRPr="004C23F4" w14:paraId="782DE17A" w14:textId="77777777" w:rsidTr="00921DE7">
        <w:trPr>
          <w:cantSplit/>
        </w:trPr>
        <w:tc>
          <w:tcPr>
            <w:tcW w:w="4077" w:type="dxa"/>
            <w:vAlign w:val="center"/>
          </w:tcPr>
          <w:p w14:paraId="782DE178" w14:textId="77777777" w:rsidR="002C7AFE" w:rsidRPr="002C58FF" w:rsidRDefault="00921DE7" w:rsidP="00921DE7">
            <w:pPr>
              <w:pStyle w:val="Tablerowright"/>
            </w:pPr>
            <w:r>
              <w:t>Peak limitation:</w:t>
            </w:r>
          </w:p>
        </w:tc>
        <w:tc>
          <w:tcPr>
            <w:tcW w:w="5165" w:type="dxa"/>
          </w:tcPr>
          <w:p w14:paraId="782DE179" w14:textId="555710E0" w:rsidR="002C7AFE" w:rsidRPr="00EB3D1B" w:rsidRDefault="00AD44A5" w:rsidP="00017C82">
            <w:pPr>
              <w:pStyle w:val="Tablefont"/>
              <w:rPr>
                <w:b/>
              </w:rPr>
            </w:pPr>
            <w:r>
              <w:rPr>
                <w:b/>
              </w:rPr>
              <w:t>—</w:t>
            </w:r>
          </w:p>
        </w:tc>
      </w:tr>
      <w:tr w:rsidR="002C7AFE" w:rsidRPr="004C23F4" w14:paraId="782DE17D" w14:textId="77777777" w:rsidTr="00A2073D">
        <w:trPr>
          <w:cantSplit/>
        </w:trPr>
        <w:tc>
          <w:tcPr>
            <w:tcW w:w="4077" w:type="dxa"/>
          </w:tcPr>
          <w:p w14:paraId="782DE17B" w14:textId="77777777" w:rsidR="002C7AFE" w:rsidRPr="002C58FF" w:rsidRDefault="00A2073D" w:rsidP="003241A8">
            <w:pPr>
              <w:pStyle w:val="Tablerowright"/>
            </w:pPr>
            <w:r>
              <w:rPr>
                <w:b w:val="0"/>
                <w:bCs/>
                <w:color w:val="000000" w:themeColor="text1"/>
              </w:rPr>
              <w:tab/>
            </w:r>
            <w:r w:rsidR="00921DE7" w:rsidRPr="003241A8">
              <w:t>Notations</w:t>
            </w:r>
            <w:r w:rsidR="00921DE7">
              <w:t>:</w:t>
            </w:r>
          </w:p>
        </w:tc>
        <w:tc>
          <w:tcPr>
            <w:tcW w:w="5165" w:type="dxa"/>
          </w:tcPr>
          <w:p w14:paraId="782DE17C" w14:textId="0332CA14" w:rsidR="002C7AFE" w:rsidRPr="00EB3D1B" w:rsidRDefault="008D68B9" w:rsidP="008A36CF">
            <w:pPr>
              <w:pStyle w:val="Tablefont"/>
              <w:rPr>
                <w:b/>
              </w:rPr>
            </w:pPr>
            <w:r>
              <w:rPr>
                <w:b/>
              </w:rPr>
              <w:t>DSEN</w:t>
            </w:r>
          </w:p>
        </w:tc>
      </w:tr>
      <w:tr w:rsidR="002C7AFE" w:rsidRPr="004C23F4" w14:paraId="782DE181" w14:textId="77777777" w:rsidTr="00921DE7">
        <w:trPr>
          <w:cantSplit/>
        </w:trPr>
        <w:tc>
          <w:tcPr>
            <w:tcW w:w="4077" w:type="dxa"/>
            <w:vAlign w:val="center"/>
          </w:tcPr>
          <w:p w14:paraId="782DE17F" w14:textId="23A8A07B" w:rsidR="00F10C97" w:rsidRPr="002C58FF" w:rsidRDefault="00921DE7" w:rsidP="00A70210">
            <w:pPr>
              <w:pStyle w:val="Tablerowright"/>
            </w:pPr>
            <w:r>
              <w:t>IDLH:</w:t>
            </w:r>
          </w:p>
        </w:tc>
        <w:tc>
          <w:tcPr>
            <w:tcW w:w="5165" w:type="dxa"/>
          </w:tcPr>
          <w:p w14:paraId="782DE180" w14:textId="671BBEF6" w:rsidR="002C7AFE" w:rsidRPr="002843AB" w:rsidRDefault="002843AB" w:rsidP="00017C82">
            <w:pPr>
              <w:pStyle w:val="Tablefont"/>
              <w:rPr>
                <w:b/>
              </w:rPr>
            </w:pPr>
            <w:r>
              <w:rPr>
                <w:b/>
              </w:rPr>
              <w:t>1,500 mg/m</w:t>
            </w:r>
            <w:r>
              <w:rPr>
                <w:b/>
                <w:vertAlign w:val="superscript"/>
              </w:rPr>
              <w:t>3</w:t>
            </w:r>
          </w:p>
        </w:tc>
      </w:tr>
      <w:tr w:rsidR="00A70210" w:rsidRPr="004C23F4" w14:paraId="65DCF08F" w14:textId="77777777" w:rsidTr="00A70210">
        <w:trPr>
          <w:cantSplit/>
        </w:trPr>
        <w:tc>
          <w:tcPr>
            <w:tcW w:w="4077" w:type="dxa"/>
          </w:tcPr>
          <w:p w14:paraId="4B04D213" w14:textId="7580339D" w:rsidR="00A70210" w:rsidRDefault="00A70210" w:rsidP="00A70210">
            <w:pPr>
              <w:pStyle w:val="Tablerowright"/>
            </w:pPr>
            <w:r>
              <w:t>Sampling and analysis:</w:t>
            </w:r>
          </w:p>
        </w:tc>
        <w:tc>
          <w:tcPr>
            <w:tcW w:w="5165" w:type="dxa"/>
          </w:tcPr>
          <w:p w14:paraId="12FBEDC2" w14:textId="092875CA" w:rsidR="00A70210" w:rsidRPr="00A70210" w:rsidRDefault="00A70210" w:rsidP="00017C82">
            <w:pPr>
              <w:pStyle w:val="Tablefont"/>
            </w:pPr>
            <w:r w:rsidRPr="00A70210">
              <w:t xml:space="preserve">The recommended value is readily quantifiable through currently available sampling and analysis techniques. </w:t>
            </w:r>
          </w:p>
        </w:tc>
      </w:tr>
    </w:tbl>
    <w:p w14:paraId="782DE182" w14:textId="77777777" w:rsidR="00CB1CB1" w:rsidRPr="003365A5" w:rsidRDefault="00F10C97" w:rsidP="003365A5">
      <w:pPr>
        <w:pStyle w:val="Heading2"/>
      </w:pPr>
      <w:r>
        <w:t>Recommendation and basis for workplace exposure standard</w:t>
      </w:r>
    </w:p>
    <w:p w14:paraId="782DE183" w14:textId="0F6C6F18" w:rsidR="006639B4" w:rsidRDefault="00643384" w:rsidP="000C139A">
      <w:pPr>
        <w:rPr>
          <w:rFonts w:cs="Arial"/>
        </w:rPr>
      </w:pPr>
      <w:r>
        <w:rPr>
          <w:rFonts w:cs="Arial"/>
        </w:rPr>
        <w:t>A</w:t>
      </w:r>
      <w:r w:rsidR="0057760F">
        <w:rPr>
          <w:rFonts w:cs="Arial"/>
        </w:rPr>
        <w:t xml:space="preserve"> </w:t>
      </w:r>
      <w:r w:rsidR="00807434" w:rsidRPr="00807434">
        <w:rPr>
          <w:rFonts w:cs="Arial"/>
        </w:rPr>
        <w:t>TWA of 5 mg/m</w:t>
      </w:r>
      <w:r w:rsidR="00807434" w:rsidRPr="00C646EC">
        <w:rPr>
          <w:rFonts w:cs="Arial"/>
          <w:vertAlign w:val="superscript"/>
        </w:rPr>
        <w:t>3</w:t>
      </w:r>
      <w:r w:rsidR="00D53374">
        <w:rPr>
          <w:rFonts w:cs="Arial"/>
        </w:rPr>
        <w:t xml:space="preserve"> </w:t>
      </w:r>
      <w:r w:rsidR="00807434" w:rsidRPr="00807434">
        <w:rPr>
          <w:rFonts w:cs="Arial"/>
        </w:rPr>
        <w:t xml:space="preserve">is </w:t>
      </w:r>
      <w:r w:rsidR="008F12B9">
        <w:rPr>
          <w:rFonts w:cs="Arial"/>
        </w:rPr>
        <w:t>recommended</w:t>
      </w:r>
      <w:r w:rsidR="00807434" w:rsidRPr="00807434">
        <w:rPr>
          <w:rFonts w:cs="Arial"/>
        </w:rPr>
        <w:t xml:space="preserve"> to </w:t>
      </w:r>
      <w:r w:rsidR="007200FB">
        <w:rPr>
          <w:rFonts w:cs="Arial"/>
        </w:rPr>
        <w:t xml:space="preserve">protect </w:t>
      </w:r>
      <w:r w:rsidR="008F12B9">
        <w:rPr>
          <w:rFonts w:cs="Arial"/>
        </w:rPr>
        <w:t>for</w:t>
      </w:r>
      <w:r w:rsidR="00807434" w:rsidRPr="00807434">
        <w:rPr>
          <w:rFonts w:cs="Arial"/>
        </w:rPr>
        <w:t xml:space="preserve"> </w:t>
      </w:r>
      <w:r w:rsidR="00BF29A4">
        <w:rPr>
          <w:rFonts w:cs="Arial"/>
        </w:rPr>
        <w:t>irritation of the skin</w:t>
      </w:r>
      <w:r w:rsidR="00807434" w:rsidRPr="00807434">
        <w:rPr>
          <w:rFonts w:cs="Arial"/>
        </w:rPr>
        <w:t>, mucous membrane</w:t>
      </w:r>
      <w:r w:rsidR="00BF29A4">
        <w:rPr>
          <w:rFonts w:cs="Arial"/>
        </w:rPr>
        <w:t>s</w:t>
      </w:r>
      <w:r w:rsidR="00807434" w:rsidRPr="00807434">
        <w:rPr>
          <w:rFonts w:cs="Arial"/>
        </w:rPr>
        <w:t xml:space="preserve"> and upper respiratory tract</w:t>
      </w:r>
      <w:r w:rsidR="00D53374">
        <w:rPr>
          <w:rFonts w:cs="Arial"/>
        </w:rPr>
        <w:t xml:space="preserve"> in exposed workers</w:t>
      </w:r>
      <w:r w:rsidR="00BF29A4">
        <w:rPr>
          <w:rFonts w:cs="Arial"/>
        </w:rPr>
        <w:t>.</w:t>
      </w:r>
    </w:p>
    <w:p w14:paraId="782DE184" w14:textId="77777777" w:rsidR="00C7155E" w:rsidRPr="004C23F4" w:rsidRDefault="00F10C97" w:rsidP="003365A5">
      <w:pPr>
        <w:pStyle w:val="Heading2"/>
      </w:pPr>
      <w:r>
        <w:t>Discussion and conclusions</w:t>
      </w:r>
    </w:p>
    <w:p w14:paraId="65D828A8" w14:textId="3D45FD26" w:rsidR="00174F30" w:rsidRDefault="00243F00" w:rsidP="00174F30">
      <w:r>
        <w:t>Similar to other organic peroxides, b</w:t>
      </w:r>
      <w:r w:rsidR="006E01FE">
        <w:t xml:space="preserve">enzoyl peroxide is </w:t>
      </w:r>
      <w:r w:rsidR="004A7735">
        <w:t xml:space="preserve">used </w:t>
      </w:r>
      <w:r w:rsidR="00583E05">
        <w:t xml:space="preserve">to generate reactive organic radicals </w:t>
      </w:r>
      <w:r>
        <w:t>for</w:t>
      </w:r>
      <w:r w:rsidR="00583E05">
        <w:t xml:space="preserve"> </w:t>
      </w:r>
      <w:r w:rsidR="00BA3142">
        <w:t xml:space="preserve">curing and </w:t>
      </w:r>
      <w:r>
        <w:t xml:space="preserve">finishing processes </w:t>
      </w:r>
      <w:r w:rsidR="0017411D">
        <w:t xml:space="preserve">in the food, chemical and niche </w:t>
      </w:r>
      <w:r w:rsidR="00AB3902">
        <w:t>pharmaceutical</w:t>
      </w:r>
      <w:r w:rsidR="0017411D">
        <w:t xml:space="preserve"> </w:t>
      </w:r>
      <w:r w:rsidR="00AB3902">
        <w:t>industries.</w:t>
      </w:r>
      <w:r w:rsidR="00082D62">
        <w:t xml:space="preserve"> </w:t>
      </w:r>
      <w:r w:rsidR="00CD58DC">
        <w:t xml:space="preserve">Due to this reactivity, </w:t>
      </w:r>
      <w:r w:rsidR="006145D6">
        <w:t xml:space="preserve">benzoyl peroxide </w:t>
      </w:r>
      <w:r w:rsidR="00CD58DC">
        <w:t xml:space="preserve">causes </w:t>
      </w:r>
      <w:r w:rsidR="00CA2F4F">
        <w:t xml:space="preserve">irritation </w:t>
      </w:r>
      <w:r w:rsidR="00FE4B62">
        <w:t xml:space="preserve">on contact </w:t>
      </w:r>
      <w:r w:rsidR="00BA3142">
        <w:t>with skin, mucous membranes</w:t>
      </w:r>
      <w:r w:rsidR="00913251">
        <w:t xml:space="preserve"> and the upper respiratory tract</w:t>
      </w:r>
      <w:r w:rsidR="00F5728B">
        <w:t xml:space="preserve"> (</w:t>
      </w:r>
      <w:r w:rsidR="00174F30">
        <w:t>ACGIH, 2018; DFG, 1990</w:t>
      </w:r>
      <w:r w:rsidR="00BD34F4">
        <w:t>)</w:t>
      </w:r>
      <w:r w:rsidR="00913251">
        <w:t>.</w:t>
      </w:r>
      <w:r w:rsidR="003B3502">
        <w:t xml:space="preserve"> </w:t>
      </w:r>
      <w:r w:rsidR="00174F30">
        <w:t xml:space="preserve">It is considered a dermal sensitiser based on positive results in repeat dermal dose studies in humans (NICNAS, 2016). Intoxication from skin absorption and systemic distribution is unlikely due to its local metabolism at the point of contact (DFG, 1990). </w:t>
      </w:r>
    </w:p>
    <w:p w14:paraId="305FEAAA" w14:textId="0983C819" w:rsidR="00DC54CF" w:rsidRDefault="00DC54CF" w:rsidP="00C45961">
      <w:r>
        <w:t xml:space="preserve">Despite its demonstrated mutagenicity </w:t>
      </w:r>
      <w:r w:rsidRPr="005C7E8D">
        <w:rPr>
          <w:i/>
        </w:rPr>
        <w:t>in vitro</w:t>
      </w:r>
      <w:r>
        <w:t xml:space="preserve"> (DFG, 1990), benzoyl peroxide is not shown to be carcinogenic in animals or humans (</w:t>
      </w:r>
      <w:r w:rsidR="00174F30">
        <w:t>ACGIH, 2018; HCOTN, 2012</w:t>
      </w:r>
      <w:r>
        <w:t xml:space="preserve">). </w:t>
      </w:r>
    </w:p>
    <w:p w14:paraId="05706E6D" w14:textId="77777777" w:rsidR="00DC54CF" w:rsidRDefault="0028208C" w:rsidP="00C45961">
      <w:r>
        <w:t xml:space="preserve">The TWA is derived from a NOAEL </w:t>
      </w:r>
      <w:r w:rsidR="00550056">
        <w:t>of 5.25 mg/m</w:t>
      </w:r>
      <w:r w:rsidR="00550056">
        <w:rPr>
          <w:vertAlign w:val="superscript"/>
        </w:rPr>
        <w:t>3</w:t>
      </w:r>
      <w:r w:rsidR="00550056">
        <w:t xml:space="preserve"> measured by </w:t>
      </w:r>
      <w:r w:rsidR="00625951">
        <w:t>upper respiratory irritation in</w:t>
      </w:r>
      <w:r w:rsidR="00B47117">
        <w:t xml:space="preserve"> </w:t>
      </w:r>
      <w:r w:rsidR="009124C7">
        <w:t xml:space="preserve">a </w:t>
      </w:r>
      <w:r w:rsidR="004933EF">
        <w:t xml:space="preserve">case study of </w:t>
      </w:r>
      <w:r w:rsidR="00B47117">
        <w:t>workers at a</w:t>
      </w:r>
      <w:r w:rsidR="00625951">
        <w:t xml:space="preserve"> formulation plant</w:t>
      </w:r>
      <w:r w:rsidR="009E0B9F">
        <w:t>.</w:t>
      </w:r>
      <w:r w:rsidR="00B510D7">
        <w:t xml:space="preserve"> </w:t>
      </w:r>
    </w:p>
    <w:p w14:paraId="782DE186" w14:textId="7F1118D9" w:rsidR="004529F0" w:rsidRPr="004C23F4" w:rsidRDefault="004529F0" w:rsidP="00886906">
      <w:pPr>
        <w:pStyle w:val="Heading2"/>
      </w:pPr>
      <w:r>
        <w:t>Recommendation for notations</w:t>
      </w:r>
    </w:p>
    <w:p w14:paraId="380C77F7" w14:textId="15B7C931" w:rsidR="00C76089" w:rsidRPr="00C34A46" w:rsidRDefault="00C34A46" w:rsidP="004529F0">
      <w:r>
        <w:t>Not classified as a carcinogen according to the Globally Harmonized System of Classification and Labelling of Chemicals (GHS).</w:t>
      </w:r>
    </w:p>
    <w:p w14:paraId="576567BC" w14:textId="3F393450" w:rsidR="0070443E" w:rsidRDefault="0070443E">
      <w:pPr>
        <w:rPr>
          <w:rFonts w:cs="Arial"/>
        </w:rPr>
      </w:pPr>
      <w:r>
        <w:rPr>
          <w:rFonts w:cs="Arial"/>
        </w:rPr>
        <w:t xml:space="preserve">Classified as a skin sensitiser </w:t>
      </w:r>
      <w:r w:rsidR="00AA5807">
        <w:rPr>
          <w:rFonts w:cs="Arial"/>
        </w:rPr>
        <w:t>and</w:t>
      </w:r>
      <w:r w:rsidR="00751C7E">
        <w:rPr>
          <w:rFonts w:cs="Arial"/>
        </w:rPr>
        <w:t xml:space="preserve"> </w:t>
      </w:r>
      <w:r w:rsidR="00D60F58">
        <w:rPr>
          <w:rFonts w:cs="Arial"/>
        </w:rPr>
        <w:t>n</w:t>
      </w:r>
      <w:r>
        <w:rPr>
          <w:rFonts w:cs="Arial"/>
        </w:rPr>
        <w:t>ot a respiratory sensitiser according to the GHS.</w:t>
      </w:r>
    </w:p>
    <w:p w14:paraId="784577FA" w14:textId="47875C6E" w:rsidR="007F7106" w:rsidRPr="004C23F4" w:rsidRDefault="000E31AD" w:rsidP="007F7106">
      <w:pPr>
        <w:rPr>
          <w:rFonts w:cs="Arial"/>
        </w:rPr>
      </w:pPr>
      <w:r w:rsidRPr="000E31AD">
        <w:rPr>
          <w:rFonts w:cs="Arial"/>
        </w:rPr>
        <w:t xml:space="preserve">A skin notation is not warranted as there is no </w:t>
      </w:r>
      <w:r w:rsidR="0003676D">
        <w:rPr>
          <w:rFonts w:cs="Arial"/>
        </w:rPr>
        <w:t>evidence</w:t>
      </w:r>
      <w:r w:rsidRPr="000E31AD">
        <w:rPr>
          <w:rFonts w:cs="Arial"/>
        </w:rPr>
        <w:t xml:space="preserve"> of systemic effects </w:t>
      </w:r>
      <w:r>
        <w:rPr>
          <w:rFonts w:cs="Arial"/>
        </w:rPr>
        <w:t>resulting from skin absorption</w:t>
      </w:r>
      <w:r w:rsidR="0003676D">
        <w:rPr>
          <w:rFonts w:cs="Arial"/>
        </w:rPr>
        <w:t xml:space="preserve"> in human studies</w:t>
      </w:r>
      <w:r w:rsidR="007F7106">
        <w:rPr>
          <w:rFonts w:cs="Arial"/>
        </w:rPr>
        <w:t>.</w:t>
      </w:r>
    </w:p>
    <w:p w14:paraId="782DE18A"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782DE18B"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00" w:firstRow="0" w:lastRow="0" w:firstColumn="0" w:lastColumn="0" w:noHBand="1" w:noVBand="1"/>
        <w:tblCaption w:val="Table"/>
        <w:tblDescription w:val="Listing primary sources with reports"/>
      </w:tblPr>
      <w:tblGrid>
        <w:gridCol w:w="9006"/>
        <w:gridCol w:w="14"/>
      </w:tblGrid>
      <w:tr w:rsidR="00C978F0" w:rsidRPr="00DA352E" w14:paraId="782DE18D" w14:textId="77777777" w:rsidTr="00DE26E8">
        <w:trPr>
          <w:gridAfter w:val="1"/>
          <w:wAfter w:w="8" w:type="pct"/>
          <w:cantSplit/>
          <w:trHeight w:val="393"/>
          <w:tblHeader/>
        </w:trPr>
        <w:tc>
          <w:tcPr>
            <w:tcW w:w="4992" w:type="pct"/>
            <w:shd w:val="clear" w:color="auto" w:fill="BFBFBF" w:themeFill="background1" w:themeFillShade="BF"/>
            <w:vAlign w:val="center"/>
          </w:tcPr>
          <w:p w14:paraId="782DE18C"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782DE18F" w14:textId="77777777" w:rsidTr="00DE26E8">
        <w:trPr>
          <w:cantSplit/>
        </w:trPr>
        <w:tc>
          <w:tcPr>
            <w:tcW w:w="5000" w:type="pct"/>
            <w:gridSpan w:val="2"/>
            <w:shd w:val="clear" w:color="auto" w:fill="F2F2F2" w:themeFill="background1" w:themeFillShade="F2"/>
          </w:tcPr>
          <w:p w14:paraId="782DE18E" w14:textId="27FB51CD"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showingPlcHdr/>
                <w:text/>
              </w:sdtPr>
              <w:sdtEndPr/>
              <w:sdtContent>
                <w:r>
                  <w:rPr>
                    <w:rStyle w:val="PlaceholderText"/>
                    <w:i w:val="0"/>
                  </w:rPr>
                  <w:t>Y</w:t>
                </w:r>
                <w:r w:rsidRPr="003365A5">
                  <w:rPr>
                    <w:rStyle w:val="PlaceholderText"/>
                    <w:i w:val="0"/>
                  </w:rPr>
                  <w:t>ear</w:t>
                </w:r>
              </w:sdtContent>
            </w:sdt>
            <w:r w:rsidRPr="003365A5">
              <w:tab/>
            </w:r>
            <w:r>
              <w:tab/>
            </w:r>
            <w:sdt>
              <w:sdtPr>
                <w:alias w:val="SWA WES"/>
                <w:tag w:val="SWA WES"/>
                <w:id w:val="857077202"/>
                <w:placeholder>
                  <w:docPart w:val="81CFEC2FDBC5451289F394E66D92D1A0"/>
                </w:placeholder>
              </w:sdtPr>
              <w:sdtEndPr/>
              <w:sdtContent>
                <w:r w:rsidR="00C32D2C">
                  <w:t>TWA: 5 mg/m</w:t>
                </w:r>
                <w:r w:rsidR="00C32D2C">
                  <w:rPr>
                    <w:vertAlign w:val="superscript"/>
                  </w:rPr>
                  <w:t>3</w:t>
                </w:r>
              </w:sdtContent>
            </w:sdt>
          </w:p>
        </w:tc>
      </w:tr>
      <w:tr w:rsidR="00C978F0" w:rsidRPr="00DA352E" w14:paraId="782DE191" w14:textId="77777777" w:rsidTr="00DE26E8">
        <w:trPr>
          <w:gridAfter w:val="1"/>
          <w:wAfter w:w="8" w:type="pct"/>
          <w:cantSplit/>
        </w:trPr>
        <w:tc>
          <w:tcPr>
            <w:tcW w:w="4992" w:type="pct"/>
          </w:tcPr>
          <w:p w14:paraId="230BE5B8" w14:textId="1EAA4AB2" w:rsidR="00C978F0" w:rsidRPr="00713ECF" w:rsidRDefault="00C978F0" w:rsidP="00713ECF"/>
        </w:tc>
      </w:tr>
      <w:tr w:rsidR="00C978F0" w:rsidRPr="00DA352E" w14:paraId="782DE193" w14:textId="77777777" w:rsidTr="00DE26E8">
        <w:trPr>
          <w:gridAfter w:val="1"/>
          <w:wAfter w:w="8" w:type="pct"/>
          <w:cantSplit/>
        </w:trPr>
        <w:tc>
          <w:tcPr>
            <w:tcW w:w="4992" w:type="pct"/>
            <w:shd w:val="clear" w:color="auto" w:fill="F2F2F2" w:themeFill="background1" w:themeFillShade="F2"/>
          </w:tcPr>
          <w:p w14:paraId="782DE192" w14:textId="5E73D50C"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D43EFF">
                  <w:t>2001</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5F5198">
                  <w:t>TLV-TWA: 5 mg/m</w:t>
                </w:r>
                <w:r w:rsidR="005F5198">
                  <w:rPr>
                    <w:vertAlign w:val="superscript"/>
                  </w:rPr>
                  <w:t>3</w:t>
                </w:r>
              </w:sdtContent>
            </w:sdt>
          </w:p>
        </w:tc>
      </w:tr>
      <w:tr w:rsidR="00C978F0" w:rsidRPr="00DA352E" w14:paraId="782DE195" w14:textId="77777777" w:rsidTr="00DE26E8">
        <w:trPr>
          <w:gridAfter w:val="1"/>
          <w:wAfter w:w="8" w:type="pct"/>
          <w:cantSplit/>
        </w:trPr>
        <w:tc>
          <w:tcPr>
            <w:tcW w:w="4992" w:type="pct"/>
          </w:tcPr>
          <w:p w14:paraId="41A6F963" w14:textId="1AA6747E" w:rsidR="00BA3142" w:rsidRDefault="00696A8C" w:rsidP="00696A8C">
            <w:pPr>
              <w:pStyle w:val="Tabletextprimarysource"/>
            </w:pPr>
            <w:r w:rsidRPr="00696A8C">
              <w:t>TLV</w:t>
            </w:r>
            <w:r w:rsidR="00643384">
              <w:t>-</w:t>
            </w:r>
            <w:r w:rsidRPr="00696A8C">
              <w:t xml:space="preserve">TWA </w:t>
            </w:r>
            <w:r w:rsidR="00F770B6">
              <w:t>intended to</w:t>
            </w:r>
            <w:r>
              <w:t xml:space="preserve"> </w:t>
            </w:r>
            <w:r w:rsidRPr="00696A8C">
              <w:t>minimi</w:t>
            </w:r>
            <w:r w:rsidR="00F770B6">
              <w:t>s</w:t>
            </w:r>
            <w:r w:rsidRPr="00696A8C">
              <w:t xml:space="preserve">e the potential for </w:t>
            </w:r>
            <w:r w:rsidR="00CE0DBB">
              <w:t xml:space="preserve">irritation of the </w:t>
            </w:r>
            <w:r w:rsidR="00B85BDA">
              <w:t>skin</w:t>
            </w:r>
            <w:r w:rsidRPr="00696A8C">
              <w:t>, mucous</w:t>
            </w:r>
            <w:r>
              <w:t xml:space="preserve"> </w:t>
            </w:r>
            <w:r w:rsidRPr="00696A8C">
              <w:t>membrane</w:t>
            </w:r>
            <w:r w:rsidR="00CE0DBB">
              <w:t>s</w:t>
            </w:r>
            <w:r w:rsidRPr="00696A8C">
              <w:t xml:space="preserve"> and upper respiratory tract. </w:t>
            </w:r>
          </w:p>
          <w:p w14:paraId="25ED7C75" w14:textId="77777777" w:rsidR="00BA3142" w:rsidRDefault="00B75EE1" w:rsidP="00696A8C">
            <w:pPr>
              <w:pStyle w:val="Tabletextprimarysource"/>
            </w:pPr>
            <w:r>
              <w:t xml:space="preserve">Not classifiable as a human carcinogen based on </w:t>
            </w:r>
            <w:r w:rsidR="0020166C">
              <w:t>repeat skin application</w:t>
            </w:r>
            <w:r w:rsidR="008E6AB7">
              <w:t xml:space="preserve"> study in mice</w:t>
            </w:r>
            <w:r w:rsidR="00C35FC4">
              <w:t>.</w:t>
            </w:r>
            <w:r w:rsidR="0020166C">
              <w:t xml:space="preserve"> </w:t>
            </w:r>
          </w:p>
          <w:p w14:paraId="049CCF30" w14:textId="12BE346A" w:rsidR="00C978F0" w:rsidRDefault="00172399" w:rsidP="00696A8C">
            <w:pPr>
              <w:pStyle w:val="Tabletextprimarysource"/>
            </w:pPr>
            <w:r>
              <w:t>Insufficient</w:t>
            </w:r>
            <w:r w:rsidR="00696A8C" w:rsidRPr="00696A8C">
              <w:t xml:space="preserve"> data available to recommend Skin or SEN notations</w:t>
            </w:r>
            <w:r w:rsidR="00696A8C">
              <w:t xml:space="preserve"> </w:t>
            </w:r>
            <w:r w:rsidR="00696A8C" w:rsidRPr="00696A8C">
              <w:t>or a TLV</w:t>
            </w:r>
            <w:r w:rsidR="00643384">
              <w:t>-</w:t>
            </w:r>
            <w:r w:rsidR="00696A8C" w:rsidRPr="00696A8C">
              <w:t>STEL.</w:t>
            </w:r>
          </w:p>
          <w:p w14:paraId="33ABF884" w14:textId="32808DC3" w:rsidR="00696A8C" w:rsidRDefault="00696A8C" w:rsidP="00696A8C">
            <w:pPr>
              <w:pStyle w:val="Tabletextprimarysource"/>
            </w:pPr>
            <w:r>
              <w:t>Summary of data:</w:t>
            </w:r>
          </w:p>
          <w:p w14:paraId="3639626A" w14:textId="7142C010" w:rsidR="00696A8C" w:rsidRDefault="00696A8C" w:rsidP="005C7E8D">
            <w:pPr>
              <w:pStyle w:val="ListBullet"/>
              <w:numPr>
                <w:ilvl w:val="0"/>
                <w:numId w:val="0"/>
              </w:numPr>
              <w:ind w:left="360" w:hanging="360"/>
            </w:pPr>
            <w:r>
              <w:t>Human data:</w:t>
            </w:r>
          </w:p>
          <w:p w14:paraId="1E5F9734" w14:textId="77777777" w:rsidR="00DC54CF" w:rsidRDefault="0070443E" w:rsidP="00921CED">
            <w:pPr>
              <w:pStyle w:val="Tabletextprimarysource"/>
              <w:numPr>
                <w:ilvl w:val="0"/>
                <w:numId w:val="5"/>
              </w:numPr>
            </w:pPr>
            <w:r>
              <w:t xml:space="preserve">NOAEL: </w:t>
            </w:r>
            <w:r w:rsidR="00B56226">
              <w:t>5.25 mg/m</w:t>
            </w:r>
            <w:r w:rsidR="00B56226">
              <w:rPr>
                <w:vertAlign w:val="superscript"/>
              </w:rPr>
              <w:t>3</w:t>
            </w:r>
            <w:r w:rsidR="00B56226">
              <w:t xml:space="preserve"> measured by </w:t>
            </w:r>
            <w:r w:rsidR="0003677C">
              <w:t xml:space="preserve">upper </w:t>
            </w:r>
            <w:r w:rsidR="00B56226">
              <w:t xml:space="preserve">respiratory </w:t>
            </w:r>
            <w:r w:rsidR="0003677C">
              <w:t xml:space="preserve">tract </w:t>
            </w:r>
            <w:r w:rsidR="001D569D">
              <w:t>irritation in case study of formulation plant</w:t>
            </w:r>
            <w:r w:rsidR="00FB229D">
              <w:t xml:space="preserve"> workers</w:t>
            </w:r>
            <w:r w:rsidR="0003677C">
              <w:t xml:space="preserve"> (duration unspecified)</w:t>
            </w:r>
          </w:p>
          <w:p w14:paraId="2768256B" w14:textId="7F71CD22" w:rsidR="001E75AB" w:rsidRDefault="0070443E" w:rsidP="00DC54CF">
            <w:pPr>
              <w:pStyle w:val="Tabletextprimarysource"/>
              <w:numPr>
                <w:ilvl w:val="0"/>
                <w:numId w:val="12"/>
              </w:numPr>
              <w:ind w:left="1014"/>
            </w:pPr>
            <w:r>
              <w:t xml:space="preserve">LOAEL: </w:t>
            </w:r>
            <w:r w:rsidR="001E75AB">
              <w:t>12.2 mg/m</w:t>
            </w:r>
            <w:r w:rsidR="001E75AB">
              <w:rPr>
                <w:vertAlign w:val="superscript"/>
              </w:rPr>
              <w:t>3</w:t>
            </w:r>
            <w:r w:rsidR="001E75AB">
              <w:t xml:space="preserve"> </w:t>
            </w:r>
          </w:p>
          <w:p w14:paraId="2C028C06" w14:textId="7ECFC23D" w:rsidR="00D12BCC" w:rsidRDefault="00B33BBA" w:rsidP="00921CED">
            <w:pPr>
              <w:pStyle w:val="Tabletextprimarysource"/>
              <w:numPr>
                <w:ilvl w:val="0"/>
                <w:numId w:val="5"/>
              </w:numPr>
            </w:pPr>
            <w:r>
              <w:t xml:space="preserve">Unknown </w:t>
            </w:r>
            <w:r w:rsidR="00844F20">
              <w:t xml:space="preserve">cumulative effects in humans; no </w:t>
            </w:r>
            <w:r w:rsidR="00233A49">
              <w:t>cases</w:t>
            </w:r>
            <w:r w:rsidR="00844F20">
              <w:t xml:space="preserve"> of chronic exposure </w:t>
            </w:r>
            <w:r w:rsidR="00342A88">
              <w:t>are reported</w:t>
            </w:r>
          </w:p>
          <w:p w14:paraId="4DF82E67" w14:textId="0C7FC2A6" w:rsidR="00CB58AF" w:rsidRDefault="00BD23FD" w:rsidP="00921CED">
            <w:pPr>
              <w:pStyle w:val="Tabletextprimarysource"/>
              <w:numPr>
                <w:ilvl w:val="0"/>
                <w:numId w:val="5"/>
              </w:numPr>
            </w:pPr>
            <w:r>
              <w:t xml:space="preserve">There were </w:t>
            </w:r>
            <w:r w:rsidR="00CB58AF">
              <w:t>32% positive responses, including sensitisation, to challenge patch following 10 repeat applications</w:t>
            </w:r>
            <w:r w:rsidR="00280BB8">
              <w:t xml:space="preserve"> on the </w:t>
            </w:r>
            <w:r w:rsidR="0067179E">
              <w:t>arm</w:t>
            </w:r>
            <w:r w:rsidR="00CB58AF">
              <w:t xml:space="preserve"> (5% benzoyl peroxide, solvent and concentration expression unspecified)</w:t>
            </w:r>
          </w:p>
          <w:p w14:paraId="05B4A428" w14:textId="4A734754" w:rsidR="003057FF" w:rsidRDefault="00AA5807" w:rsidP="00174F30">
            <w:pPr>
              <w:pStyle w:val="Tabletextprimarysource"/>
              <w:numPr>
                <w:ilvl w:val="0"/>
                <w:numId w:val="5"/>
              </w:numPr>
            </w:pPr>
            <w:r>
              <w:t>TLV-</w:t>
            </w:r>
            <w:r w:rsidR="00D34DD3">
              <w:t xml:space="preserve">TWA may </w:t>
            </w:r>
            <w:r w:rsidR="00D83AB3">
              <w:t xml:space="preserve">not protect individuals who are </w:t>
            </w:r>
            <w:r w:rsidR="00BA3142">
              <w:t>hypersusceptible</w:t>
            </w:r>
            <w:r w:rsidR="00D83AB3">
              <w:t xml:space="preserve"> </w:t>
            </w:r>
            <w:r w:rsidR="00FC3C27">
              <w:t>to effects of benzoyl peroxide exposure</w:t>
            </w:r>
            <w:r w:rsidR="00872227">
              <w:t>.</w:t>
            </w:r>
          </w:p>
          <w:p w14:paraId="79F98BE6" w14:textId="58065340" w:rsidR="00696A8C" w:rsidRDefault="00BB2AEB" w:rsidP="005C7E8D">
            <w:pPr>
              <w:pStyle w:val="ListBullet"/>
              <w:numPr>
                <w:ilvl w:val="0"/>
                <w:numId w:val="0"/>
              </w:numPr>
              <w:ind w:left="360" w:hanging="360"/>
            </w:pPr>
            <w:r>
              <w:t>Animal data:</w:t>
            </w:r>
          </w:p>
          <w:p w14:paraId="08B7E9C4" w14:textId="632AEF65" w:rsidR="007655FA" w:rsidRDefault="007655FA" w:rsidP="00921CED">
            <w:pPr>
              <w:pStyle w:val="Tabletextprimarysource"/>
              <w:numPr>
                <w:ilvl w:val="0"/>
                <w:numId w:val="5"/>
              </w:numPr>
            </w:pPr>
            <w:r>
              <w:t xml:space="preserve">No inhalational toxicity </w:t>
            </w:r>
            <w:r w:rsidR="00AC516E">
              <w:t>data available</w:t>
            </w:r>
            <w:r w:rsidR="00B013F6">
              <w:t xml:space="preserve"> </w:t>
            </w:r>
            <w:r w:rsidR="000D0A2C">
              <w:t>for benzoyl peroxide</w:t>
            </w:r>
          </w:p>
          <w:p w14:paraId="73DAF2B5" w14:textId="1926B7E1" w:rsidR="00B013F6" w:rsidRPr="00991414" w:rsidRDefault="00B013F6" w:rsidP="00DC54CF">
            <w:pPr>
              <w:pStyle w:val="Tabletextprimarysource"/>
              <w:numPr>
                <w:ilvl w:val="0"/>
                <w:numId w:val="12"/>
              </w:numPr>
              <w:ind w:left="1014"/>
            </w:pPr>
            <w:r>
              <w:t>LC</w:t>
            </w:r>
            <w:r w:rsidRPr="00B013F6">
              <w:rPr>
                <w:vertAlign w:val="subscript"/>
              </w:rPr>
              <w:t>50</w:t>
            </w:r>
            <w:r w:rsidR="006145D6">
              <w:t xml:space="preserve"> </w:t>
            </w:r>
            <w:r>
              <w:t>values for structurally related organic peroxides correlate well with their corresponding intraperitoneal and oral LD</w:t>
            </w:r>
            <w:r w:rsidRPr="00B013F6">
              <w:rPr>
                <w:vertAlign w:val="subscript"/>
              </w:rPr>
              <w:t>50</w:t>
            </w:r>
            <w:r>
              <w:t xml:space="preserve"> values</w:t>
            </w:r>
          </w:p>
          <w:p w14:paraId="4249B6DE" w14:textId="42D6ABCF" w:rsidR="00991414" w:rsidRDefault="00CA030A" w:rsidP="00921CED">
            <w:pPr>
              <w:pStyle w:val="Tabletextprimarysource"/>
              <w:numPr>
                <w:ilvl w:val="0"/>
                <w:numId w:val="5"/>
              </w:numPr>
            </w:pPr>
            <w:r>
              <w:t xml:space="preserve">Exposure to structurally related organic peroxides: </w:t>
            </w:r>
            <w:r w:rsidR="00224938">
              <w:t>LD</w:t>
            </w:r>
            <w:r w:rsidR="00224938" w:rsidRPr="00B013F6">
              <w:rPr>
                <w:vertAlign w:val="subscript"/>
              </w:rPr>
              <w:t>50</w:t>
            </w:r>
            <w:r w:rsidR="00224938">
              <w:t xml:space="preserve">: </w:t>
            </w:r>
            <w:r w:rsidR="00B013F6" w:rsidRPr="00B013F6">
              <w:rPr>
                <w:rFonts w:cs="Arial"/>
              </w:rPr>
              <w:t>≈</w:t>
            </w:r>
            <w:r w:rsidR="00342A88">
              <w:t>90</w:t>
            </w:r>
            <w:r w:rsidR="00224938">
              <w:t xml:space="preserve"> mg/kg (</w:t>
            </w:r>
            <w:r w:rsidR="0070443E">
              <w:t>mice</w:t>
            </w:r>
            <w:r w:rsidR="003057FF">
              <w:t>, intraperitoneal</w:t>
            </w:r>
            <w:r w:rsidR="003A400A">
              <w:t>)</w:t>
            </w:r>
            <w:r w:rsidR="00B013F6">
              <w:t>; LC</w:t>
            </w:r>
            <w:r w:rsidR="00B013F6" w:rsidRPr="00C71E11">
              <w:rPr>
                <w:vertAlign w:val="subscript"/>
              </w:rPr>
              <w:t>50</w:t>
            </w:r>
            <w:r w:rsidR="00B013F6">
              <w:t xml:space="preserve">: </w:t>
            </w:r>
            <w:r w:rsidR="00B013F6">
              <w:rPr>
                <w:rFonts w:cs="Arial"/>
              </w:rPr>
              <w:t>≈</w:t>
            </w:r>
            <w:r w:rsidR="00B013F6">
              <w:t>220–500</w:t>
            </w:r>
            <w:r w:rsidR="00BD23FD">
              <w:t xml:space="preserve"> </w:t>
            </w:r>
            <w:r w:rsidR="00B013F6">
              <w:t>ppm (mice, 4 h)</w:t>
            </w:r>
            <w:r>
              <w:t xml:space="preserve"> </w:t>
            </w:r>
          </w:p>
          <w:p w14:paraId="168C5A21" w14:textId="76ADE2B6" w:rsidR="00F51AE3" w:rsidRDefault="00F51AE3" w:rsidP="00BA3142">
            <w:pPr>
              <w:pStyle w:val="Tabletextprimarysource"/>
              <w:numPr>
                <w:ilvl w:val="0"/>
                <w:numId w:val="12"/>
              </w:numPr>
              <w:ind w:left="1014"/>
            </w:pPr>
            <w:r>
              <w:t>the calculated LC</w:t>
            </w:r>
            <w:r w:rsidRPr="00F51AE3">
              <w:rPr>
                <w:vertAlign w:val="subscript"/>
              </w:rPr>
              <w:t>50</w:t>
            </w:r>
            <w:r>
              <w:t xml:space="preserve"> </w:t>
            </w:r>
            <w:r w:rsidR="009C06BE">
              <w:t xml:space="preserve">of </w:t>
            </w:r>
            <w:r>
              <w:t>benzoyl peroxide</w:t>
            </w:r>
            <w:r w:rsidR="009C06BE">
              <w:t xml:space="preserve"> </w:t>
            </w:r>
            <w:r w:rsidR="00C71E11">
              <w:t xml:space="preserve">for mice </w:t>
            </w:r>
            <w:r w:rsidR="009C06BE">
              <w:t xml:space="preserve">is </w:t>
            </w:r>
            <w:r w:rsidR="00C91770">
              <w:rPr>
                <w:rFonts w:cs="Arial"/>
              </w:rPr>
              <w:t>≈</w:t>
            </w:r>
            <w:r w:rsidR="00A90A07">
              <w:t>700 ppm (calculated, 4 h)</w:t>
            </w:r>
          </w:p>
          <w:p w14:paraId="38CC6161" w14:textId="4BD7A09D" w:rsidR="006A595C" w:rsidRDefault="00DC78C0" w:rsidP="00921CED">
            <w:pPr>
              <w:pStyle w:val="Tabletextprimarysource"/>
              <w:numPr>
                <w:ilvl w:val="0"/>
                <w:numId w:val="5"/>
              </w:numPr>
            </w:pPr>
            <w:r>
              <w:t>Repeat dos</w:t>
            </w:r>
            <w:r w:rsidR="00C97B2A">
              <w:t>e</w:t>
            </w:r>
            <w:r>
              <w:t xml:space="preserve"> intraperitoneal injection</w:t>
            </w:r>
            <w:r w:rsidR="00123C52">
              <w:t>s</w:t>
            </w:r>
            <w:r>
              <w:t xml:space="preserve"> of </w:t>
            </w:r>
            <w:r w:rsidR="00154D35">
              <w:t>related</w:t>
            </w:r>
            <w:r>
              <w:t xml:space="preserve"> </w:t>
            </w:r>
            <w:r w:rsidR="0050304C">
              <w:t xml:space="preserve">organic </w:t>
            </w:r>
            <w:r>
              <w:t xml:space="preserve">peroxides </w:t>
            </w:r>
            <w:r w:rsidR="00123C52">
              <w:t>at 20% of the LD</w:t>
            </w:r>
            <w:r w:rsidR="00123C52">
              <w:rPr>
                <w:vertAlign w:val="subscript"/>
              </w:rPr>
              <w:t>50</w:t>
            </w:r>
            <w:r w:rsidR="00123C52">
              <w:t xml:space="preserve"> caused death</w:t>
            </w:r>
            <w:r w:rsidR="00504C04">
              <w:t xml:space="preserve"> </w:t>
            </w:r>
            <w:r w:rsidR="00FD344F">
              <w:t>(rats, 3 d/wk, 7 wk)</w:t>
            </w:r>
          </w:p>
          <w:p w14:paraId="7421459F" w14:textId="3F9D4D04" w:rsidR="0005388E" w:rsidRDefault="00BA3142" w:rsidP="00BA3142">
            <w:pPr>
              <w:pStyle w:val="Tabletextprimarysource"/>
              <w:numPr>
                <w:ilvl w:val="0"/>
                <w:numId w:val="12"/>
              </w:numPr>
              <w:ind w:left="1014"/>
            </w:pPr>
            <w:r>
              <w:t>b</w:t>
            </w:r>
            <w:r w:rsidR="00F123F7">
              <w:t xml:space="preserve">enzoyl peroxide </w:t>
            </w:r>
            <w:r w:rsidR="00BD23FD">
              <w:t xml:space="preserve">is </w:t>
            </w:r>
            <w:r w:rsidR="00F123F7">
              <w:t>speculated to have similar cumulative toxicity</w:t>
            </w:r>
          </w:p>
          <w:p w14:paraId="3DC25F56" w14:textId="2F8A12C0" w:rsidR="0005388E" w:rsidRDefault="0005388E" w:rsidP="00921CED">
            <w:pPr>
              <w:pStyle w:val="Tabletextprimarysource"/>
              <w:numPr>
                <w:ilvl w:val="0"/>
                <w:numId w:val="5"/>
              </w:numPr>
            </w:pPr>
            <w:r>
              <w:t xml:space="preserve">Repeat </w:t>
            </w:r>
            <w:r w:rsidR="004D79EA">
              <w:t>skin application did not cause cancer in mice (concentration and duration unspecified)</w:t>
            </w:r>
          </w:p>
          <w:p w14:paraId="225AFA92" w14:textId="0801A711" w:rsidR="0010154F" w:rsidRDefault="002F5F3F" w:rsidP="00921CED">
            <w:pPr>
              <w:pStyle w:val="Tabletextprimarysource"/>
              <w:numPr>
                <w:ilvl w:val="0"/>
                <w:numId w:val="5"/>
              </w:numPr>
              <w:rPr>
                <w:rFonts w:ascii="CIDFont+F1" w:hAnsi="CIDFont+F1" w:cs="CIDFont+F1"/>
                <w:sz w:val="19"/>
                <w:szCs w:val="19"/>
              </w:rPr>
            </w:pPr>
            <w:r>
              <w:t>Tumour pro</w:t>
            </w:r>
            <w:r w:rsidR="00BA3142">
              <w:t xml:space="preserve">moter in mice and hamsters; </w:t>
            </w:r>
            <w:r>
              <w:t>no</w:t>
            </w:r>
            <w:r w:rsidR="00DE1353">
              <w:t xml:space="preserve"> reports of complete carcino</w:t>
            </w:r>
            <w:r w:rsidR="002E0286">
              <w:t>genic or tumour initiating activity</w:t>
            </w:r>
          </w:p>
          <w:p w14:paraId="098C4333" w14:textId="67728C7F" w:rsidR="002E0286" w:rsidRDefault="0070443E" w:rsidP="00921CED">
            <w:pPr>
              <w:pStyle w:val="Tabletextprimarysource"/>
              <w:numPr>
                <w:ilvl w:val="0"/>
                <w:numId w:val="5"/>
              </w:numPr>
            </w:pPr>
            <w:r>
              <w:t>NOAEL</w:t>
            </w:r>
            <w:r w:rsidR="00BA3142">
              <w:t>:</w:t>
            </w:r>
            <w:r w:rsidR="00342109">
              <w:t xml:space="preserve"> &gt;</w:t>
            </w:r>
            <w:r w:rsidR="00AA115E">
              <w:t xml:space="preserve">2,800 mg/kg </w:t>
            </w:r>
            <w:r w:rsidR="00DD50C2">
              <w:t xml:space="preserve">measured by tumour incidence </w:t>
            </w:r>
            <w:r w:rsidR="00AA115E">
              <w:t>in repeat feeding study (</w:t>
            </w:r>
            <w:r w:rsidR="0017518D">
              <w:t xml:space="preserve">mice, rats, </w:t>
            </w:r>
            <w:proofErr w:type="gramStart"/>
            <w:r w:rsidR="0017518D">
              <w:t>80</w:t>
            </w:r>
            <w:proofErr w:type="gramEnd"/>
            <w:r w:rsidR="0017518D">
              <w:t xml:space="preserve"> wk</w:t>
            </w:r>
            <w:r w:rsidR="00940EB7">
              <w:t>)</w:t>
            </w:r>
            <w:r w:rsidR="00872227">
              <w:t>.</w:t>
            </w:r>
          </w:p>
          <w:p w14:paraId="56AB6059" w14:textId="5C2EFEFB" w:rsidR="00921CED" w:rsidRPr="00713ECF" w:rsidRDefault="00921CED" w:rsidP="00713ECF"/>
        </w:tc>
      </w:tr>
      <w:tr w:rsidR="00C978F0" w:rsidRPr="00DA352E" w14:paraId="782DE197" w14:textId="77777777" w:rsidTr="00DE26E8">
        <w:trPr>
          <w:gridAfter w:val="1"/>
          <w:wAfter w:w="8" w:type="pct"/>
          <w:cantSplit/>
        </w:trPr>
        <w:tc>
          <w:tcPr>
            <w:tcW w:w="4992" w:type="pct"/>
            <w:shd w:val="clear" w:color="auto" w:fill="F2F2F2" w:themeFill="background1" w:themeFillShade="F2"/>
          </w:tcPr>
          <w:p w14:paraId="782DE196" w14:textId="4D70540F" w:rsidR="00C978F0" w:rsidRPr="00DA352E" w:rsidRDefault="00DA352E" w:rsidP="0051509C">
            <w:pPr>
              <w:pStyle w:val="Tablerowheadingitalic"/>
              <w:tabs>
                <w:tab w:val="clear" w:pos="2268"/>
                <w:tab w:val="clear" w:pos="5670"/>
                <w:tab w:val="left" w:pos="1418"/>
                <w:tab w:val="left" w:pos="2552"/>
              </w:tabs>
            </w:pPr>
            <w:r w:rsidRPr="00DA352E">
              <w:t>DFG</w:t>
            </w:r>
            <w:r w:rsidR="00916EC0" w:rsidRPr="003365A5">
              <w:t xml:space="preserve"> </w:t>
            </w:r>
            <w:r w:rsidR="00916EC0" w:rsidRPr="003365A5">
              <w:tab/>
            </w:r>
            <w:sdt>
              <w:sdtPr>
                <w:id w:val="272751712"/>
                <w:placeholder>
                  <w:docPart w:val="6918C77959FE4E2CB3B6BD78ABC69E19"/>
                </w:placeholder>
                <w:text/>
              </w:sdtPr>
              <w:sdtEndPr/>
              <w:sdtContent>
                <w:r w:rsidR="00AF70E2">
                  <w:t>1969</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982DB7">
                  <w:t>MAK: 5 mg/m</w:t>
                </w:r>
                <w:r w:rsidR="00982DB7">
                  <w:rPr>
                    <w:vertAlign w:val="superscript"/>
                  </w:rPr>
                  <w:t>3</w:t>
                </w:r>
              </w:sdtContent>
            </w:sdt>
          </w:p>
        </w:tc>
      </w:tr>
      <w:tr w:rsidR="00C978F0" w:rsidRPr="00DA352E" w14:paraId="782DE199" w14:textId="77777777" w:rsidTr="00174F30">
        <w:trPr>
          <w:gridAfter w:val="1"/>
          <w:wAfter w:w="8" w:type="pct"/>
        </w:trPr>
        <w:tc>
          <w:tcPr>
            <w:tcW w:w="4992" w:type="pct"/>
          </w:tcPr>
          <w:p w14:paraId="1CB0F0FE" w14:textId="2A090282" w:rsidR="00C978F0" w:rsidRDefault="00292A65" w:rsidP="003365A5">
            <w:pPr>
              <w:pStyle w:val="Tabletextprimarysource"/>
            </w:pPr>
            <w:r>
              <w:t>Summary of additional data:</w:t>
            </w:r>
          </w:p>
          <w:p w14:paraId="5D0D25FC" w14:textId="77777777" w:rsidR="00C955CD" w:rsidRDefault="00C955CD" w:rsidP="00921CED">
            <w:pPr>
              <w:pStyle w:val="Tabletextprimarysource"/>
              <w:numPr>
                <w:ilvl w:val="0"/>
                <w:numId w:val="5"/>
              </w:numPr>
            </w:pPr>
            <w:r>
              <w:t>Assessment grouped with other organic peroxides and hydrogen peroxide</w:t>
            </w:r>
          </w:p>
          <w:p w14:paraId="27175B04" w14:textId="3A18A1F7" w:rsidR="00BA3142" w:rsidRDefault="00AB51E7" w:rsidP="00921CED">
            <w:pPr>
              <w:pStyle w:val="Tabletextprimarysource"/>
              <w:numPr>
                <w:ilvl w:val="0"/>
                <w:numId w:val="5"/>
              </w:numPr>
            </w:pPr>
            <w:r>
              <w:t>A</w:t>
            </w:r>
            <w:r w:rsidR="00CC4516" w:rsidRPr="00CC4516">
              <w:t xml:space="preserve">llergic contact dermatitis </w:t>
            </w:r>
            <w:r w:rsidR="00D7241E">
              <w:t xml:space="preserve">due to exposure </w:t>
            </w:r>
            <w:r>
              <w:t>has</w:t>
            </w:r>
            <w:r w:rsidR="00CC4516" w:rsidRPr="00CC4516">
              <w:t xml:space="preserve"> been </w:t>
            </w:r>
            <w:r w:rsidR="00761C0B">
              <w:t>reported</w:t>
            </w:r>
          </w:p>
          <w:p w14:paraId="2429F682" w14:textId="27EF6C38" w:rsidR="00761C0B" w:rsidRDefault="00D7241E" w:rsidP="00921CED">
            <w:pPr>
              <w:pStyle w:val="Tabletextprimarysource"/>
              <w:numPr>
                <w:ilvl w:val="0"/>
                <w:numId w:val="5"/>
              </w:numPr>
            </w:pPr>
            <w:r>
              <w:t>Phototoxic effects reported but not confirmed</w:t>
            </w:r>
          </w:p>
          <w:p w14:paraId="5B30360D" w14:textId="7939A070" w:rsidR="001716EB" w:rsidRDefault="005512D8" w:rsidP="00921CED">
            <w:pPr>
              <w:pStyle w:val="Tabletextprimarysource"/>
              <w:numPr>
                <w:ilvl w:val="0"/>
                <w:numId w:val="5"/>
              </w:numPr>
            </w:pPr>
            <w:r>
              <w:lastRenderedPageBreak/>
              <w:t>F</w:t>
            </w:r>
            <w:r w:rsidR="006739D4">
              <w:t xml:space="preserve">urther </w:t>
            </w:r>
            <w:r>
              <w:t>study</w:t>
            </w:r>
            <w:r w:rsidR="006739D4">
              <w:t xml:space="preserve"> required to determine </w:t>
            </w:r>
            <w:r w:rsidR="002C65C5">
              <w:t>potential</w:t>
            </w:r>
            <w:r>
              <w:t xml:space="preserve"> direct or indirect</w:t>
            </w:r>
            <w:r w:rsidR="002C65C5">
              <w:t xml:space="preserve"> carcinogenesis </w:t>
            </w:r>
            <w:r w:rsidR="00C955CD">
              <w:t xml:space="preserve">from </w:t>
            </w:r>
            <w:r w:rsidR="009E699D">
              <w:t>radical metabolites</w:t>
            </w:r>
            <w:r w:rsidR="001716EB">
              <w:t xml:space="preserve"> </w:t>
            </w:r>
          </w:p>
          <w:p w14:paraId="6868F013" w14:textId="206F4B31" w:rsidR="003057FF" w:rsidRDefault="001716EB" w:rsidP="00174F30">
            <w:pPr>
              <w:pStyle w:val="Tabletextprimarysource"/>
              <w:numPr>
                <w:ilvl w:val="0"/>
                <w:numId w:val="5"/>
              </w:numPr>
            </w:pPr>
            <w:r>
              <w:t xml:space="preserve">Systemic </w:t>
            </w:r>
            <w:r w:rsidR="00BA3A79">
              <w:t xml:space="preserve">toxic </w:t>
            </w:r>
            <w:r>
              <w:t xml:space="preserve">effects </w:t>
            </w:r>
            <w:r w:rsidR="00424B76">
              <w:t>following dermal application are unlikely due t</w:t>
            </w:r>
            <w:r w:rsidR="00AF2332">
              <w:t xml:space="preserve">o </w:t>
            </w:r>
            <w:r w:rsidR="00BA3A79">
              <w:t>complete m</w:t>
            </w:r>
            <w:r w:rsidR="00AF2332">
              <w:t xml:space="preserve">etabolism of the </w:t>
            </w:r>
            <w:r w:rsidR="00056CA5">
              <w:t xml:space="preserve">peroxide </w:t>
            </w:r>
            <w:r w:rsidR="005512D8">
              <w:t xml:space="preserve">to benzoic acid </w:t>
            </w:r>
            <w:r w:rsidR="00726B85">
              <w:t>in</w:t>
            </w:r>
            <w:r w:rsidR="00BA3A79">
              <w:t xml:space="preserve"> the epidermis</w:t>
            </w:r>
            <w:r w:rsidR="005512D8">
              <w:t xml:space="preserve"> and relatively slow skin absorption rate (5.1 µg/cm</w:t>
            </w:r>
            <w:r w:rsidR="005512D8">
              <w:rPr>
                <w:vertAlign w:val="superscript"/>
              </w:rPr>
              <w:t>2</w:t>
            </w:r>
            <w:r w:rsidR="005512D8">
              <w:t>/d)</w:t>
            </w:r>
            <w:r w:rsidR="003A0F77">
              <w:t>.</w:t>
            </w:r>
          </w:p>
          <w:p w14:paraId="43F457A2" w14:textId="512DE2F7" w:rsidR="00292A65" w:rsidRDefault="003C27F8" w:rsidP="005C7E8D">
            <w:pPr>
              <w:pStyle w:val="ListBullet"/>
              <w:numPr>
                <w:ilvl w:val="0"/>
                <w:numId w:val="0"/>
              </w:numPr>
              <w:ind w:left="360" w:hanging="360"/>
            </w:pPr>
            <w:r>
              <w:t>Animal data:</w:t>
            </w:r>
          </w:p>
          <w:p w14:paraId="6536B712" w14:textId="62EB1E96" w:rsidR="00EB4FC1" w:rsidRPr="00EB4FC1" w:rsidRDefault="0017518D" w:rsidP="00921CED">
            <w:pPr>
              <w:pStyle w:val="Tabletextprimarysource"/>
              <w:numPr>
                <w:ilvl w:val="0"/>
                <w:numId w:val="5"/>
              </w:numPr>
            </w:pPr>
            <w:r>
              <w:t>Separate</w:t>
            </w:r>
            <w:r w:rsidR="00B008E7">
              <w:t xml:space="preserve"> studies report </w:t>
            </w:r>
            <w:r w:rsidR="007447A5">
              <w:t>LD</w:t>
            </w:r>
            <w:r w:rsidR="007447A5">
              <w:rPr>
                <w:vertAlign w:val="subscript"/>
              </w:rPr>
              <w:t>50</w:t>
            </w:r>
            <w:r w:rsidR="007447A5">
              <w:t xml:space="preserve"> </w:t>
            </w:r>
            <w:r w:rsidR="00B008E7">
              <w:t>of</w:t>
            </w:r>
            <w:r w:rsidR="00175B63">
              <w:t xml:space="preserve"> </w:t>
            </w:r>
            <w:r w:rsidR="00C61612">
              <w:t>&gt;</w:t>
            </w:r>
            <w:r w:rsidR="0050256A">
              <w:t>950</w:t>
            </w:r>
            <w:r w:rsidR="00175B63">
              <w:t xml:space="preserve"> and</w:t>
            </w:r>
            <w:r w:rsidR="0050256A">
              <w:t xml:space="preserve"> </w:t>
            </w:r>
            <w:r w:rsidR="007447A5">
              <w:t>&gt;5000 mg/kg (</w:t>
            </w:r>
            <w:r>
              <w:t>rats, oral</w:t>
            </w:r>
            <w:r w:rsidR="007447A5">
              <w:t>)</w:t>
            </w:r>
          </w:p>
          <w:p w14:paraId="1E52B388" w14:textId="5B0A7D86" w:rsidR="007447A5" w:rsidRDefault="00C61612" w:rsidP="00921CED">
            <w:pPr>
              <w:pStyle w:val="Tabletextprimarysource"/>
              <w:numPr>
                <w:ilvl w:val="0"/>
                <w:numId w:val="5"/>
              </w:numPr>
            </w:pPr>
            <w:r>
              <w:t>LC</w:t>
            </w:r>
            <w:r w:rsidRPr="00C61612">
              <w:rPr>
                <w:vertAlign w:val="subscript"/>
              </w:rPr>
              <w:t>50</w:t>
            </w:r>
            <w:r w:rsidR="007F7106">
              <w:rPr>
                <w:vertAlign w:val="subscript"/>
              </w:rPr>
              <w:t>:</w:t>
            </w:r>
            <w:r w:rsidR="00B461D2" w:rsidRPr="0017518D">
              <w:t xml:space="preserve"> </w:t>
            </w:r>
            <w:r>
              <w:t>&gt;</w:t>
            </w:r>
            <w:r w:rsidR="00B461D2">
              <w:t>24.3 g/m</w:t>
            </w:r>
            <w:r w:rsidR="00B461D2" w:rsidRPr="00B461D2">
              <w:rPr>
                <w:vertAlign w:val="superscript"/>
              </w:rPr>
              <w:t>3</w:t>
            </w:r>
            <w:r w:rsidR="00B461D2">
              <w:t xml:space="preserve"> </w:t>
            </w:r>
            <w:r w:rsidR="00A93557">
              <w:t xml:space="preserve">(rats, </w:t>
            </w:r>
            <w:r w:rsidR="00B461D2">
              <w:t>4 h</w:t>
            </w:r>
            <w:r w:rsidR="00A93557">
              <w:t>)</w:t>
            </w:r>
          </w:p>
          <w:p w14:paraId="6A207B1A" w14:textId="54573E6D" w:rsidR="006739D4" w:rsidRDefault="00A40BAC" w:rsidP="00921CED">
            <w:pPr>
              <w:pStyle w:val="Tabletextprimarysource"/>
              <w:numPr>
                <w:ilvl w:val="0"/>
                <w:numId w:val="5"/>
              </w:numPr>
            </w:pPr>
            <w:r>
              <w:t xml:space="preserve">No skin irritation in rabbits, </w:t>
            </w:r>
            <w:r w:rsidR="00541FE3">
              <w:t xml:space="preserve">eye irritation </w:t>
            </w:r>
            <w:r w:rsidR="0017518D">
              <w:t>&gt;</w:t>
            </w:r>
            <w:r w:rsidR="00BD23FD">
              <w:t xml:space="preserve"> </w:t>
            </w:r>
            <w:r w:rsidR="00541FE3">
              <w:t>24 h of application (concentration unspecified</w:t>
            </w:r>
            <w:r w:rsidR="00BF3BF9">
              <w:t>)</w:t>
            </w:r>
          </w:p>
          <w:p w14:paraId="130DC90C" w14:textId="6D5E5DD1" w:rsidR="00BF3BF9" w:rsidRDefault="0013050B" w:rsidP="00921CED">
            <w:pPr>
              <w:pStyle w:val="Tabletextprimarysource"/>
              <w:numPr>
                <w:ilvl w:val="0"/>
                <w:numId w:val="5"/>
              </w:numPr>
            </w:pPr>
            <w:r>
              <w:t>Moderate erythema on guinea pig skin (</w:t>
            </w:r>
            <w:r w:rsidR="0017518D">
              <w:t>10</w:t>
            </w:r>
            <w:r w:rsidRPr="0013050B">
              <w:t>% solution in propylene glycol</w:t>
            </w:r>
            <w:r w:rsidR="00515432">
              <w:t>)</w:t>
            </w:r>
          </w:p>
          <w:p w14:paraId="388259D7" w14:textId="60B07469" w:rsidR="00FD763A" w:rsidRDefault="00037208" w:rsidP="00921CED">
            <w:pPr>
              <w:pStyle w:val="Tabletextprimarysource"/>
              <w:numPr>
                <w:ilvl w:val="0"/>
                <w:numId w:val="5"/>
              </w:numPr>
            </w:pPr>
            <w:r>
              <w:t>Single and repeat d</w:t>
            </w:r>
            <w:r w:rsidR="003E47DD">
              <w:t>ermal</w:t>
            </w:r>
            <w:r w:rsidR="0038675F">
              <w:t xml:space="preserve"> studies </w:t>
            </w:r>
            <w:r w:rsidR="002444D6">
              <w:t>without</w:t>
            </w:r>
            <w:r w:rsidR="006D08B4">
              <w:t xml:space="preserve"> </w:t>
            </w:r>
            <w:r w:rsidR="002444D6">
              <w:t xml:space="preserve">co-application </w:t>
            </w:r>
            <w:r w:rsidR="00622628">
              <w:t xml:space="preserve">of </w:t>
            </w:r>
            <w:r w:rsidR="002444D6">
              <w:t xml:space="preserve">tumour initiators </w:t>
            </w:r>
            <w:r w:rsidR="0038675F">
              <w:t xml:space="preserve">suggest no </w:t>
            </w:r>
            <w:r w:rsidR="001E05DC">
              <w:t xml:space="preserve">primary </w:t>
            </w:r>
            <w:r w:rsidR="0038675F">
              <w:t>carcinogenic activity</w:t>
            </w:r>
            <w:r w:rsidR="00211269">
              <w:t>, tumour promotion demonstrated in combination with tumour initiators:</w:t>
            </w:r>
          </w:p>
          <w:p w14:paraId="7BE6927F" w14:textId="6F58EDC0" w:rsidR="00622628" w:rsidRDefault="00BA3142" w:rsidP="00921CED">
            <w:pPr>
              <w:pStyle w:val="ListBullet"/>
              <w:numPr>
                <w:ilvl w:val="0"/>
                <w:numId w:val="9"/>
              </w:numPr>
              <w:ind w:left="1014" w:hanging="425"/>
            </w:pPr>
            <w:r>
              <w:t>n</w:t>
            </w:r>
            <w:r w:rsidR="005B43AE">
              <w:t xml:space="preserve">o tumours at 120 mg (rats, </w:t>
            </w:r>
            <w:r w:rsidR="00104CD6">
              <w:t xml:space="preserve">20% starch suspension, </w:t>
            </w:r>
            <w:r w:rsidR="00676969">
              <w:t>concentration expression not specified)</w:t>
            </w:r>
          </w:p>
          <w:p w14:paraId="30B94A07" w14:textId="29D7E0AE" w:rsidR="00676969" w:rsidRDefault="00BA3142" w:rsidP="00921CED">
            <w:pPr>
              <w:pStyle w:val="ListBullet"/>
              <w:numPr>
                <w:ilvl w:val="0"/>
                <w:numId w:val="9"/>
              </w:numPr>
              <w:ind w:left="1014" w:hanging="425"/>
            </w:pPr>
            <w:r>
              <w:t>n</w:t>
            </w:r>
            <w:r w:rsidR="00676969">
              <w:t xml:space="preserve">o tumours at </w:t>
            </w:r>
            <w:r w:rsidR="00FE6D00">
              <w:t xml:space="preserve">2.9 mg (rats, </w:t>
            </w:r>
            <w:r w:rsidR="00D72C19">
              <w:t xml:space="preserve">0.2 ml </w:t>
            </w:r>
            <w:r w:rsidR="00D72C19" w:rsidRPr="00D72C19">
              <w:t>tricaprylin</w:t>
            </w:r>
            <w:r w:rsidR="00D72C19">
              <w:t>, t</w:t>
            </w:r>
            <w:r w:rsidR="007F7106">
              <w:t>wice</w:t>
            </w:r>
            <w:r w:rsidR="0017518D">
              <w:t>/</w:t>
            </w:r>
            <w:r w:rsidR="003E79AA">
              <w:t xml:space="preserve">wk, </w:t>
            </w:r>
            <w:r w:rsidR="006D6836">
              <w:t>12 wk</w:t>
            </w:r>
            <w:r w:rsidR="00D72C19">
              <w:t>)</w:t>
            </w:r>
          </w:p>
          <w:p w14:paraId="6EB6696D" w14:textId="6733B763" w:rsidR="00B43A72" w:rsidRDefault="00BA3142" w:rsidP="00921CED">
            <w:pPr>
              <w:pStyle w:val="ListBullet"/>
              <w:numPr>
                <w:ilvl w:val="0"/>
                <w:numId w:val="9"/>
              </w:numPr>
              <w:ind w:left="1014" w:hanging="425"/>
            </w:pPr>
            <w:r>
              <w:t>m</w:t>
            </w:r>
            <w:r w:rsidR="00E70E8F">
              <w:t xml:space="preserve">elanomas at </w:t>
            </w:r>
            <w:r w:rsidR="00F96A27">
              <w:t>80</w:t>
            </w:r>
            <w:r w:rsidR="00872227">
              <w:t>–</w:t>
            </w:r>
            <w:r w:rsidR="00F96A27">
              <w:t>160 mg</w:t>
            </w:r>
            <w:r w:rsidR="00650F6A">
              <w:t xml:space="preserve"> after </w:t>
            </w:r>
            <w:r w:rsidR="00AD1333">
              <w:t xml:space="preserve">tumour initiation </w:t>
            </w:r>
            <w:r w:rsidR="00461F96">
              <w:t xml:space="preserve">1 wk prior with 10 mg/kg </w:t>
            </w:r>
            <w:r w:rsidR="005C7E8D">
              <w:t>DMBA</w:t>
            </w:r>
            <w:r w:rsidR="0092451C">
              <w:t xml:space="preserve"> </w:t>
            </w:r>
            <w:r w:rsidR="00286A4D">
              <w:t>(</w:t>
            </w:r>
            <w:r w:rsidR="00007072">
              <w:t xml:space="preserve">hamsters, </w:t>
            </w:r>
            <w:r w:rsidR="00DA30BA">
              <w:t>pe</w:t>
            </w:r>
            <w:r>
              <w:t>roxide in 1 ml acetone, 3 times/</w:t>
            </w:r>
            <w:proofErr w:type="spellStart"/>
            <w:r w:rsidR="00DA30BA">
              <w:t>wk</w:t>
            </w:r>
            <w:proofErr w:type="spellEnd"/>
            <w:r w:rsidR="00DA30BA">
              <w:t xml:space="preserve">, </w:t>
            </w:r>
            <w:r w:rsidR="00FA50FC">
              <w:t xml:space="preserve">16 </w:t>
            </w:r>
            <w:proofErr w:type="spellStart"/>
            <w:r w:rsidR="00FA50FC">
              <w:t>mo</w:t>
            </w:r>
            <w:proofErr w:type="spellEnd"/>
            <w:r w:rsidR="00FA50FC">
              <w:t>)</w:t>
            </w:r>
          </w:p>
          <w:p w14:paraId="2846C089" w14:textId="11D4E62E" w:rsidR="00AA3B5B" w:rsidRDefault="00AA3B5B" w:rsidP="00921CED">
            <w:pPr>
              <w:pStyle w:val="Tabletextprimarysource"/>
              <w:numPr>
                <w:ilvl w:val="0"/>
                <w:numId w:val="5"/>
              </w:numPr>
            </w:pPr>
            <w:r>
              <w:t xml:space="preserve">Bacterial </w:t>
            </w:r>
            <w:r w:rsidRPr="0017518D">
              <w:rPr>
                <w:i/>
              </w:rPr>
              <w:t>in vitro</w:t>
            </w:r>
            <w:r>
              <w:t xml:space="preserve"> studies indicate no </w:t>
            </w:r>
            <w:r w:rsidR="0017518D">
              <w:t>mutagenicity;</w:t>
            </w:r>
            <w:r w:rsidR="00211269">
              <w:t xml:space="preserve"> DNA strand breaks reported in </w:t>
            </w:r>
            <w:r>
              <w:t>mouse c</w:t>
            </w:r>
            <w:r w:rsidR="00211269">
              <w:t>ell assay</w:t>
            </w:r>
          </w:p>
          <w:p w14:paraId="61B3E7C6" w14:textId="77777777" w:rsidR="00FF1E3E" w:rsidRDefault="00FE309C" w:rsidP="00921CED">
            <w:pPr>
              <w:pStyle w:val="Tabletextprimarysource"/>
              <w:numPr>
                <w:ilvl w:val="0"/>
                <w:numId w:val="5"/>
              </w:numPr>
            </w:pPr>
            <w:r w:rsidRPr="0017518D">
              <w:rPr>
                <w:i/>
              </w:rPr>
              <w:t>In vitro</w:t>
            </w:r>
            <w:r>
              <w:t xml:space="preserve"> </w:t>
            </w:r>
            <w:r w:rsidR="005E700B">
              <w:t xml:space="preserve">mutagenicity studies are inconclusive for benzoyl peroxide, but other related organic peroxides are </w:t>
            </w:r>
            <w:r w:rsidR="00B641E5">
              <w:t>evidently mutagenic</w:t>
            </w:r>
            <w:r w:rsidR="003A0F77">
              <w:t>.</w:t>
            </w:r>
          </w:p>
          <w:p w14:paraId="782DE198" w14:textId="7BB82016" w:rsidR="00872227" w:rsidRPr="007447A5" w:rsidRDefault="00872227" w:rsidP="00400EC9">
            <w:pPr>
              <w:pStyle w:val="ListBullet"/>
              <w:numPr>
                <w:ilvl w:val="0"/>
                <w:numId w:val="0"/>
              </w:numPr>
            </w:pPr>
          </w:p>
        </w:tc>
      </w:tr>
      <w:tr w:rsidR="00C978F0" w:rsidRPr="00DA352E" w14:paraId="782DE19B" w14:textId="77777777" w:rsidTr="00DE26E8">
        <w:trPr>
          <w:gridAfter w:val="1"/>
          <w:wAfter w:w="8" w:type="pct"/>
          <w:cantSplit/>
        </w:trPr>
        <w:tc>
          <w:tcPr>
            <w:tcW w:w="4992" w:type="pct"/>
            <w:shd w:val="clear" w:color="auto" w:fill="F2F2F2" w:themeFill="background1" w:themeFillShade="F2"/>
          </w:tcPr>
          <w:p w14:paraId="782DE19A" w14:textId="50139C9A" w:rsidR="00C978F0" w:rsidRPr="00DA352E" w:rsidRDefault="00DA352E" w:rsidP="0051509C">
            <w:pPr>
              <w:pStyle w:val="Tablerowheadingitalic"/>
              <w:tabs>
                <w:tab w:val="clear" w:pos="2268"/>
                <w:tab w:val="clear" w:pos="5670"/>
                <w:tab w:val="left" w:pos="1418"/>
                <w:tab w:val="left" w:pos="2552"/>
              </w:tabs>
            </w:pPr>
            <w:r w:rsidRPr="00DA352E">
              <w:lastRenderedPageBreak/>
              <w:t>SCOEL</w:t>
            </w:r>
            <w:r w:rsidR="00916EC0" w:rsidRPr="003365A5">
              <w:t xml:space="preserve"> </w:t>
            </w:r>
            <w:r w:rsidR="00916EC0" w:rsidRPr="003365A5">
              <w:tab/>
            </w:r>
            <w:sdt>
              <w:sdtPr>
                <w:id w:val="-768699850"/>
                <w:placeholder>
                  <w:docPart w:val="FDC2A24E7D2549238DA6EE03BD0A6AE0"/>
                </w:placeholder>
                <w:text/>
              </w:sdtPr>
              <w:sdtEndPr/>
              <w:sdtContent>
                <w:r w:rsidR="007819F7">
                  <w:t>NA</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r w:rsidR="007819F7">
                  <w:t>NA</w:t>
                </w:r>
              </w:sdtContent>
            </w:sdt>
          </w:p>
        </w:tc>
      </w:tr>
      <w:tr w:rsidR="00C978F0" w:rsidRPr="00DA352E" w14:paraId="782DE19D" w14:textId="77777777" w:rsidTr="00DE26E8">
        <w:trPr>
          <w:gridAfter w:val="1"/>
          <w:wAfter w:w="8" w:type="pct"/>
          <w:cantSplit/>
        </w:trPr>
        <w:tc>
          <w:tcPr>
            <w:tcW w:w="4992" w:type="pct"/>
          </w:tcPr>
          <w:p w14:paraId="782DE19C" w14:textId="113E4AF9" w:rsidR="00C978F0" w:rsidRPr="00DA352E" w:rsidRDefault="007819F7" w:rsidP="003365A5">
            <w:pPr>
              <w:pStyle w:val="Tabletextprimarysource"/>
            </w:pPr>
            <w:r>
              <w:t>No report</w:t>
            </w:r>
            <w:r w:rsidR="00174F30">
              <w:t>.</w:t>
            </w:r>
          </w:p>
        </w:tc>
      </w:tr>
      <w:tr w:rsidR="00DA352E" w:rsidRPr="00DA352E" w14:paraId="782DE19F" w14:textId="77777777" w:rsidTr="00DE26E8">
        <w:trPr>
          <w:gridAfter w:val="1"/>
          <w:wAfter w:w="8" w:type="pct"/>
          <w:cantSplit/>
        </w:trPr>
        <w:tc>
          <w:tcPr>
            <w:tcW w:w="4992" w:type="pct"/>
            <w:shd w:val="clear" w:color="auto" w:fill="F2F2F2" w:themeFill="background1" w:themeFillShade="F2"/>
          </w:tcPr>
          <w:p w14:paraId="782DE19E" w14:textId="0807BE3A"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7819F7">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r w:rsidR="007819F7">
                  <w:t>NA</w:t>
                </w:r>
              </w:sdtContent>
            </w:sdt>
          </w:p>
        </w:tc>
      </w:tr>
      <w:tr w:rsidR="00DA352E" w:rsidRPr="00DA352E" w14:paraId="782DE1A1" w14:textId="77777777" w:rsidTr="00DE26E8">
        <w:trPr>
          <w:gridAfter w:val="1"/>
          <w:wAfter w:w="8" w:type="pct"/>
          <w:cantSplit/>
        </w:trPr>
        <w:tc>
          <w:tcPr>
            <w:tcW w:w="4992" w:type="pct"/>
          </w:tcPr>
          <w:p w14:paraId="782DE1A0" w14:textId="178EACCD" w:rsidR="00DA352E" w:rsidRPr="00DA352E" w:rsidRDefault="007819F7" w:rsidP="003365A5">
            <w:pPr>
              <w:pStyle w:val="Tabletextprimarysource"/>
            </w:pPr>
            <w:r>
              <w:t>No report</w:t>
            </w:r>
            <w:r w:rsidR="00174F30">
              <w:t>.</w:t>
            </w:r>
          </w:p>
        </w:tc>
      </w:tr>
      <w:tr w:rsidR="00DA352E" w:rsidRPr="00DA352E" w14:paraId="782DE1A3" w14:textId="77777777" w:rsidTr="00DE26E8">
        <w:trPr>
          <w:gridAfter w:val="1"/>
          <w:wAfter w:w="8" w:type="pct"/>
          <w:cantSplit/>
        </w:trPr>
        <w:tc>
          <w:tcPr>
            <w:tcW w:w="4992" w:type="pct"/>
            <w:shd w:val="clear" w:color="auto" w:fill="F2F2F2" w:themeFill="background1" w:themeFillShade="F2"/>
          </w:tcPr>
          <w:p w14:paraId="782DE1A2" w14:textId="32283705"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B964ED">
                  <w:t>2012</w:t>
                </w:r>
              </w:sdtContent>
            </w:sdt>
            <w:r w:rsidR="00916EC0" w:rsidRPr="003365A5">
              <w:tab/>
            </w:r>
            <w:r w:rsidR="0051509C">
              <w:tab/>
            </w:r>
            <w:r w:rsidR="005C7E8D">
              <w:t>Not Assigned</w:t>
            </w:r>
          </w:p>
        </w:tc>
      </w:tr>
      <w:tr w:rsidR="00DA352E" w:rsidRPr="00DA352E" w14:paraId="782DE1A5" w14:textId="77777777" w:rsidTr="00DE26E8">
        <w:trPr>
          <w:gridAfter w:val="1"/>
          <w:wAfter w:w="8" w:type="pct"/>
          <w:cantSplit/>
        </w:trPr>
        <w:tc>
          <w:tcPr>
            <w:tcW w:w="4992" w:type="pct"/>
          </w:tcPr>
          <w:p w14:paraId="2F7DDB55" w14:textId="77777777" w:rsidR="00DA352E" w:rsidRDefault="0043007D" w:rsidP="003365A5">
            <w:pPr>
              <w:pStyle w:val="Tabletextprimarysource"/>
            </w:pPr>
            <w:r>
              <w:t>Summary of additional data:</w:t>
            </w:r>
          </w:p>
          <w:p w14:paraId="756FCDC5" w14:textId="00977545" w:rsidR="0019333D" w:rsidRDefault="0019333D" w:rsidP="003365A5">
            <w:pPr>
              <w:pStyle w:val="Tabletextprimarysource"/>
            </w:pPr>
            <w:r>
              <w:t>Human data:</w:t>
            </w:r>
          </w:p>
          <w:p w14:paraId="1E917759" w14:textId="2D231CD1" w:rsidR="00D53374" w:rsidRDefault="0043007D" w:rsidP="00174F30">
            <w:pPr>
              <w:pStyle w:val="Tabletextprimarysource"/>
              <w:numPr>
                <w:ilvl w:val="0"/>
                <w:numId w:val="5"/>
              </w:numPr>
            </w:pPr>
            <w:r>
              <w:t xml:space="preserve">No increased </w:t>
            </w:r>
            <w:r w:rsidR="00D24EA7">
              <w:t xml:space="preserve">risk of malignant melanomas reported in </w:t>
            </w:r>
            <w:r w:rsidR="00A45E25">
              <w:t>case control study (159 cases, 213 controls)</w:t>
            </w:r>
            <w:r w:rsidR="00792346">
              <w:t xml:space="preserve"> </w:t>
            </w:r>
            <w:r w:rsidR="00D621AA">
              <w:t>of</w:t>
            </w:r>
            <w:r w:rsidR="006924B9">
              <w:t xml:space="preserve"> </w:t>
            </w:r>
            <w:r w:rsidR="007C0B0B">
              <w:t>acne patients</w:t>
            </w:r>
            <w:r w:rsidR="00872227">
              <w:t>.</w:t>
            </w:r>
          </w:p>
          <w:p w14:paraId="34CA19B9" w14:textId="76AEA107" w:rsidR="00123251" w:rsidRDefault="00123251" w:rsidP="003365A5">
            <w:pPr>
              <w:pStyle w:val="Tabletextprimarysource"/>
            </w:pPr>
            <w:r>
              <w:t>Animal data:</w:t>
            </w:r>
          </w:p>
          <w:p w14:paraId="0DB06227" w14:textId="2A2433F1" w:rsidR="007A7B65" w:rsidRDefault="0070443E" w:rsidP="00AD1684">
            <w:pPr>
              <w:pStyle w:val="Tabletextprimarysource"/>
              <w:numPr>
                <w:ilvl w:val="0"/>
                <w:numId w:val="4"/>
              </w:numPr>
            </w:pPr>
            <w:r>
              <w:t xml:space="preserve">NOAEL: </w:t>
            </w:r>
            <w:r w:rsidR="00D678CA">
              <w:t xml:space="preserve">28 mg/kg measured by </w:t>
            </w:r>
            <w:r w:rsidR="00BA3142">
              <w:t>bw</w:t>
            </w:r>
            <w:r w:rsidR="00D678CA">
              <w:t xml:space="preserve"> in repeat feeding study </w:t>
            </w:r>
            <w:r w:rsidR="00BA3142">
              <w:t>(</w:t>
            </w:r>
            <w:r w:rsidR="00D678CA">
              <w:t>cited by ACGIH, 2001</w:t>
            </w:r>
            <w:r w:rsidR="00BA3142">
              <w:t>)</w:t>
            </w:r>
          </w:p>
          <w:p w14:paraId="72ACD310" w14:textId="77777777" w:rsidR="00FE67CA" w:rsidRDefault="007A7B65" w:rsidP="00FE67CA">
            <w:pPr>
              <w:pStyle w:val="Tabletextprimarysource"/>
              <w:numPr>
                <w:ilvl w:val="0"/>
                <w:numId w:val="4"/>
              </w:numPr>
            </w:pPr>
            <w:r>
              <w:t xml:space="preserve">Evidence of </w:t>
            </w:r>
            <w:r w:rsidR="00F26CDD">
              <w:t xml:space="preserve">tumour </w:t>
            </w:r>
            <w:r>
              <w:t xml:space="preserve">promoting activity </w:t>
            </w:r>
            <w:r w:rsidR="00F26CDD">
              <w:t>in combination with</w:t>
            </w:r>
            <w:r w:rsidR="00EE1E3B">
              <w:t xml:space="preserve"> common</w:t>
            </w:r>
            <w:r w:rsidR="00F26CDD">
              <w:t xml:space="preserve"> </w:t>
            </w:r>
            <w:r>
              <w:t>initiating agents</w:t>
            </w:r>
            <w:r w:rsidR="00EE1E3B">
              <w:t xml:space="preserve">: </w:t>
            </w:r>
            <w:r w:rsidR="0092451C">
              <w:t>DMBA</w:t>
            </w:r>
            <w:r>
              <w:t xml:space="preserve">, </w:t>
            </w:r>
            <w:r w:rsidR="00EE1E3B">
              <w:t>m</w:t>
            </w:r>
            <w:r w:rsidR="00EE1E3B" w:rsidRPr="00EE1E3B">
              <w:t>ethylnitronitrosoguanidine</w:t>
            </w:r>
            <w:r w:rsidR="00EE1E3B">
              <w:t xml:space="preserve"> </w:t>
            </w:r>
            <w:r>
              <w:t xml:space="preserve">and </w:t>
            </w:r>
            <w:r w:rsidR="00EE1E3B">
              <w:t xml:space="preserve">benzo(a)pyrene, but not </w:t>
            </w:r>
            <w:r>
              <w:t>ultraviolet light</w:t>
            </w:r>
            <w:r w:rsidR="00FE67CA">
              <w:t>.</w:t>
            </w:r>
          </w:p>
          <w:p w14:paraId="782DE1A4" w14:textId="0A2CC5CC" w:rsidR="00AA5807" w:rsidRPr="00DA352E" w:rsidRDefault="00AA5807" w:rsidP="00400EC9">
            <w:pPr>
              <w:pStyle w:val="Tabletextprimarysource"/>
              <w:ind w:left="720"/>
            </w:pPr>
          </w:p>
        </w:tc>
      </w:tr>
    </w:tbl>
    <w:p w14:paraId="782DE1A6" w14:textId="77777777" w:rsidR="00A20751" w:rsidRPr="004C23F4" w:rsidRDefault="00A20751" w:rsidP="003365A5">
      <w:pPr>
        <w:pStyle w:val="Heading3"/>
      </w:pPr>
      <w:bookmarkStart w:id="2"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00" w:firstRow="0" w:lastRow="0" w:firstColumn="0" w:lastColumn="0" w:noHBand="1" w:noVBand="1"/>
        <w:tblCaption w:val="Table"/>
        <w:tblDescription w:val="Listing secondary sources with reports"/>
      </w:tblPr>
      <w:tblGrid>
        <w:gridCol w:w="1492"/>
        <w:gridCol w:w="423"/>
        <w:gridCol w:w="661"/>
        <w:gridCol w:w="6450"/>
      </w:tblGrid>
      <w:tr w:rsidR="00786565" w:rsidRPr="00263255" w14:paraId="782DE1AB" w14:textId="77777777" w:rsidTr="0017518D">
        <w:trPr>
          <w:cantSplit/>
          <w:trHeight w:val="393"/>
          <w:tblHeader/>
        </w:trPr>
        <w:tc>
          <w:tcPr>
            <w:tcW w:w="1492" w:type="dxa"/>
            <w:shd w:val="clear" w:color="auto" w:fill="BFBFBF" w:themeFill="background1" w:themeFillShade="BF"/>
            <w:vAlign w:val="center"/>
          </w:tcPr>
          <w:p w14:paraId="782DE1A7" w14:textId="77777777" w:rsidR="004966BF" w:rsidRPr="00263255" w:rsidRDefault="004966BF" w:rsidP="00263255">
            <w:pPr>
              <w:pStyle w:val="Tableheader"/>
            </w:pPr>
            <w:r w:rsidRPr="00263255">
              <w:t>Source</w:t>
            </w:r>
          </w:p>
        </w:tc>
        <w:tc>
          <w:tcPr>
            <w:tcW w:w="423" w:type="dxa"/>
            <w:shd w:val="clear" w:color="auto" w:fill="BFBFBF" w:themeFill="background1" w:themeFillShade="BF"/>
            <w:vAlign w:val="center"/>
          </w:tcPr>
          <w:p w14:paraId="782DE1A8" w14:textId="77777777" w:rsidR="004966BF" w:rsidRPr="00263255" w:rsidRDefault="004966BF" w:rsidP="00263255">
            <w:pPr>
              <w:pStyle w:val="Tableheader"/>
            </w:pPr>
          </w:p>
        </w:tc>
        <w:tc>
          <w:tcPr>
            <w:tcW w:w="661" w:type="dxa"/>
            <w:shd w:val="clear" w:color="auto" w:fill="BFBFBF" w:themeFill="background1" w:themeFillShade="BF"/>
            <w:vAlign w:val="center"/>
          </w:tcPr>
          <w:p w14:paraId="782DE1A9" w14:textId="77777777" w:rsidR="004966BF" w:rsidRPr="00263255" w:rsidRDefault="004966BF" w:rsidP="00263255">
            <w:pPr>
              <w:pStyle w:val="Tableheader"/>
            </w:pPr>
            <w:r>
              <w:t>Year</w:t>
            </w:r>
          </w:p>
        </w:tc>
        <w:tc>
          <w:tcPr>
            <w:tcW w:w="6450" w:type="dxa"/>
            <w:shd w:val="clear" w:color="auto" w:fill="BFBFBF" w:themeFill="background1" w:themeFillShade="BF"/>
            <w:vAlign w:val="center"/>
          </w:tcPr>
          <w:p w14:paraId="782DE1AA" w14:textId="77777777" w:rsidR="004966BF" w:rsidRPr="00263255" w:rsidRDefault="004966BF" w:rsidP="00263255">
            <w:pPr>
              <w:pStyle w:val="Tableheader"/>
            </w:pPr>
            <w:r>
              <w:t>Additional information</w:t>
            </w:r>
          </w:p>
        </w:tc>
      </w:tr>
      <w:tr w:rsidR="007B2A2A" w:rsidRPr="004C23F4" w14:paraId="782DE1BA" w14:textId="77777777" w:rsidTr="00174F30">
        <w:tc>
          <w:tcPr>
            <w:tcW w:w="1492" w:type="dxa"/>
          </w:tcPr>
          <w:p w14:paraId="782DE1B6" w14:textId="77777777" w:rsidR="004966BF" w:rsidRPr="004C23F4" w:rsidRDefault="004966BF" w:rsidP="00224EE2">
            <w:pPr>
              <w:pStyle w:val="Tablefont"/>
            </w:pPr>
            <w:r>
              <w:t>NICNAS</w:t>
            </w:r>
          </w:p>
        </w:tc>
        <w:tc>
          <w:tcPr>
            <w:tcW w:w="423" w:type="dxa"/>
          </w:tcPr>
          <w:p w14:paraId="782DE1B7" w14:textId="0B73B455" w:rsidR="004966BF" w:rsidRPr="00CE617F" w:rsidRDefault="001705DD" w:rsidP="00AB43C4">
            <w:pPr>
              <w:spacing w:before="40"/>
              <w:jc w:val="center"/>
              <w:rPr>
                <w:rStyle w:val="checkbox"/>
              </w:rPr>
            </w:pPr>
            <w:sdt>
              <w:sdtPr>
                <w:rPr>
                  <w:rStyle w:val="checkbox"/>
                </w:rPr>
                <w:id w:val="1234131032"/>
                <w:placeholder>
                  <w:docPart w:val="C2B44F29000D47BD8588D2D5E8DFA6C8"/>
                </w:placeholder>
                <w:dropDownList>
                  <w:listItem w:displayText="" w:value=""/>
                  <w:listItem w:displayText="" w:value=""/>
                  <w:listItem w:displayText="" w:value=""/>
                </w:dropDownList>
              </w:sdtPr>
              <w:sdtEndPr>
                <w:rPr>
                  <w:rStyle w:val="checkbox"/>
                </w:rPr>
              </w:sdtEndPr>
              <w:sdtContent>
                <w:r w:rsidR="0044292B">
                  <w:rPr>
                    <w:rStyle w:val="checkbox"/>
                  </w:rPr>
                  <w:t></w:t>
                </w:r>
              </w:sdtContent>
            </w:sdt>
          </w:p>
        </w:tc>
        <w:tc>
          <w:tcPr>
            <w:tcW w:w="661" w:type="dxa"/>
          </w:tcPr>
          <w:p w14:paraId="782DE1B8" w14:textId="7825009F" w:rsidR="004966BF" w:rsidRPr="004C23F4" w:rsidRDefault="007819F7" w:rsidP="00717D45">
            <w:pPr>
              <w:pStyle w:val="Tablefont"/>
              <w:rPr>
                <w:rStyle w:val="checkbox"/>
                <w:rFonts w:ascii="Arial" w:hAnsi="Arial" w:cs="Arial"/>
              </w:rPr>
            </w:pPr>
            <w:r>
              <w:rPr>
                <w:rStyle w:val="checkbox"/>
                <w:rFonts w:ascii="Arial" w:hAnsi="Arial" w:cs="Arial"/>
              </w:rPr>
              <w:t>2</w:t>
            </w:r>
            <w:r w:rsidRPr="007819F7">
              <w:rPr>
                <w:rStyle w:val="checkbox"/>
                <w:rFonts w:ascii="Arial" w:hAnsi="Arial" w:cs="Arial"/>
              </w:rPr>
              <w:t>016</w:t>
            </w:r>
          </w:p>
        </w:tc>
        <w:tc>
          <w:tcPr>
            <w:tcW w:w="6450" w:type="dxa"/>
          </w:tcPr>
          <w:p w14:paraId="4271B6FF" w14:textId="37F02132" w:rsidR="004966BF" w:rsidRDefault="0044292B" w:rsidP="005C7E8D">
            <w:pPr>
              <w:pStyle w:val="Tablefont"/>
              <w:numPr>
                <w:ilvl w:val="0"/>
                <w:numId w:val="6"/>
              </w:numPr>
              <w:ind w:left="434"/>
              <w:rPr>
                <w:rFonts w:cs="Arial"/>
              </w:rPr>
            </w:pPr>
            <w:r>
              <w:rPr>
                <w:rFonts w:cs="Arial"/>
              </w:rPr>
              <w:t>C</w:t>
            </w:r>
            <w:r w:rsidRPr="0044292B">
              <w:rPr>
                <w:rFonts w:cs="Arial"/>
              </w:rPr>
              <w:t>onsidered to have low acute toxicity following dermal exposure</w:t>
            </w:r>
            <w:r w:rsidR="00772E8A">
              <w:rPr>
                <w:rFonts w:cs="Arial"/>
              </w:rPr>
              <w:t>,</w:t>
            </w:r>
            <w:r w:rsidR="00772E8A">
              <w:t xml:space="preserve"> no </w:t>
            </w:r>
            <w:r w:rsidR="00110A16">
              <w:t>acute or chronic dermal exposure data available</w:t>
            </w:r>
          </w:p>
          <w:p w14:paraId="23F7DBD2" w14:textId="77777777" w:rsidR="00174F30" w:rsidRDefault="00A93557" w:rsidP="005C7E8D">
            <w:pPr>
              <w:pStyle w:val="Tablefont"/>
              <w:numPr>
                <w:ilvl w:val="0"/>
                <w:numId w:val="6"/>
              </w:numPr>
              <w:ind w:left="434"/>
              <w:rPr>
                <w:rFonts w:cs="Arial"/>
                <w:color w:val="262626"/>
              </w:rPr>
            </w:pPr>
            <w:r>
              <w:rPr>
                <w:rFonts w:cs="Arial"/>
                <w:color w:val="262626"/>
              </w:rPr>
              <w:t>LC</w:t>
            </w:r>
            <w:r w:rsidRPr="00E73E29">
              <w:rPr>
                <w:rFonts w:cs="Arial"/>
                <w:color w:val="262626"/>
                <w:vertAlign w:val="subscript"/>
              </w:rPr>
              <w:t>50</w:t>
            </w:r>
            <w:r w:rsidR="0017518D" w:rsidRPr="0017518D">
              <w:rPr>
                <w:rFonts w:cs="Arial"/>
                <w:color w:val="262626"/>
              </w:rPr>
              <w:t>:</w:t>
            </w:r>
            <w:r w:rsidR="0017518D">
              <w:rPr>
                <w:rFonts w:cs="Arial"/>
                <w:color w:val="262626"/>
              </w:rPr>
              <w:t xml:space="preserve"> </w:t>
            </w:r>
            <w:r>
              <w:rPr>
                <w:rFonts w:cs="Arial"/>
                <w:color w:val="262626"/>
              </w:rPr>
              <w:t>&gt;24.3 mg/L (rats, 4</w:t>
            </w:r>
            <w:r w:rsidR="008D36F7">
              <w:rPr>
                <w:rFonts w:cs="Arial"/>
                <w:color w:val="262626"/>
              </w:rPr>
              <w:t xml:space="preserve"> h)</w:t>
            </w:r>
          </w:p>
          <w:p w14:paraId="17D619AF" w14:textId="0DD448C1" w:rsidR="00A93557" w:rsidRDefault="006229EF" w:rsidP="00174F30">
            <w:pPr>
              <w:pStyle w:val="ListBullet"/>
              <w:numPr>
                <w:ilvl w:val="0"/>
                <w:numId w:val="9"/>
              </w:numPr>
              <w:ind w:left="1014" w:hanging="425"/>
              <w:rPr>
                <w:rFonts w:cs="Arial"/>
                <w:color w:val="262626"/>
              </w:rPr>
            </w:pPr>
            <w:r>
              <w:rPr>
                <w:rFonts w:cs="Arial"/>
                <w:color w:val="262626"/>
              </w:rPr>
              <w:lastRenderedPageBreak/>
              <w:t>a</w:t>
            </w:r>
            <w:r w:rsidR="00E73E29">
              <w:rPr>
                <w:rFonts w:cs="Arial"/>
                <w:color w:val="262626"/>
              </w:rPr>
              <w:t>t these</w:t>
            </w:r>
            <w:r>
              <w:rPr>
                <w:rFonts w:cs="Arial"/>
                <w:color w:val="262626"/>
              </w:rPr>
              <w:t xml:space="preserve"> </w:t>
            </w:r>
            <w:r w:rsidRPr="00174F30">
              <w:t>concentrations</w:t>
            </w:r>
            <w:r w:rsidR="00E73E29">
              <w:rPr>
                <w:rFonts w:cs="Arial"/>
                <w:color w:val="262626"/>
              </w:rPr>
              <w:t xml:space="preserve"> salivation, squinting</w:t>
            </w:r>
            <w:r>
              <w:rPr>
                <w:rFonts w:cs="Arial"/>
                <w:color w:val="262626"/>
              </w:rPr>
              <w:t xml:space="preserve">, </w:t>
            </w:r>
            <w:r w:rsidR="00E73E29">
              <w:rPr>
                <w:rFonts w:cs="Arial"/>
                <w:color w:val="262626"/>
              </w:rPr>
              <w:t>breathing difficulty, lacrimation, erythema, change</w:t>
            </w:r>
            <w:r>
              <w:rPr>
                <w:rFonts w:cs="Arial"/>
                <w:color w:val="262626"/>
              </w:rPr>
              <w:t>d</w:t>
            </w:r>
            <w:r w:rsidR="00E73E29">
              <w:rPr>
                <w:rFonts w:cs="Arial"/>
                <w:color w:val="262626"/>
              </w:rPr>
              <w:t xml:space="preserve"> respiratory rates, motor activity and ocular irritation</w:t>
            </w:r>
            <w:r>
              <w:rPr>
                <w:rFonts w:cs="Arial"/>
                <w:color w:val="262626"/>
              </w:rPr>
              <w:t xml:space="preserve"> were noted</w:t>
            </w:r>
          </w:p>
          <w:p w14:paraId="47CD9CAE" w14:textId="016EE57F" w:rsidR="0067379E" w:rsidRDefault="00170A6C" w:rsidP="005C7E8D">
            <w:pPr>
              <w:pStyle w:val="Tablefont"/>
              <w:numPr>
                <w:ilvl w:val="0"/>
                <w:numId w:val="6"/>
              </w:numPr>
              <w:ind w:left="434"/>
              <w:rPr>
                <w:rFonts w:cs="Arial"/>
                <w:color w:val="262626"/>
              </w:rPr>
            </w:pPr>
            <w:r>
              <w:rPr>
                <w:rFonts w:cs="Arial"/>
                <w:color w:val="262626"/>
              </w:rPr>
              <w:t>Patch tests using</w:t>
            </w:r>
            <w:r w:rsidR="0067379E">
              <w:rPr>
                <w:rFonts w:cs="Arial"/>
                <w:color w:val="262626"/>
              </w:rPr>
              <w:t xml:space="preserve"> 1%, 0.5% or 0.25% </w:t>
            </w:r>
            <w:r w:rsidR="00786565">
              <w:rPr>
                <w:rFonts w:cs="Arial"/>
                <w:color w:val="262626"/>
              </w:rPr>
              <w:t xml:space="preserve">(concentration expression not specified) </w:t>
            </w:r>
            <w:r w:rsidR="006C2392">
              <w:rPr>
                <w:rFonts w:cs="Arial"/>
                <w:color w:val="262626"/>
              </w:rPr>
              <w:t>resulted in 16/30 positive responses.</w:t>
            </w:r>
          </w:p>
          <w:p w14:paraId="782DE1B9" w14:textId="59D22FE6" w:rsidR="006C2392" w:rsidRPr="004C23F4" w:rsidRDefault="00470E5F" w:rsidP="005C7E8D">
            <w:pPr>
              <w:pStyle w:val="Tablefont"/>
              <w:numPr>
                <w:ilvl w:val="0"/>
                <w:numId w:val="6"/>
              </w:numPr>
              <w:ind w:left="434"/>
              <w:rPr>
                <w:rStyle w:val="checkbox"/>
                <w:rFonts w:ascii="Arial" w:hAnsi="Arial" w:cs="Arial"/>
              </w:rPr>
            </w:pPr>
            <w:r>
              <w:rPr>
                <w:rFonts w:cs="Arial"/>
                <w:color w:val="262626"/>
              </w:rPr>
              <w:t>Human maximisation test</w:t>
            </w:r>
            <w:r w:rsidR="007E55C9">
              <w:rPr>
                <w:rFonts w:cs="Arial"/>
                <w:color w:val="262626"/>
              </w:rPr>
              <w:t xml:space="preserve"> (n=50)</w:t>
            </w:r>
            <w:r w:rsidR="00174F30">
              <w:rPr>
                <w:rFonts w:cs="Arial"/>
                <w:color w:val="262626"/>
              </w:rPr>
              <w:t xml:space="preserve"> using 5</w:t>
            </w:r>
            <w:r>
              <w:rPr>
                <w:rFonts w:cs="Arial"/>
                <w:color w:val="262626"/>
              </w:rPr>
              <w:t xml:space="preserve"> </w:t>
            </w:r>
            <w:r w:rsidR="00786565">
              <w:rPr>
                <w:rFonts w:cs="Arial"/>
                <w:color w:val="262626"/>
              </w:rPr>
              <w:t xml:space="preserve">and 10% </w:t>
            </w:r>
            <w:r w:rsidR="007E55C9">
              <w:rPr>
                <w:rFonts w:cs="Arial"/>
                <w:color w:val="262626"/>
              </w:rPr>
              <w:t xml:space="preserve">gels (composition unspecified) gave </w:t>
            </w:r>
            <w:r w:rsidR="007B2A2A">
              <w:rPr>
                <w:rFonts w:cs="Arial"/>
                <w:color w:val="262626"/>
              </w:rPr>
              <w:t>38/50 positive results for skin sensitisation</w:t>
            </w:r>
            <w:r w:rsidR="00BA3142">
              <w:rPr>
                <w:rFonts w:cs="Arial"/>
                <w:color w:val="262626"/>
              </w:rPr>
              <w:t>.</w:t>
            </w:r>
          </w:p>
        </w:tc>
      </w:tr>
      <w:tr w:rsidR="007B2A2A" w:rsidRPr="004C23F4" w14:paraId="782DE1E2" w14:textId="77777777" w:rsidTr="0017518D">
        <w:trPr>
          <w:cantSplit/>
        </w:trPr>
        <w:tc>
          <w:tcPr>
            <w:tcW w:w="1492" w:type="dxa"/>
          </w:tcPr>
          <w:p w14:paraId="782DE1DE" w14:textId="7D00158F" w:rsidR="004966BF" w:rsidRDefault="004966BF" w:rsidP="00224EE2">
            <w:pPr>
              <w:pStyle w:val="Tablefont"/>
            </w:pPr>
            <w:r>
              <w:lastRenderedPageBreak/>
              <w:t>US NIOSH</w:t>
            </w:r>
          </w:p>
        </w:tc>
        <w:tc>
          <w:tcPr>
            <w:tcW w:w="423" w:type="dxa"/>
          </w:tcPr>
          <w:p w14:paraId="782DE1DF" w14:textId="1164008E" w:rsidR="004966BF" w:rsidRDefault="001705DD" w:rsidP="00AB43C4">
            <w:pPr>
              <w:spacing w:before="40"/>
              <w:jc w:val="center"/>
              <w:rPr>
                <w:rStyle w:val="checkbox"/>
              </w:rPr>
            </w:pPr>
            <w:sdt>
              <w:sdtPr>
                <w:rPr>
                  <w:rStyle w:val="checkbox"/>
                </w:rPr>
                <w:id w:val="-1814863282"/>
                <w:placeholder>
                  <w:docPart w:val="EA51C8540A4D4F0A9062F5B1698DCBB0"/>
                </w:placeholder>
                <w:dropDownList>
                  <w:listItem w:displayText="" w:value=""/>
                  <w:listItem w:displayText="" w:value=""/>
                  <w:listItem w:displayText="" w:value=""/>
                </w:dropDownList>
              </w:sdtPr>
              <w:sdtEndPr>
                <w:rPr>
                  <w:rStyle w:val="checkbox"/>
                </w:rPr>
              </w:sdtEndPr>
              <w:sdtContent>
                <w:r w:rsidR="00B30E7B">
                  <w:rPr>
                    <w:rStyle w:val="checkbox"/>
                  </w:rPr>
                  <w:t></w:t>
                </w:r>
              </w:sdtContent>
            </w:sdt>
          </w:p>
        </w:tc>
        <w:tc>
          <w:tcPr>
            <w:tcW w:w="661" w:type="dxa"/>
          </w:tcPr>
          <w:p w14:paraId="782DE1E0" w14:textId="52222643" w:rsidR="004966BF" w:rsidRPr="004C23F4" w:rsidRDefault="00B30E7B" w:rsidP="00717D45">
            <w:pPr>
              <w:pStyle w:val="Tablefont"/>
              <w:rPr>
                <w:rStyle w:val="checkbox"/>
                <w:rFonts w:ascii="Arial" w:hAnsi="Arial" w:cs="Arial"/>
              </w:rPr>
            </w:pPr>
            <w:r>
              <w:rPr>
                <w:rStyle w:val="checkbox"/>
                <w:rFonts w:ascii="Arial" w:hAnsi="Arial" w:cs="Arial"/>
              </w:rPr>
              <w:t>1</w:t>
            </w:r>
            <w:r w:rsidRPr="00B30E7B">
              <w:rPr>
                <w:rStyle w:val="checkbox"/>
                <w:rFonts w:ascii="Arial" w:hAnsi="Arial" w:cs="Arial"/>
              </w:rPr>
              <w:t>994</w:t>
            </w:r>
          </w:p>
        </w:tc>
        <w:tc>
          <w:tcPr>
            <w:tcW w:w="6450" w:type="dxa"/>
          </w:tcPr>
          <w:p w14:paraId="782DE1E1" w14:textId="66F96B12" w:rsidR="004966BF" w:rsidRPr="004C23F4" w:rsidRDefault="00174F30" w:rsidP="00174F30">
            <w:pPr>
              <w:pStyle w:val="ListBullet"/>
              <w:tabs>
                <w:tab w:val="clear" w:pos="360"/>
              </w:tabs>
              <w:ind w:left="434"/>
              <w:rPr>
                <w:rStyle w:val="checkbox"/>
                <w:rFonts w:ascii="Arial" w:hAnsi="Arial" w:cs="Arial"/>
              </w:rPr>
            </w:pPr>
            <w:r>
              <w:rPr>
                <w:rStyle w:val="checkbox"/>
                <w:rFonts w:ascii="Arial" w:hAnsi="Arial" w:cs="Arial"/>
              </w:rPr>
              <w:t>IDLH:</w:t>
            </w:r>
            <w:r w:rsidR="00B30E7B" w:rsidRPr="00B30E7B">
              <w:rPr>
                <w:rStyle w:val="checkbox"/>
                <w:rFonts w:ascii="Arial" w:hAnsi="Arial" w:cs="Arial"/>
              </w:rPr>
              <w:t xml:space="preserve"> 1,500 mg/m</w:t>
            </w:r>
            <w:r w:rsidR="00B30E7B" w:rsidRPr="001B71F7">
              <w:rPr>
                <w:rStyle w:val="checkbox"/>
                <w:rFonts w:ascii="Arial" w:hAnsi="Arial" w:cs="Arial"/>
                <w:vertAlign w:val="superscript"/>
              </w:rPr>
              <w:t>3</w:t>
            </w:r>
            <w:r w:rsidR="00B30E7B" w:rsidRPr="00B30E7B">
              <w:rPr>
                <w:rStyle w:val="checkbox"/>
                <w:rFonts w:ascii="Arial" w:hAnsi="Arial" w:cs="Arial"/>
              </w:rPr>
              <w:t xml:space="preserve"> </w:t>
            </w:r>
            <w:r>
              <w:rPr>
                <w:rStyle w:val="checkbox"/>
                <w:rFonts w:ascii="Arial" w:hAnsi="Arial" w:cs="Arial"/>
              </w:rPr>
              <w:t>from</w:t>
            </w:r>
            <w:r w:rsidR="00B30E7B" w:rsidRPr="00B30E7B">
              <w:rPr>
                <w:rStyle w:val="checkbox"/>
                <w:rFonts w:ascii="Arial" w:hAnsi="Arial" w:cs="Arial"/>
              </w:rPr>
              <w:t xml:space="preserve"> ac</w:t>
            </w:r>
            <w:r w:rsidR="005C7E8D">
              <w:rPr>
                <w:rStyle w:val="checkbox"/>
                <w:rFonts w:ascii="Arial" w:hAnsi="Arial" w:cs="Arial"/>
              </w:rPr>
              <w:t xml:space="preserve">ute inhalation toxicity data in </w:t>
            </w:r>
            <w:r w:rsidR="00B30E7B" w:rsidRPr="00B30E7B">
              <w:rPr>
                <w:rStyle w:val="checkbox"/>
                <w:rFonts w:ascii="Arial" w:hAnsi="Arial" w:cs="Arial"/>
              </w:rPr>
              <w:t>animals</w:t>
            </w:r>
            <w:r w:rsidR="00BA3142">
              <w:rPr>
                <w:rStyle w:val="checkbox"/>
                <w:rFonts w:ascii="Arial" w:hAnsi="Arial" w:cs="Arial"/>
              </w:rPr>
              <w:t>.</w:t>
            </w:r>
          </w:p>
        </w:tc>
      </w:tr>
    </w:tbl>
    <w:bookmarkEnd w:id="2"/>
    <w:p w14:paraId="782DE1E4" w14:textId="77777777" w:rsidR="007E2A4B" w:rsidRDefault="007E2A4B" w:rsidP="00174F30">
      <w:pPr>
        <w:pStyle w:val="Heading3"/>
        <w:spacing w:before="120"/>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597"/>
        <w:gridCol w:w="2429"/>
      </w:tblGrid>
      <w:tr w:rsidR="002E0D61" w14:paraId="782DE1E7" w14:textId="77777777" w:rsidTr="00174F30">
        <w:trPr>
          <w:trHeight w:val="454"/>
          <w:tblHeader/>
        </w:trPr>
        <w:tc>
          <w:tcPr>
            <w:tcW w:w="6597" w:type="dxa"/>
            <w:vAlign w:val="center"/>
          </w:tcPr>
          <w:p w14:paraId="782DE1E5" w14:textId="77777777" w:rsidR="002E0D61" w:rsidRDefault="00B1422A" w:rsidP="00C3091E">
            <w:pPr>
              <w:pStyle w:val="Tablefont"/>
              <w:keepNext/>
              <w:keepLines/>
              <w:spacing w:before="40" w:after="40"/>
            </w:pPr>
            <w:bookmarkStart w:id="3"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9" w:type="dxa"/>
                <w:vAlign w:val="center"/>
              </w:tcPr>
              <w:p w14:paraId="782DE1E6" w14:textId="09030590" w:rsidR="002E0D61" w:rsidRDefault="00A90699" w:rsidP="00C3091E">
                <w:pPr>
                  <w:pStyle w:val="Tablefont"/>
                  <w:keepNext/>
                  <w:keepLines/>
                  <w:spacing w:before="40" w:after="40"/>
                </w:pPr>
                <w:r>
                  <w:t>Insufficient data</w:t>
                </w:r>
              </w:p>
            </w:tc>
          </w:sdtContent>
        </w:sdt>
      </w:tr>
      <w:tr w:rsidR="008A36CF" w14:paraId="782DE1EA" w14:textId="77777777" w:rsidTr="00174F30">
        <w:trPr>
          <w:trHeight w:val="454"/>
        </w:trPr>
        <w:tc>
          <w:tcPr>
            <w:tcW w:w="6597" w:type="dxa"/>
            <w:vAlign w:val="center"/>
          </w:tcPr>
          <w:p w14:paraId="782DE1E8" w14:textId="77777777" w:rsidR="008A36CF" w:rsidRDefault="008A36CF" w:rsidP="008A36CF">
            <w:pPr>
              <w:pStyle w:val="Tablefont"/>
              <w:keepNext/>
              <w:keepLines/>
              <w:spacing w:before="40" w:after="40"/>
            </w:pPr>
            <w:r>
              <w:t>Is the chemical carcinogenic with a mutagenic mechanism of action?</w:t>
            </w:r>
          </w:p>
        </w:tc>
        <w:sdt>
          <w:sdtPr>
            <w:id w:val="-1035572737"/>
            <w:placeholder>
              <w:docPart w:val="5CBFEC560F894890BBD09B93174FFAE0"/>
            </w:placeholder>
            <w:comboBox>
              <w:listItem w:value="Choose an item."/>
              <w:listItem w:displayText="Yes" w:value="Yes"/>
              <w:listItem w:displayText="No" w:value="No"/>
              <w:listItem w:displayText="Insufficient data" w:value="Insufficient data"/>
              <w:listItem w:displayText="NA" w:value="NA"/>
            </w:comboBox>
          </w:sdtPr>
          <w:sdtEndPr/>
          <w:sdtContent>
            <w:tc>
              <w:tcPr>
                <w:tcW w:w="2429" w:type="dxa"/>
                <w:vAlign w:val="center"/>
              </w:tcPr>
              <w:p w14:paraId="782DE1E9" w14:textId="656607EE" w:rsidR="008A36CF" w:rsidRDefault="00C32D2C" w:rsidP="008A36CF">
                <w:pPr>
                  <w:pStyle w:val="Tablefont"/>
                  <w:keepNext/>
                  <w:keepLines/>
                  <w:spacing w:before="40" w:after="40"/>
                </w:pPr>
                <w:r>
                  <w:t>No</w:t>
                </w:r>
              </w:p>
            </w:tc>
          </w:sdtContent>
        </w:sdt>
      </w:tr>
      <w:tr w:rsidR="00174F30" w14:paraId="782DE1ED" w14:textId="77777777" w:rsidTr="00174F30">
        <w:trPr>
          <w:trHeight w:val="454"/>
        </w:trPr>
        <w:sdt>
          <w:sdtPr>
            <w:rPr>
              <w:b/>
            </w:rPr>
            <w:id w:val="1830936485"/>
            <w:placeholder>
              <w:docPart w:val="7261CB356BBA4F6AB5C8F9D5F948EAA0"/>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9026" w:type="dxa"/>
                <w:gridSpan w:val="2"/>
                <w:vAlign w:val="center"/>
              </w:tcPr>
              <w:p w14:paraId="782DE1EC" w14:textId="163CEC44" w:rsidR="00174F30" w:rsidRDefault="00174F30" w:rsidP="008A36CF">
                <w:pPr>
                  <w:pStyle w:val="Tablefont"/>
                  <w:keepNext/>
                  <w:keepLines/>
                  <w:spacing w:before="40" w:after="40"/>
                </w:pPr>
                <w:r>
                  <w:rPr>
                    <w:b/>
                  </w:rPr>
                  <w:t>The chemical is not a non-threshold based genotoxic carcinogen.</w:t>
                </w:r>
              </w:p>
            </w:tc>
          </w:sdtContent>
        </w:sdt>
      </w:tr>
    </w:tbl>
    <w:bookmarkEnd w:id="3"/>
    <w:p w14:paraId="782DE1F7" w14:textId="77777777" w:rsidR="00687890" w:rsidRPr="004C23F4" w:rsidRDefault="00B479A9" w:rsidP="00174F30">
      <w:pPr>
        <w:pStyle w:val="Heading2"/>
        <w:spacing w:before="120"/>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00" w:firstRow="0" w:lastRow="0" w:firstColumn="0" w:lastColumn="0" w:noHBand="1" w:noVBand="1"/>
        <w:tblCaption w:val="Table"/>
        <w:tblDescription w:val="Listing notations"/>
      </w:tblPr>
      <w:tblGrid>
        <w:gridCol w:w="3153"/>
        <w:gridCol w:w="5873"/>
      </w:tblGrid>
      <w:tr w:rsidR="00687890" w:rsidRPr="004C23F4" w14:paraId="782DE1FA" w14:textId="77777777" w:rsidTr="00812887">
        <w:trPr>
          <w:cantSplit/>
          <w:tblHeader/>
        </w:trPr>
        <w:tc>
          <w:tcPr>
            <w:tcW w:w="3227" w:type="dxa"/>
            <w:shd w:val="clear" w:color="auto" w:fill="BFBFBF" w:themeFill="background1" w:themeFillShade="BF"/>
            <w:vAlign w:val="center"/>
          </w:tcPr>
          <w:p w14:paraId="782DE1F8" w14:textId="77777777" w:rsidR="00687890" w:rsidRPr="004C23F4" w:rsidRDefault="00687890" w:rsidP="00263255">
            <w:pPr>
              <w:pStyle w:val="Tableheader"/>
            </w:pPr>
            <w:bookmarkStart w:id="4" w:name="Notations"/>
            <w:r w:rsidRPr="004C23F4">
              <w:t>Source</w:t>
            </w:r>
          </w:p>
        </w:tc>
        <w:tc>
          <w:tcPr>
            <w:tcW w:w="6015" w:type="dxa"/>
            <w:shd w:val="clear" w:color="auto" w:fill="BFBFBF" w:themeFill="background1" w:themeFillShade="BF"/>
            <w:vAlign w:val="center"/>
          </w:tcPr>
          <w:p w14:paraId="782DE1F9" w14:textId="77777777" w:rsidR="00687890" w:rsidRPr="004C23F4" w:rsidRDefault="00687890" w:rsidP="00F4402E">
            <w:pPr>
              <w:pStyle w:val="Tableheader"/>
              <w:tabs>
                <w:tab w:val="right" w:pos="5272"/>
              </w:tabs>
            </w:pPr>
            <w:r w:rsidRPr="004C23F4">
              <w:t>Notations</w:t>
            </w:r>
            <w:r w:rsidR="003A2B94">
              <w:tab/>
            </w:r>
          </w:p>
        </w:tc>
      </w:tr>
      <w:tr w:rsidR="00687890" w:rsidRPr="004C23F4" w14:paraId="782DE1FD" w14:textId="77777777" w:rsidTr="00812887">
        <w:trPr>
          <w:cantSplit/>
        </w:trPr>
        <w:tc>
          <w:tcPr>
            <w:tcW w:w="3227" w:type="dxa"/>
          </w:tcPr>
          <w:p w14:paraId="782DE1FB" w14:textId="77777777" w:rsidR="004079B4" w:rsidRPr="004C23F4" w:rsidRDefault="00084513" w:rsidP="00F4402E">
            <w:pPr>
              <w:pStyle w:val="Tablefont"/>
            </w:pPr>
            <w:r w:rsidRPr="004C23F4">
              <w:t>SWA</w:t>
            </w:r>
          </w:p>
        </w:tc>
        <w:tc>
          <w:tcPr>
            <w:tcW w:w="6015" w:type="dxa"/>
          </w:tcPr>
          <w:p w14:paraId="782DE1FC" w14:textId="57355536" w:rsidR="00687890" w:rsidRPr="00F7138E" w:rsidRDefault="009D2FFB" w:rsidP="00F7138E">
            <w:pPr>
              <w:pStyle w:val="Tablefont"/>
            </w:pPr>
            <w:r w:rsidRPr="00F7138E">
              <w:t>Sen</w:t>
            </w:r>
          </w:p>
        </w:tc>
      </w:tr>
      <w:tr w:rsidR="007925F0" w:rsidRPr="004C23F4" w14:paraId="782DE200" w14:textId="77777777" w:rsidTr="00812887">
        <w:trPr>
          <w:cantSplit/>
        </w:trPr>
        <w:tc>
          <w:tcPr>
            <w:tcW w:w="3227" w:type="dxa"/>
          </w:tcPr>
          <w:p w14:paraId="782DE1FE" w14:textId="77777777" w:rsidR="004079B4" w:rsidRPr="004C23F4" w:rsidRDefault="007925F0" w:rsidP="00F4402E">
            <w:pPr>
              <w:pStyle w:val="Tablefont"/>
            </w:pPr>
            <w:r>
              <w:t>HCIS</w:t>
            </w:r>
          </w:p>
        </w:tc>
        <w:tc>
          <w:tcPr>
            <w:tcW w:w="6015" w:type="dxa"/>
          </w:tcPr>
          <w:p w14:paraId="782DE1FF" w14:textId="29A27E3F" w:rsidR="007925F0" w:rsidRPr="00F7138E" w:rsidRDefault="00EA7178" w:rsidP="00F7138E">
            <w:pPr>
              <w:pStyle w:val="Tablefont"/>
            </w:pPr>
            <w:r w:rsidRPr="00F7138E">
              <w:t>Skin sensitisation – category 1</w:t>
            </w:r>
          </w:p>
        </w:tc>
      </w:tr>
      <w:tr w:rsidR="00AF483F" w:rsidRPr="004C23F4" w14:paraId="782DE203" w14:textId="77777777" w:rsidTr="00812887">
        <w:trPr>
          <w:cantSplit/>
        </w:trPr>
        <w:tc>
          <w:tcPr>
            <w:tcW w:w="3227" w:type="dxa"/>
          </w:tcPr>
          <w:p w14:paraId="782DE201" w14:textId="77777777" w:rsidR="00AF483F" w:rsidRPr="004C23F4" w:rsidRDefault="00AF483F" w:rsidP="00F4402E">
            <w:pPr>
              <w:pStyle w:val="Tablefont"/>
            </w:pPr>
            <w:r>
              <w:t>NICNAS</w:t>
            </w:r>
          </w:p>
        </w:tc>
        <w:tc>
          <w:tcPr>
            <w:tcW w:w="6015" w:type="dxa"/>
          </w:tcPr>
          <w:p w14:paraId="782DE202" w14:textId="62D40316" w:rsidR="00AF483F" w:rsidRPr="00F7138E" w:rsidRDefault="003C2F35" w:rsidP="00F7138E">
            <w:pPr>
              <w:pStyle w:val="Tablefont"/>
            </w:pPr>
            <w:r w:rsidRPr="00F7138E">
              <w:t>Skin sensitisation – category 1</w:t>
            </w:r>
          </w:p>
        </w:tc>
      </w:tr>
      <w:tr w:rsidR="00687890" w:rsidRPr="004C23F4" w14:paraId="782DE206" w14:textId="77777777" w:rsidTr="00812887">
        <w:trPr>
          <w:cantSplit/>
        </w:trPr>
        <w:tc>
          <w:tcPr>
            <w:tcW w:w="3227" w:type="dxa"/>
          </w:tcPr>
          <w:p w14:paraId="782DE204" w14:textId="77777777" w:rsidR="004079B4" w:rsidRPr="004C23F4" w:rsidRDefault="00687890" w:rsidP="00F4402E">
            <w:pPr>
              <w:pStyle w:val="Tablefont"/>
            </w:pPr>
            <w:r w:rsidRPr="004C23F4">
              <w:t>EU Annex</w:t>
            </w:r>
          </w:p>
        </w:tc>
        <w:tc>
          <w:tcPr>
            <w:tcW w:w="6015" w:type="dxa"/>
          </w:tcPr>
          <w:p w14:paraId="782DE205" w14:textId="2B29E236" w:rsidR="00687890" w:rsidRPr="00F7138E" w:rsidRDefault="0027578C" w:rsidP="00F7138E">
            <w:pPr>
              <w:pStyle w:val="Tablefont"/>
            </w:pPr>
            <w:r w:rsidRPr="00F7138E">
              <w:t>Skin</w:t>
            </w:r>
            <w:r w:rsidR="00F7138E" w:rsidRPr="00F7138E">
              <w:t xml:space="preserve"> sensitisation – category 1</w:t>
            </w:r>
          </w:p>
        </w:tc>
      </w:tr>
      <w:tr w:rsidR="00E41A26" w:rsidRPr="004C23F4" w14:paraId="782DE209" w14:textId="77777777" w:rsidTr="00812887">
        <w:trPr>
          <w:cantSplit/>
        </w:trPr>
        <w:tc>
          <w:tcPr>
            <w:tcW w:w="3227" w:type="dxa"/>
          </w:tcPr>
          <w:p w14:paraId="782DE207" w14:textId="77777777" w:rsidR="00E41A26" w:rsidRDefault="00E41A26" w:rsidP="00F4402E">
            <w:pPr>
              <w:pStyle w:val="Tablefont"/>
            </w:pPr>
            <w:r>
              <w:t>ECHA</w:t>
            </w:r>
          </w:p>
        </w:tc>
        <w:tc>
          <w:tcPr>
            <w:tcW w:w="6015" w:type="dxa"/>
          </w:tcPr>
          <w:p w14:paraId="782DE208" w14:textId="771F652D" w:rsidR="00E41A26" w:rsidRPr="00F7138E" w:rsidRDefault="00F7138E" w:rsidP="00F7138E">
            <w:pPr>
              <w:pStyle w:val="Tablefont"/>
            </w:pPr>
            <w:r>
              <w:t>NA</w:t>
            </w:r>
          </w:p>
        </w:tc>
      </w:tr>
      <w:tr w:rsidR="002E0D61" w:rsidRPr="004C23F4" w14:paraId="782DE20C" w14:textId="77777777" w:rsidTr="00812887">
        <w:trPr>
          <w:cantSplit/>
        </w:trPr>
        <w:tc>
          <w:tcPr>
            <w:tcW w:w="3227" w:type="dxa"/>
          </w:tcPr>
          <w:p w14:paraId="782DE20A" w14:textId="77777777" w:rsidR="004079B4" w:rsidRPr="004C23F4" w:rsidRDefault="002E0D61" w:rsidP="00F4402E">
            <w:pPr>
              <w:pStyle w:val="Tablefont"/>
            </w:pPr>
            <w:r>
              <w:t>ACGIH</w:t>
            </w:r>
          </w:p>
        </w:tc>
        <w:tc>
          <w:tcPr>
            <w:tcW w:w="6015" w:type="dxa"/>
          </w:tcPr>
          <w:p w14:paraId="782DE20B" w14:textId="0CBB79AB" w:rsidR="002E0D61" w:rsidRPr="00F7138E" w:rsidRDefault="006E24EA" w:rsidP="00F7138E">
            <w:pPr>
              <w:pStyle w:val="Tablefont"/>
            </w:pPr>
            <w:r w:rsidRPr="00F7138E">
              <w:t>Carcinogenicity</w:t>
            </w:r>
            <w:r w:rsidR="00A45388" w:rsidRPr="00F7138E">
              <w:t xml:space="preserve"> </w:t>
            </w:r>
            <w:r w:rsidR="00846AC2" w:rsidRPr="00F7138E">
              <w:t>–</w:t>
            </w:r>
            <w:r w:rsidR="00E3349D" w:rsidRPr="00F7138E">
              <w:t xml:space="preserve"> </w:t>
            </w:r>
            <w:r w:rsidR="00846AC2" w:rsidRPr="00F7138E">
              <w:t>A4</w:t>
            </w:r>
          </w:p>
        </w:tc>
      </w:tr>
      <w:tr w:rsidR="002E0D61" w:rsidRPr="004C23F4" w14:paraId="782DE20F" w14:textId="77777777" w:rsidTr="00812887">
        <w:trPr>
          <w:cantSplit/>
        </w:trPr>
        <w:tc>
          <w:tcPr>
            <w:tcW w:w="3227" w:type="dxa"/>
          </w:tcPr>
          <w:p w14:paraId="782DE20D" w14:textId="77777777" w:rsidR="004079B4" w:rsidRPr="004C23F4" w:rsidRDefault="002E0D61" w:rsidP="00F4402E">
            <w:pPr>
              <w:pStyle w:val="Tablefont"/>
            </w:pPr>
            <w:r>
              <w:t>DFG</w:t>
            </w:r>
          </w:p>
        </w:tc>
        <w:tc>
          <w:tcPr>
            <w:tcW w:w="6015" w:type="dxa"/>
          </w:tcPr>
          <w:p w14:paraId="782DE20E" w14:textId="6B743B7C" w:rsidR="002E0D61" w:rsidRPr="00F7138E" w:rsidRDefault="00AF70E2" w:rsidP="00F7138E">
            <w:pPr>
              <w:pStyle w:val="Tablefont"/>
            </w:pPr>
            <w:r w:rsidRPr="00F7138E">
              <w:t>—</w:t>
            </w:r>
          </w:p>
        </w:tc>
      </w:tr>
      <w:tr w:rsidR="002E0D61" w:rsidRPr="004C23F4" w14:paraId="782DE212" w14:textId="77777777" w:rsidTr="00812887">
        <w:trPr>
          <w:cantSplit/>
        </w:trPr>
        <w:tc>
          <w:tcPr>
            <w:tcW w:w="3227" w:type="dxa"/>
          </w:tcPr>
          <w:p w14:paraId="782DE210" w14:textId="77777777" w:rsidR="004079B4" w:rsidRPr="004C23F4" w:rsidRDefault="002E0D61" w:rsidP="00F4402E">
            <w:pPr>
              <w:pStyle w:val="Tablefont"/>
            </w:pPr>
            <w:r>
              <w:t>SCOEL</w:t>
            </w:r>
          </w:p>
        </w:tc>
        <w:tc>
          <w:tcPr>
            <w:tcW w:w="6015" w:type="dxa"/>
          </w:tcPr>
          <w:p w14:paraId="782DE211" w14:textId="7749437B" w:rsidR="002E0D61" w:rsidRPr="00F7138E" w:rsidRDefault="008257A0" w:rsidP="00F7138E">
            <w:pPr>
              <w:pStyle w:val="Tablefont"/>
            </w:pPr>
            <w:r w:rsidRPr="00F7138E">
              <w:t>NA</w:t>
            </w:r>
          </w:p>
        </w:tc>
      </w:tr>
      <w:tr w:rsidR="002E0D61" w:rsidRPr="004C23F4" w14:paraId="782DE215" w14:textId="77777777" w:rsidTr="00812887">
        <w:trPr>
          <w:cantSplit/>
        </w:trPr>
        <w:tc>
          <w:tcPr>
            <w:tcW w:w="3227" w:type="dxa"/>
          </w:tcPr>
          <w:p w14:paraId="782DE213" w14:textId="77777777" w:rsidR="004079B4" w:rsidRDefault="002E0D61" w:rsidP="00F4402E">
            <w:pPr>
              <w:pStyle w:val="Tablefont"/>
            </w:pPr>
            <w:r>
              <w:t>HCOTN</w:t>
            </w:r>
          </w:p>
        </w:tc>
        <w:tc>
          <w:tcPr>
            <w:tcW w:w="6015" w:type="dxa"/>
          </w:tcPr>
          <w:p w14:paraId="782DE214" w14:textId="419C4ABA" w:rsidR="002E0D61" w:rsidRPr="00DD2F9B" w:rsidRDefault="005C7E8D" w:rsidP="00DD2F9B">
            <w:pPr>
              <w:pStyle w:val="Tablefont"/>
            </w:pPr>
            <w:r w:rsidRPr="00F7138E">
              <w:t>—</w:t>
            </w:r>
          </w:p>
        </w:tc>
      </w:tr>
      <w:tr w:rsidR="00386093" w:rsidRPr="004C23F4" w14:paraId="782DE218" w14:textId="77777777" w:rsidTr="00812887">
        <w:trPr>
          <w:cantSplit/>
        </w:trPr>
        <w:tc>
          <w:tcPr>
            <w:tcW w:w="3227" w:type="dxa"/>
          </w:tcPr>
          <w:p w14:paraId="782DE216" w14:textId="77777777" w:rsidR="004079B4" w:rsidRDefault="00386093" w:rsidP="00F4402E">
            <w:pPr>
              <w:pStyle w:val="Tablefont"/>
            </w:pPr>
            <w:r>
              <w:t>IARC</w:t>
            </w:r>
          </w:p>
        </w:tc>
        <w:tc>
          <w:tcPr>
            <w:tcW w:w="6015" w:type="dxa"/>
          </w:tcPr>
          <w:p w14:paraId="782DE217" w14:textId="3B0DC6E2" w:rsidR="00386093" w:rsidRPr="00DD2F9B" w:rsidRDefault="0017518D" w:rsidP="00DD2F9B">
            <w:pPr>
              <w:pStyle w:val="Tablefont"/>
            </w:pPr>
            <w:r>
              <w:t>Carcinogenicity – G</w:t>
            </w:r>
            <w:r w:rsidR="003D0DC1">
              <w:t>roup 3</w:t>
            </w:r>
          </w:p>
        </w:tc>
      </w:tr>
      <w:tr w:rsidR="00386093" w:rsidRPr="004C23F4" w14:paraId="782DE21B" w14:textId="77777777" w:rsidTr="00812887">
        <w:trPr>
          <w:cantSplit/>
        </w:trPr>
        <w:tc>
          <w:tcPr>
            <w:tcW w:w="3227" w:type="dxa"/>
          </w:tcPr>
          <w:p w14:paraId="782DE219" w14:textId="77777777" w:rsidR="004079B4" w:rsidRDefault="00386093" w:rsidP="00F4402E">
            <w:pPr>
              <w:pStyle w:val="Tablefont"/>
              <w:keepNext/>
            </w:pPr>
            <w:r>
              <w:t>US NIOSH</w:t>
            </w:r>
          </w:p>
        </w:tc>
        <w:tc>
          <w:tcPr>
            <w:tcW w:w="6015" w:type="dxa"/>
          </w:tcPr>
          <w:p w14:paraId="782DE21A" w14:textId="5693F78B" w:rsidR="00386093" w:rsidRPr="00DD2F9B" w:rsidRDefault="00F16A72" w:rsidP="00D87570">
            <w:pPr>
              <w:pStyle w:val="Tablefont"/>
              <w:keepNext/>
            </w:pPr>
            <w:r>
              <w:t>NA</w:t>
            </w:r>
          </w:p>
        </w:tc>
      </w:tr>
    </w:tbl>
    <w:bookmarkEnd w:id="4"/>
    <w:p w14:paraId="782DE21C"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782DE21D" w14:textId="77777777" w:rsidR="00474E33" w:rsidRDefault="00474E33" w:rsidP="00474E33">
      <w:pPr>
        <w:pStyle w:val="Heading3"/>
      </w:pPr>
      <w:r>
        <w:lastRenderedPageBreak/>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782DE21F" w14:textId="77777777" w:rsidTr="00A23F80">
        <w:trPr>
          <w:cantSplit/>
          <w:tblHeader/>
        </w:trPr>
        <w:tc>
          <w:tcPr>
            <w:tcW w:w="5000" w:type="pct"/>
            <w:shd w:val="clear" w:color="auto" w:fill="BFBFBF" w:themeFill="background1" w:themeFillShade="BF"/>
            <w:vAlign w:val="center"/>
          </w:tcPr>
          <w:p w14:paraId="782DE21E" w14:textId="769C40FE" w:rsidR="00932DCE" w:rsidRPr="004C23F4" w:rsidRDefault="00932DCE" w:rsidP="00F4402E">
            <w:pPr>
              <w:pStyle w:val="Tableheader"/>
              <w:keepNext/>
              <w:tabs>
                <w:tab w:val="right" w:pos="8800"/>
              </w:tabs>
            </w:pPr>
            <w:bookmarkStart w:id="5" w:name="SkinNot"/>
            <w:r>
              <w:t>Calculation</w:t>
            </w:r>
            <w:r w:rsidR="000E31AD">
              <w:t xml:space="preserve"> </w:t>
            </w:r>
          </w:p>
        </w:tc>
      </w:tr>
      <w:tr w:rsidR="00932DCE" w:rsidRPr="004C23F4" w14:paraId="782DE221" w14:textId="77777777" w:rsidTr="00174F30">
        <w:trPr>
          <w:tblHeader/>
        </w:trPr>
        <w:tc>
          <w:tcPr>
            <w:tcW w:w="5000" w:type="pct"/>
            <w:vAlign w:val="center"/>
          </w:tcPr>
          <w:tbl>
            <w:tblPr>
              <w:tblW w:w="5000" w:type="pct"/>
              <w:tblLook w:val="04A0" w:firstRow="1" w:lastRow="0" w:firstColumn="1" w:lastColumn="0" w:noHBand="0" w:noVBand="1"/>
            </w:tblPr>
            <w:tblGrid>
              <w:gridCol w:w="4575"/>
              <w:gridCol w:w="1320"/>
              <w:gridCol w:w="1458"/>
              <w:gridCol w:w="1457"/>
            </w:tblGrid>
            <w:tr w:rsidR="000E31AD" w:rsidRPr="000E31AD" w14:paraId="0C324974" w14:textId="77777777" w:rsidTr="009F406C">
              <w:trPr>
                <w:trHeight w:val="403"/>
              </w:trPr>
              <w:tc>
                <w:tcPr>
                  <w:tcW w:w="2597" w:type="pct"/>
                  <w:tcBorders>
                    <w:top w:val="nil"/>
                    <w:left w:val="nil"/>
                    <w:bottom w:val="nil"/>
                    <w:right w:val="nil"/>
                  </w:tcBorders>
                  <w:shd w:val="clear" w:color="000000" w:fill="C5D9F1"/>
                  <w:noWrap/>
                  <w:vAlign w:val="center"/>
                  <w:hideMark/>
                </w:tcPr>
                <w:p w14:paraId="7B4E1324" w14:textId="3EB79B94" w:rsidR="000E31AD" w:rsidRPr="000E31AD" w:rsidRDefault="000E31AD" w:rsidP="000E31AD">
                  <w:pPr>
                    <w:spacing w:after="0" w:line="240" w:lineRule="auto"/>
                    <w:jc w:val="right"/>
                    <w:rPr>
                      <w:rFonts w:ascii="Segoe UI" w:eastAsia="Times New Roman" w:hAnsi="Segoe UI" w:cs="Segoe UI"/>
                      <w:color w:val="000000"/>
                      <w:sz w:val="18"/>
                      <w:szCs w:val="18"/>
                      <w:lang w:eastAsia="en-AU"/>
                    </w:rPr>
                  </w:pPr>
                  <w:r w:rsidRPr="000E31AD">
                    <w:rPr>
                      <w:rFonts w:ascii="Segoe UI" w:eastAsia="Times New Roman" w:hAnsi="Segoe UI" w:cs="Segoe UI"/>
                      <w:color w:val="000000"/>
                      <w:sz w:val="18"/>
                      <w:szCs w:val="18"/>
                      <w:lang w:eastAsia="en-AU"/>
                    </w:rPr>
                    <w:t>Adverse effects in human case study:</w:t>
                  </w:r>
                </w:p>
              </w:tc>
              <w:tc>
                <w:tcPr>
                  <w:tcW w:w="749" w:type="pct"/>
                  <w:tcBorders>
                    <w:top w:val="nil"/>
                    <w:left w:val="nil"/>
                    <w:bottom w:val="nil"/>
                    <w:right w:val="nil"/>
                  </w:tcBorders>
                  <w:shd w:val="clear" w:color="000000" w:fill="C5D9F1"/>
                  <w:noWrap/>
                  <w:vAlign w:val="center"/>
                  <w:hideMark/>
                </w:tcPr>
                <w:p w14:paraId="7D4140AA" w14:textId="77777777" w:rsidR="000E31AD" w:rsidRPr="000E31AD" w:rsidRDefault="000E31AD" w:rsidP="000E31AD">
                  <w:pPr>
                    <w:spacing w:after="0" w:line="240" w:lineRule="auto"/>
                    <w:jc w:val="center"/>
                    <w:rPr>
                      <w:rFonts w:ascii="Segoe UI" w:eastAsia="Times New Roman" w:hAnsi="Segoe UI" w:cs="Segoe UI"/>
                      <w:color w:val="000000"/>
                      <w:sz w:val="18"/>
                      <w:szCs w:val="18"/>
                      <w:lang w:eastAsia="en-AU"/>
                    </w:rPr>
                  </w:pPr>
                  <w:r w:rsidRPr="000E31AD">
                    <w:rPr>
                      <w:rFonts w:ascii="Segoe UI" w:eastAsia="Times New Roman" w:hAnsi="Segoe UI" w:cs="Segoe UI"/>
                      <w:color w:val="000000"/>
                      <w:sz w:val="18"/>
                      <w:szCs w:val="18"/>
                      <w:lang w:eastAsia="en-AU"/>
                    </w:rPr>
                    <w:t>no</w:t>
                  </w:r>
                </w:p>
              </w:tc>
              <w:tc>
                <w:tcPr>
                  <w:tcW w:w="827" w:type="pct"/>
                  <w:tcBorders>
                    <w:top w:val="nil"/>
                    <w:left w:val="nil"/>
                    <w:bottom w:val="nil"/>
                    <w:right w:val="nil"/>
                  </w:tcBorders>
                  <w:shd w:val="clear" w:color="000000" w:fill="C5D9F1"/>
                  <w:noWrap/>
                  <w:vAlign w:val="center"/>
                  <w:hideMark/>
                </w:tcPr>
                <w:p w14:paraId="4B5AABE0" w14:textId="77777777" w:rsidR="000E31AD" w:rsidRPr="000E31AD" w:rsidRDefault="000E31AD" w:rsidP="000E31AD">
                  <w:pPr>
                    <w:spacing w:after="0" w:line="240" w:lineRule="auto"/>
                    <w:rPr>
                      <w:rFonts w:ascii="Segoe UI" w:eastAsia="Times New Roman" w:hAnsi="Segoe UI" w:cs="Segoe UI"/>
                      <w:color w:val="C5D9F1"/>
                      <w:sz w:val="18"/>
                      <w:szCs w:val="18"/>
                      <w:lang w:eastAsia="en-AU"/>
                    </w:rPr>
                  </w:pPr>
                  <w:r w:rsidRPr="000E31AD">
                    <w:rPr>
                      <w:rFonts w:ascii="Segoe UI" w:eastAsia="Times New Roman" w:hAnsi="Segoe UI" w:cs="Segoe UI"/>
                      <w:color w:val="C5D9F1"/>
                      <w:sz w:val="18"/>
                      <w:szCs w:val="18"/>
                      <w:lang w:eastAsia="en-AU"/>
                    </w:rPr>
                    <w:t> </w:t>
                  </w:r>
                </w:p>
              </w:tc>
              <w:tc>
                <w:tcPr>
                  <w:tcW w:w="827" w:type="pct"/>
                  <w:tcBorders>
                    <w:top w:val="nil"/>
                    <w:left w:val="nil"/>
                    <w:bottom w:val="nil"/>
                    <w:right w:val="nil"/>
                  </w:tcBorders>
                  <w:shd w:val="clear" w:color="000000" w:fill="C5D9F1"/>
                  <w:noWrap/>
                  <w:vAlign w:val="center"/>
                  <w:hideMark/>
                </w:tcPr>
                <w:p w14:paraId="70807C6D" w14:textId="77777777" w:rsidR="000E31AD" w:rsidRPr="000E31AD" w:rsidRDefault="000E31AD" w:rsidP="000E31AD">
                  <w:pPr>
                    <w:spacing w:after="0" w:line="240" w:lineRule="auto"/>
                    <w:rPr>
                      <w:rFonts w:ascii="Segoe UI" w:eastAsia="Times New Roman" w:hAnsi="Segoe UI" w:cs="Segoe UI"/>
                      <w:color w:val="000000"/>
                      <w:sz w:val="18"/>
                      <w:szCs w:val="18"/>
                      <w:lang w:eastAsia="en-AU"/>
                    </w:rPr>
                  </w:pPr>
                  <w:r w:rsidRPr="000E31AD">
                    <w:rPr>
                      <w:rFonts w:ascii="Segoe UI" w:eastAsia="Times New Roman" w:hAnsi="Segoe UI" w:cs="Segoe UI"/>
                      <w:color w:val="000000"/>
                      <w:sz w:val="18"/>
                      <w:szCs w:val="18"/>
                      <w:lang w:eastAsia="en-AU"/>
                    </w:rPr>
                    <w:t> </w:t>
                  </w:r>
                </w:p>
              </w:tc>
            </w:tr>
            <w:tr w:rsidR="000E31AD" w:rsidRPr="000E31AD" w14:paraId="53BEF927" w14:textId="77777777" w:rsidTr="009F406C">
              <w:trPr>
                <w:trHeight w:val="403"/>
              </w:trPr>
              <w:tc>
                <w:tcPr>
                  <w:tcW w:w="2597" w:type="pct"/>
                  <w:tcBorders>
                    <w:top w:val="nil"/>
                    <w:left w:val="nil"/>
                    <w:bottom w:val="nil"/>
                    <w:right w:val="nil"/>
                  </w:tcBorders>
                  <w:shd w:val="clear" w:color="000000" w:fill="C5D9F1"/>
                  <w:noWrap/>
                  <w:vAlign w:val="center"/>
                  <w:hideMark/>
                </w:tcPr>
                <w:p w14:paraId="00389154" w14:textId="77777777" w:rsidR="000E31AD" w:rsidRPr="000E31AD" w:rsidRDefault="000E31AD" w:rsidP="000E31AD">
                  <w:pPr>
                    <w:spacing w:after="0" w:line="240" w:lineRule="auto"/>
                    <w:jc w:val="right"/>
                    <w:rPr>
                      <w:rFonts w:ascii="Segoe UI" w:eastAsia="Times New Roman" w:hAnsi="Segoe UI" w:cs="Segoe UI"/>
                      <w:color w:val="000000"/>
                      <w:sz w:val="18"/>
                      <w:szCs w:val="18"/>
                      <w:lang w:eastAsia="en-AU"/>
                    </w:rPr>
                  </w:pPr>
                  <w:r w:rsidRPr="000E31AD">
                    <w:rPr>
                      <w:rFonts w:ascii="Segoe UI" w:eastAsia="Times New Roman" w:hAnsi="Segoe UI" w:cs="Segoe UI"/>
                      <w:color w:val="000000"/>
                      <w:sz w:val="18"/>
                      <w:szCs w:val="18"/>
                      <w:lang w:eastAsia="en-AU"/>
                    </w:rPr>
                    <w:t>Dermal LD</w:t>
                  </w:r>
                  <w:r w:rsidRPr="000E31AD">
                    <w:rPr>
                      <w:rFonts w:ascii="Segoe UI" w:eastAsia="Times New Roman" w:hAnsi="Segoe UI" w:cs="Segoe UI"/>
                      <w:color w:val="000000"/>
                      <w:sz w:val="18"/>
                      <w:szCs w:val="18"/>
                      <w:vertAlign w:val="subscript"/>
                      <w:lang w:eastAsia="en-AU"/>
                    </w:rPr>
                    <w:t>50</w:t>
                  </w:r>
                  <w:r w:rsidRPr="000E31AD">
                    <w:rPr>
                      <w:rFonts w:ascii="Segoe UI" w:eastAsia="Times New Roman" w:hAnsi="Segoe UI" w:cs="Segoe UI"/>
                      <w:color w:val="000000"/>
                      <w:sz w:val="18"/>
                      <w:szCs w:val="18"/>
                      <w:lang w:eastAsia="en-AU"/>
                    </w:rPr>
                    <w:t xml:space="preserve"> ≤1000 mg/kg:</w:t>
                  </w:r>
                </w:p>
              </w:tc>
              <w:tc>
                <w:tcPr>
                  <w:tcW w:w="749" w:type="pct"/>
                  <w:tcBorders>
                    <w:top w:val="nil"/>
                    <w:left w:val="nil"/>
                    <w:bottom w:val="nil"/>
                    <w:right w:val="nil"/>
                  </w:tcBorders>
                  <w:shd w:val="clear" w:color="000000" w:fill="C5D9F1"/>
                  <w:noWrap/>
                  <w:vAlign w:val="center"/>
                  <w:hideMark/>
                </w:tcPr>
                <w:p w14:paraId="152C011C" w14:textId="77777777" w:rsidR="000E31AD" w:rsidRPr="000E31AD" w:rsidRDefault="000E31AD" w:rsidP="000E31AD">
                  <w:pPr>
                    <w:spacing w:after="0" w:line="240" w:lineRule="auto"/>
                    <w:jc w:val="center"/>
                    <w:rPr>
                      <w:rFonts w:ascii="Segoe UI" w:eastAsia="Times New Roman" w:hAnsi="Segoe UI" w:cs="Segoe UI"/>
                      <w:color w:val="000000"/>
                      <w:sz w:val="18"/>
                      <w:szCs w:val="18"/>
                      <w:lang w:eastAsia="en-AU"/>
                    </w:rPr>
                  </w:pPr>
                  <w:r w:rsidRPr="000E31AD">
                    <w:rPr>
                      <w:rFonts w:ascii="Segoe UI" w:eastAsia="Times New Roman" w:hAnsi="Segoe UI" w:cs="Segoe UI"/>
                      <w:color w:val="000000"/>
                      <w:sz w:val="18"/>
                      <w:szCs w:val="18"/>
                      <w:lang w:eastAsia="en-AU"/>
                    </w:rPr>
                    <w:t> </w:t>
                  </w:r>
                </w:p>
              </w:tc>
              <w:tc>
                <w:tcPr>
                  <w:tcW w:w="827" w:type="pct"/>
                  <w:tcBorders>
                    <w:top w:val="nil"/>
                    <w:left w:val="nil"/>
                    <w:bottom w:val="nil"/>
                    <w:right w:val="nil"/>
                  </w:tcBorders>
                  <w:shd w:val="clear" w:color="000000" w:fill="C5D9F1"/>
                  <w:noWrap/>
                  <w:vAlign w:val="center"/>
                  <w:hideMark/>
                </w:tcPr>
                <w:p w14:paraId="54334E7D" w14:textId="77777777" w:rsidR="000E31AD" w:rsidRPr="000E31AD" w:rsidRDefault="000E31AD" w:rsidP="000E31AD">
                  <w:pPr>
                    <w:spacing w:after="0" w:line="240" w:lineRule="auto"/>
                    <w:rPr>
                      <w:rFonts w:ascii="Segoe UI" w:eastAsia="Times New Roman" w:hAnsi="Segoe UI" w:cs="Segoe UI"/>
                      <w:color w:val="C5D9F1"/>
                      <w:sz w:val="18"/>
                      <w:szCs w:val="18"/>
                      <w:lang w:eastAsia="en-AU"/>
                    </w:rPr>
                  </w:pPr>
                  <w:r w:rsidRPr="000E31AD">
                    <w:rPr>
                      <w:rFonts w:ascii="Segoe UI" w:eastAsia="Times New Roman" w:hAnsi="Segoe UI" w:cs="Segoe UI"/>
                      <w:color w:val="C5D9F1"/>
                      <w:sz w:val="18"/>
                      <w:szCs w:val="18"/>
                      <w:lang w:eastAsia="en-AU"/>
                    </w:rPr>
                    <w:t> </w:t>
                  </w:r>
                </w:p>
              </w:tc>
              <w:tc>
                <w:tcPr>
                  <w:tcW w:w="827" w:type="pct"/>
                  <w:tcBorders>
                    <w:top w:val="nil"/>
                    <w:left w:val="nil"/>
                    <w:bottom w:val="nil"/>
                    <w:right w:val="nil"/>
                  </w:tcBorders>
                  <w:shd w:val="clear" w:color="000000" w:fill="C5D9F1"/>
                  <w:noWrap/>
                  <w:vAlign w:val="center"/>
                  <w:hideMark/>
                </w:tcPr>
                <w:p w14:paraId="4F56E5E9" w14:textId="77777777" w:rsidR="000E31AD" w:rsidRPr="000E31AD" w:rsidRDefault="000E31AD" w:rsidP="000E31AD">
                  <w:pPr>
                    <w:spacing w:after="0" w:line="240" w:lineRule="auto"/>
                    <w:rPr>
                      <w:rFonts w:ascii="Segoe UI" w:eastAsia="Times New Roman" w:hAnsi="Segoe UI" w:cs="Segoe UI"/>
                      <w:color w:val="000000"/>
                      <w:sz w:val="18"/>
                      <w:szCs w:val="18"/>
                      <w:lang w:eastAsia="en-AU"/>
                    </w:rPr>
                  </w:pPr>
                  <w:r w:rsidRPr="000E31AD">
                    <w:rPr>
                      <w:rFonts w:ascii="Segoe UI" w:eastAsia="Times New Roman" w:hAnsi="Segoe UI" w:cs="Segoe UI"/>
                      <w:color w:val="000000"/>
                      <w:sz w:val="18"/>
                      <w:szCs w:val="18"/>
                      <w:lang w:eastAsia="en-AU"/>
                    </w:rPr>
                    <w:t> </w:t>
                  </w:r>
                </w:p>
              </w:tc>
            </w:tr>
            <w:tr w:rsidR="000E31AD" w:rsidRPr="000E31AD" w14:paraId="53471737" w14:textId="77777777" w:rsidTr="009F406C">
              <w:trPr>
                <w:trHeight w:val="403"/>
              </w:trPr>
              <w:tc>
                <w:tcPr>
                  <w:tcW w:w="2597" w:type="pct"/>
                  <w:tcBorders>
                    <w:top w:val="nil"/>
                    <w:left w:val="nil"/>
                    <w:bottom w:val="nil"/>
                    <w:right w:val="nil"/>
                  </w:tcBorders>
                  <w:shd w:val="clear" w:color="000000" w:fill="C5D9F1"/>
                  <w:noWrap/>
                  <w:vAlign w:val="center"/>
                  <w:hideMark/>
                </w:tcPr>
                <w:p w14:paraId="60694161" w14:textId="77777777" w:rsidR="000E31AD" w:rsidRPr="000E31AD" w:rsidRDefault="000E31AD" w:rsidP="000E31AD">
                  <w:pPr>
                    <w:spacing w:after="0" w:line="240" w:lineRule="auto"/>
                    <w:jc w:val="right"/>
                    <w:rPr>
                      <w:rFonts w:ascii="Segoe UI" w:eastAsia="Times New Roman" w:hAnsi="Segoe UI" w:cs="Segoe UI"/>
                      <w:color w:val="000000"/>
                      <w:sz w:val="18"/>
                      <w:szCs w:val="18"/>
                      <w:lang w:eastAsia="en-AU"/>
                    </w:rPr>
                  </w:pPr>
                  <w:r w:rsidRPr="000E31AD">
                    <w:rPr>
                      <w:rFonts w:ascii="Segoe UI" w:eastAsia="Times New Roman" w:hAnsi="Segoe UI" w:cs="Segoe UI"/>
                      <w:color w:val="000000"/>
                      <w:sz w:val="18"/>
                      <w:szCs w:val="18"/>
                      <w:lang w:eastAsia="en-AU"/>
                    </w:rPr>
                    <w:t>Dermal repeat-dose NOAEL ≤200 mg/kg:</w:t>
                  </w:r>
                </w:p>
              </w:tc>
              <w:tc>
                <w:tcPr>
                  <w:tcW w:w="749" w:type="pct"/>
                  <w:tcBorders>
                    <w:top w:val="nil"/>
                    <w:left w:val="nil"/>
                    <w:bottom w:val="nil"/>
                    <w:right w:val="nil"/>
                  </w:tcBorders>
                  <w:shd w:val="clear" w:color="000000" w:fill="C5D9F1"/>
                  <w:noWrap/>
                  <w:vAlign w:val="center"/>
                  <w:hideMark/>
                </w:tcPr>
                <w:p w14:paraId="40FE1BE0" w14:textId="77777777" w:rsidR="000E31AD" w:rsidRPr="000E31AD" w:rsidRDefault="000E31AD" w:rsidP="000E31AD">
                  <w:pPr>
                    <w:spacing w:after="0" w:line="240" w:lineRule="auto"/>
                    <w:jc w:val="center"/>
                    <w:rPr>
                      <w:rFonts w:ascii="Segoe UI" w:eastAsia="Times New Roman" w:hAnsi="Segoe UI" w:cs="Segoe UI"/>
                      <w:color w:val="000000"/>
                      <w:sz w:val="18"/>
                      <w:szCs w:val="18"/>
                      <w:lang w:eastAsia="en-AU"/>
                    </w:rPr>
                  </w:pPr>
                  <w:r w:rsidRPr="000E31AD">
                    <w:rPr>
                      <w:rFonts w:ascii="Segoe UI" w:eastAsia="Times New Roman" w:hAnsi="Segoe UI" w:cs="Segoe UI"/>
                      <w:color w:val="000000"/>
                      <w:sz w:val="18"/>
                      <w:szCs w:val="18"/>
                      <w:lang w:eastAsia="en-AU"/>
                    </w:rPr>
                    <w:t> </w:t>
                  </w:r>
                </w:p>
              </w:tc>
              <w:tc>
                <w:tcPr>
                  <w:tcW w:w="827" w:type="pct"/>
                  <w:tcBorders>
                    <w:top w:val="nil"/>
                    <w:left w:val="nil"/>
                    <w:bottom w:val="nil"/>
                    <w:right w:val="nil"/>
                  </w:tcBorders>
                  <w:shd w:val="clear" w:color="000000" w:fill="C5D9F1"/>
                  <w:noWrap/>
                  <w:vAlign w:val="center"/>
                  <w:hideMark/>
                </w:tcPr>
                <w:p w14:paraId="6F8040F4" w14:textId="77777777" w:rsidR="000E31AD" w:rsidRPr="000E31AD" w:rsidRDefault="000E31AD" w:rsidP="000E31AD">
                  <w:pPr>
                    <w:spacing w:after="0" w:line="240" w:lineRule="auto"/>
                    <w:rPr>
                      <w:rFonts w:ascii="Segoe UI" w:eastAsia="Times New Roman" w:hAnsi="Segoe UI" w:cs="Segoe UI"/>
                      <w:color w:val="C5D9F1"/>
                      <w:sz w:val="18"/>
                      <w:szCs w:val="18"/>
                      <w:lang w:eastAsia="en-AU"/>
                    </w:rPr>
                  </w:pPr>
                  <w:r w:rsidRPr="000E31AD">
                    <w:rPr>
                      <w:rFonts w:ascii="Segoe UI" w:eastAsia="Times New Roman" w:hAnsi="Segoe UI" w:cs="Segoe UI"/>
                      <w:color w:val="C5D9F1"/>
                      <w:sz w:val="18"/>
                      <w:szCs w:val="18"/>
                      <w:lang w:eastAsia="en-AU"/>
                    </w:rPr>
                    <w:t> </w:t>
                  </w:r>
                </w:p>
              </w:tc>
              <w:tc>
                <w:tcPr>
                  <w:tcW w:w="827" w:type="pct"/>
                  <w:tcBorders>
                    <w:top w:val="nil"/>
                    <w:left w:val="nil"/>
                    <w:bottom w:val="nil"/>
                    <w:right w:val="nil"/>
                  </w:tcBorders>
                  <w:shd w:val="clear" w:color="000000" w:fill="C5D9F1"/>
                  <w:noWrap/>
                  <w:vAlign w:val="center"/>
                  <w:hideMark/>
                </w:tcPr>
                <w:p w14:paraId="2648D604" w14:textId="77777777" w:rsidR="000E31AD" w:rsidRPr="000E31AD" w:rsidRDefault="000E31AD" w:rsidP="000E31AD">
                  <w:pPr>
                    <w:spacing w:after="0" w:line="240" w:lineRule="auto"/>
                    <w:rPr>
                      <w:rFonts w:ascii="Segoe UI" w:eastAsia="Times New Roman" w:hAnsi="Segoe UI" w:cs="Segoe UI"/>
                      <w:color w:val="000000"/>
                      <w:sz w:val="18"/>
                      <w:szCs w:val="18"/>
                      <w:lang w:eastAsia="en-AU"/>
                    </w:rPr>
                  </w:pPr>
                  <w:r w:rsidRPr="000E31AD">
                    <w:rPr>
                      <w:rFonts w:ascii="Segoe UI" w:eastAsia="Times New Roman" w:hAnsi="Segoe UI" w:cs="Segoe UI"/>
                      <w:color w:val="000000"/>
                      <w:sz w:val="18"/>
                      <w:szCs w:val="18"/>
                      <w:lang w:eastAsia="en-AU"/>
                    </w:rPr>
                    <w:t> </w:t>
                  </w:r>
                </w:p>
              </w:tc>
            </w:tr>
            <w:tr w:rsidR="000E31AD" w:rsidRPr="000E31AD" w14:paraId="5F6EB7FF" w14:textId="77777777" w:rsidTr="009F406C">
              <w:trPr>
                <w:trHeight w:val="403"/>
              </w:trPr>
              <w:tc>
                <w:tcPr>
                  <w:tcW w:w="2597" w:type="pct"/>
                  <w:tcBorders>
                    <w:top w:val="nil"/>
                    <w:left w:val="nil"/>
                    <w:bottom w:val="nil"/>
                    <w:right w:val="nil"/>
                  </w:tcBorders>
                  <w:shd w:val="clear" w:color="000000" w:fill="C5D9F1"/>
                  <w:noWrap/>
                  <w:vAlign w:val="center"/>
                  <w:hideMark/>
                </w:tcPr>
                <w:p w14:paraId="695288EC" w14:textId="77777777" w:rsidR="000E31AD" w:rsidRPr="000E31AD" w:rsidRDefault="000E31AD" w:rsidP="000E31AD">
                  <w:pPr>
                    <w:spacing w:after="0" w:line="240" w:lineRule="auto"/>
                    <w:jc w:val="right"/>
                    <w:rPr>
                      <w:rFonts w:ascii="Segoe UI" w:eastAsia="Times New Roman" w:hAnsi="Segoe UI" w:cs="Segoe UI"/>
                      <w:color w:val="000000"/>
                      <w:sz w:val="18"/>
                      <w:szCs w:val="18"/>
                      <w:lang w:eastAsia="en-AU"/>
                    </w:rPr>
                  </w:pPr>
                  <w:r w:rsidRPr="000E31AD">
                    <w:rPr>
                      <w:rFonts w:ascii="Segoe UI" w:eastAsia="Times New Roman" w:hAnsi="Segoe UI" w:cs="Segoe UI"/>
                      <w:color w:val="000000"/>
                      <w:sz w:val="18"/>
                      <w:szCs w:val="18"/>
                      <w:lang w:eastAsia="en-AU"/>
                    </w:rPr>
                    <w:t>Dermal LD</w:t>
                  </w:r>
                  <w:r w:rsidRPr="000E31AD">
                    <w:rPr>
                      <w:rFonts w:ascii="Segoe UI" w:eastAsia="Times New Roman" w:hAnsi="Segoe UI" w:cs="Segoe UI"/>
                      <w:color w:val="000000"/>
                      <w:sz w:val="18"/>
                      <w:szCs w:val="18"/>
                      <w:vertAlign w:val="subscript"/>
                      <w:lang w:eastAsia="en-AU"/>
                    </w:rPr>
                    <w:t>50</w:t>
                  </w:r>
                  <w:r w:rsidRPr="000E31AD">
                    <w:rPr>
                      <w:rFonts w:ascii="Segoe UI" w:eastAsia="Times New Roman" w:hAnsi="Segoe UI" w:cs="Segoe UI"/>
                      <w:color w:val="000000"/>
                      <w:sz w:val="18"/>
                      <w:szCs w:val="18"/>
                      <w:lang w:eastAsia="en-AU"/>
                    </w:rPr>
                    <w:t>/Inhalation LD</w:t>
                  </w:r>
                  <w:r w:rsidRPr="000E31AD">
                    <w:rPr>
                      <w:rFonts w:ascii="Segoe UI" w:eastAsia="Times New Roman" w:hAnsi="Segoe UI" w:cs="Segoe UI"/>
                      <w:color w:val="000000"/>
                      <w:sz w:val="18"/>
                      <w:szCs w:val="18"/>
                      <w:vertAlign w:val="subscript"/>
                      <w:lang w:eastAsia="en-AU"/>
                    </w:rPr>
                    <w:t>50</w:t>
                  </w:r>
                  <w:r w:rsidRPr="000E31AD">
                    <w:rPr>
                      <w:rFonts w:ascii="Segoe UI" w:eastAsia="Times New Roman" w:hAnsi="Segoe UI" w:cs="Segoe UI"/>
                      <w:color w:val="000000"/>
                      <w:sz w:val="18"/>
                      <w:szCs w:val="18"/>
                      <w:lang w:eastAsia="en-AU"/>
                    </w:rPr>
                    <w:t xml:space="preserve"> &lt;10:</w:t>
                  </w:r>
                </w:p>
              </w:tc>
              <w:tc>
                <w:tcPr>
                  <w:tcW w:w="749" w:type="pct"/>
                  <w:tcBorders>
                    <w:top w:val="nil"/>
                    <w:left w:val="nil"/>
                    <w:bottom w:val="nil"/>
                    <w:right w:val="nil"/>
                  </w:tcBorders>
                  <w:shd w:val="clear" w:color="000000" w:fill="C5D9F1"/>
                  <w:noWrap/>
                  <w:vAlign w:val="center"/>
                  <w:hideMark/>
                </w:tcPr>
                <w:p w14:paraId="1E5BADD0" w14:textId="77777777" w:rsidR="000E31AD" w:rsidRPr="000E31AD" w:rsidRDefault="000E31AD" w:rsidP="000E31AD">
                  <w:pPr>
                    <w:spacing w:after="0" w:line="240" w:lineRule="auto"/>
                    <w:jc w:val="center"/>
                    <w:rPr>
                      <w:rFonts w:ascii="Segoe UI" w:eastAsia="Times New Roman" w:hAnsi="Segoe UI" w:cs="Segoe UI"/>
                      <w:color w:val="000000"/>
                      <w:sz w:val="18"/>
                      <w:szCs w:val="18"/>
                      <w:lang w:eastAsia="en-AU"/>
                    </w:rPr>
                  </w:pPr>
                  <w:r w:rsidRPr="000E31AD">
                    <w:rPr>
                      <w:rFonts w:ascii="Segoe UI" w:eastAsia="Times New Roman" w:hAnsi="Segoe UI" w:cs="Segoe UI"/>
                      <w:color w:val="000000"/>
                      <w:sz w:val="18"/>
                      <w:szCs w:val="18"/>
                      <w:lang w:eastAsia="en-AU"/>
                    </w:rPr>
                    <w:t> </w:t>
                  </w:r>
                </w:p>
              </w:tc>
              <w:tc>
                <w:tcPr>
                  <w:tcW w:w="827" w:type="pct"/>
                  <w:tcBorders>
                    <w:top w:val="nil"/>
                    <w:left w:val="nil"/>
                    <w:bottom w:val="nil"/>
                    <w:right w:val="nil"/>
                  </w:tcBorders>
                  <w:shd w:val="clear" w:color="000000" w:fill="C5D9F1"/>
                  <w:noWrap/>
                  <w:vAlign w:val="center"/>
                  <w:hideMark/>
                </w:tcPr>
                <w:p w14:paraId="3E27C381" w14:textId="77777777" w:rsidR="000E31AD" w:rsidRPr="000E31AD" w:rsidRDefault="000E31AD" w:rsidP="000E31AD">
                  <w:pPr>
                    <w:spacing w:after="0" w:line="240" w:lineRule="auto"/>
                    <w:rPr>
                      <w:rFonts w:ascii="Segoe UI" w:eastAsia="Times New Roman" w:hAnsi="Segoe UI" w:cs="Segoe UI"/>
                      <w:color w:val="C5D9F1"/>
                      <w:sz w:val="18"/>
                      <w:szCs w:val="18"/>
                      <w:lang w:eastAsia="en-AU"/>
                    </w:rPr>
                  </w:pPr>
                  <w:r w:rsidRPr="000E31AD">
                    <w:rPr>
                      <w:rFonts w:ascii="Segoe UI" w:eastAsia="Times New Roman" w:hAnsi="Segoe UI" w:cs="Segoe UI"/>
                      <w:color w:val="C5D9F1"/>
                      <w:sz w:val="18"/>
                      <w:szCs w:val="18"/>
                      <w:lang w:eastAsia="en-AU"/>
                    </w:rPr>
                    <w:t> </w:t>
                  </w:r>
                </w:p>
              </w:tc>
              <w:tc>
                <w:tcPr>
                  <w:tcW w:w="827" w:type="pct"/>
                  <w:tcBorders>
                    <w:top w:val="nil"/>
                    <w:left w:val="nil"/>
                    <w:bottom w:val="nil"/>
                    <w:right w:val="nil"/>
                  </w:tcBorders>
                  <w:shd w:val="clear" w:color="000000" w:fill="C5D9F1"/>
                  <w:noWrap/>
                  <w:vAlign w:val="center"/>
                  <w:hideMark/>
                </w:tcPr>
                <w:p w14:paraId="1683F585" w14:textId="77777777" w:rsidR="000E31AD" w:rsidRPr="000E31AD" w:rsidRDefault="000E31AD" w:rsidP="000E31AD">
                  <w:pPr>
                    <w:spacing w:after="0" w:line="240" w:lineRule="auto"/>
                    <w:rPr>
                      <w:rFonts w:ascii="Segoe UI" w:eastAsia="Times New Roman" w:hAnsi="Segoe UI" w:cs="Segoe UI"/>
                      <w:color w:val="000000"/>
                      <w:sz w:val="18"/>
                      <w:szCs w:val="18"/>
                      <w:lang w:eastAsia="en-AU"/>
                    </w:rPr>
                  </w:pPr>
                  <w:r w:rsidRPr="000E31AD">
                    <w:rPr>
                      <w:rFonts w:ascii="Segoe UI" w:eastAsia="Times New Roman" w:hAnsi="Segoe UI" w:cs="Segoe UI"/>
                      <w:color w:val="000000"/>
                      <w:sz w:val="18"/>
                      <w:szCs w:val="18"/>
                      <w:lang w:eastAsia="en-AU"/>
                    </w:rPr>
                    <w:t> </w:t>
                  </w:r>
                </w:p>
              </w:tc>
            </w:tr>
            <w:tr w:rsidR="000E31AD" w:rsidRPr="000E31AD" w14:paraId="305BB59D" w14:textId="77777777" w:rsidTr="009F406C">
              <w:trPr>
                <w:trHeight w:val="403"/>
              </w:trPr>
              <w:tc>
                <w:tcPr>
                  <w:tcW w:w="2597" w:type="pct"/>
                  <w:tcBorders>
                    <w:top w:val="nil"/>
                    <w:left w:val="nil"/>
                    <w:bottom w:val="nil"/>
                    <w:right w:val="nil"/>
                  </w:tcBorders>
                  <w:shd w:val="clear" w:color="000000" w:fill="C5D9F1"/>
                  <w:noWrap/>
                  <w:vAlign w:val="center"/>
                  <w:hideMark/>
                </w:tcPr>
                <w:p w14:paraId="359592D2" w14:textId="77777777" w:rsidR="000E31AD" w:rsidRPr="000E31AD" w:rsidRDefault="000E31AD" w:rsidP="000E31AD">
                  <w:pPr>
                    <w:spacing w:after="0" w:line="240" w:lineRule="auto"/>
                    <w:jc w:val="right"/>
                    <w:rPr>
                      <w:rFonts w:ascii="Segoe UI" w:eastAsia="Times New Roman" w:hAnsi="Segoe UI" w:cs="Segoe UI"/>
                      <w:i/>
                      <w:iCs/>
                      <w:color w:val="000000"/>
                      <w:sz w:val="18"/>
                      <w:szCs w:val="18"/>
                      <w:lang w:eastAsia="en-AU"/>
                    </w:rPr>
                  </w:pPr>
                  <w:r w:rsidRPr="000E31AD">
                    <w:rPr>
                      <w:rFonts w:ascii="Segoe UI" w:eastAsia="Times New Roman" w:hAnsi="Segoe UI" w:cs="Segoe UI"/>
                      <w:i/>
                      <w:iCs/>
                      <w:color w:val="000000"/>
                      <w:sz w:val="18"/>
                      <w:szCs w:val="18"/>
                      <w:lang w:eastAsia="en-AU"/>
                    </w:rPr>
                    <w:t>In vivo</w:t>
                  </w:r>
                  <w:r w:rsidRPr="000E31AD">
                    <w:rPr>
                      <w:rFonts w:ascii="Segoe UI" w:eastAsia="Times New Roman" w:hAnsi="Segoe UI" w:cs="Segoe UI"/>
                      <w:color w:val="000000"/>
                      <w:sz w:val="18"/>
                      <w:szCs w:val="18"/>
                      <w:lang w:eastAsia="en-AU"/>
                    </w:rPr>
                    <w:t xml:space="preserve"> dermal absorption rate &gt;10%:</w:t>
                  </w:r>
                </w:p>
              </w:tc>
              <w:tc>
                <w:tcPr>
                  <w:tcW w:w="749" w:type="pct"/>
                  <w:tcBorders>
                    <w:top w:val="nil"/>
                    <w:left w:val="nil"/>
                    <w:bottom w:val="nil"/>
                    <w:right w:val="nil"/>
                  </w:tcBorders>
                  <w:shd w:val="clear" w:color="000000" w:fill="C5D9F1"/>
                  <w:noWrap/>
                  <w:vAlign w:val="center"/>
                  <w:hideMark/>
                </w:tcPr>
                <w:p w14:paraId="462E4C51" w14:textId="77777777" w:rsidR="000E31AD" w:rsidRPr="000E31AD" w:rsidRDefault="000E31AD" w:rsidP="000E31AD">
                  <w:pPr>
                    <w:spacing w:after="0" w:line="240" w:lineRule="auto"/>
                    <w:jc w:val="center"/>
                    <w:rPr>
                      <w:rFonts w:ascii="Segoe UI" w:eastAsia="Times New Roman" w:hAnsi="Segoe UI" w:cs="Segoe UI"/>
                      <w:color w:val="000000"/>
                      <w:sz w:val="18"/>
                      <w:szCs w:val="18"/>
                      <w:lang w:eastAsia="en-AU"/>
                    </w:rPr>
                  </w:pPr>
                  <w:r w:rsidRPr="000E31AD">
                    <w:rPr>
                      <w:rFonts w:ascii="Segoe UI" w:eastAsia="Times New Roman" w:hAnsi="Segoe UI" w:cs="Segoe UI"/>
                      <w:color w:val="000000"/>
                      <w:sz w:val="18"/>
                      <w:szCs w:val="18"/>
                      <w:lang w:eastAsia="en-AU"/>
                    </w:rPr>
                    <w:t> </w:t>
                  </w:r>
                </w:p>
              </w:tc>
              <w:tc>
                <w:tcPr>
                  <w:tcW w:w="827" w:type="pct"/>
                  <w:tcBorders>
                    <w:top w:val="nil"/>
                    <w:left w:val="nil"/>
                    <w:bottom w:val="nil"/>
                    <w:right w:val="nil"/>
                  </w:tcBorders>
                  <w:shd w:val="clear" w:color="000000" w:fill="C5D9F1"/>
                  <w:noWrap/>
                  <w:vAlign w:val="center"/>
                  <w:hideMark/>
                </w:tcPr>
                <w:p w14:paraId="7932AAF2" w14:textId="77777777" w:rsidR="000E31AD" w:rsidRPr="000E31AD" w:rsidRDefault="000E31AD" w:rsidP="000E31AD">
                  <w:pPr>
                    <w:spacing w:after="0" w:line="240" w:lineRule="auto"/>
                    <w:rPr>
                      <w:rFonts w:ascii="Segoe UI" w:eastAsia="Times New Roman" w:hAnsi="Segoe UI" w:cs="Segoe UI"/>
                      <w:color w:val="C5D9F1"/>
                      <w:sz w:val="18"/>
                      <w:szCs w:val="18"/>
                      <w:lang w:eastAsia="en-AU"/>
                    </w:rPr>
                  </w:pPr>
                  <w:r w:rsidRPr="000E31AD">
                    <w:rPr>
                      <w:rFonts w:ascii="Segoe UI" w:eastAsia="Times New Roman" w:hAnsi="Segoe UI" w:cs="Segoe UI"/>
                      <w:color w:val="C5D9F1"/>
                      <w:sz w:val="18"/>
                      <w:szCs w:val="18"/>
                      <w:lang w:eastAsia="en-AU"/>
                    </w:rPr>
                    <w:t> </w:t>
                  </w:r>
                </w:p>
              </w:tc>
              <w:tc>
                <w:tcPr>
                  <w:tcW w:w="827" w:type="pct"/>
                  <w:tcBorders>
                    <w:top w:val="nil"/>
                    <w:left w:val="nil"/>
                    <w:bottom w:val="nil"/>
                    <w:right w:val="nil"/>
                  </w:tcBorders>
                  <w:shd w:val="clear" w:color="000000" w:fill="C5D9F1"/>
                  <w:noWrap/>
                  <w:vAlign w:val="center"/>
                  <w:hideMark/>
                </w:tcPr>
                <w:p w14:paraId="27D4F8DB" w14:textId="77777777" w:rsidR="000E31AD" w:rsidRPr="000E31AD" w:rsidRDefault="000E31AD" w:rsidP="000E31AD">
                  <w:pPr>
                    <w:spacing w:after="0" w:line="240" w:lineRule="auto"/>
                    <w:rPr>
                      <w:rFonts w:ascii="Segoe UI" w:eastAsia="Times New Roman" w:hAnsi="Segoe UI" w:cs="Segoe UI"/>
                      <w:color w:val="000000"/>
                      <w:sz w:val="18"/>
                      <w:szCs w:val="18"/>
                      <w:lang w:eastAsia="en-AU"/>
                    </w:rPr>
                  </w:pPr>
                  <w:r w:rsidRPr="000E31AD">
                    <w:rPr>
                      <w:rFonts w:ascii="Segoe UI" w:eastAsia="Times New Roman" w:hAnsi="Segoe UI" w:cs="Segoe UI"/>
                      <w:color w:val="000000"/>
                      <w:sz w:val="18"/>
                      <w:szCs w:val="18"/>
                      <w:lang w:eastAsia="en-AU"/>
                    </w:rPr>
                    <w:t> </w:t>
                  </w:r>
                </w:p>
              </w:tc>
            </w:tr>
            <w:tr w:rsidR="000E31AD" w:rsidRPr="000E31AD" w14:paraId="31A2ABBA" w14:textId="77777777" w:rsidTr="009F406C">
              <w:trPr>
                <w:trHeight w:val="403"/>
              </w:trPr>
              <w:tc>
                <w:tcPr>
                  <w:tcW w:w="2597" w:type="pct"/>
                  <w:tcBorders>
                    <w:top w:val="nil"/>
                    <w:left w:val="nil"/>
                    <w:bottom w:val="nil"/>
                    <w:right w:val="nil"/>
                  </w:tcBorders>
                  <w:shd w:val="clear" w:color="000000" w:fill="C5D9F1"/>
                  <w:noWrap/>
                  <w:vAlign w:val="center"/>
                  <w:hideMark/>
                </w:tcPr>
                <w:p w14:paraId="49530986" w14:textId="77777777" w:rsidR="000E31AD" w:rsidRPr="000E31AD" w:rsidRDefault="000E31AD" w:rsidP="000E31AD">
                  <w:pPr>
                    <w:spacing w:after="0" w:line="240" w:lineRule="auto"/>
                    <w:jc w:val="right"/>
                    <w:rPr>
                      <w:rFonts w:ascii="Segoe UI" w:eastAsia="Times New Roman" w:hAnsi="Segoe UI" w:cs="Segoe UI"/>
                      <w:color w:val="000000"/>
                      <w:sz w:val="18"/>
                      <w:szCs w:val="18"/>
                      <w:lang w:eastAsia="en-AU"/>
                    </w:rPr>
                  </w:pPr>
                  <w:r w:rsidRPr="000E31AD">
                    <w:rPr>
                      <w:rFonts w:ascii="Segoe UI" w:eastAsia="Times New Roman" w:hAnsi="Segoe UI" w:cs="Segoe UI"/>
                      <w:color w:val="000000"/>
                      <w:sz w:val="18"/>
                      <w:szCs w:val="18"/>
                      <w:lang w:eastAsia="en-AU"/>
                    </w:rPr>
                    <w:t>Estimated dermal exposure at WES &gt;10%:</w:t>
                  </w:r>
                </w:p>
              </w:tc>
              <w:tc>
                <w:tcPr>
                  <w:tcW w:w="749" w:type="pct"/>
                  <w:tcBorders>
                    <w:top w:val="nil"/>
                    <w:left w:val="nil"/>
                    <w:bottom w:val="nil"/>
                    <w:right w:val="nil"/>
                  </w:tcBorders>
                  <w:shd w:val="clear" w:color="000000" w:fill="C5D9F1"/>
                  <w:noWrap/>
                  <w:vAlign w:val="center"/>
                  <w:hideMark/>
                </w:tcPr>
                <w:p w14:paraId="11A12A15" w14:textId="77777777" w:rsidR="000E31AD" w:rsidRPr="000E31AD" w:rsidRDefault="000E31AD" w:rsidP="000E31AD">
                  <w:pPr>
                    <w:spacing w:after="0" w:line="240" w:lineRule="auto"/>
                    <w:jc w:val="center"/>
                    <w:rPr>
                      <w:rFonts w:ascii="Segoe UI" w:eastAsia="Times New Roman" w:hAnsi="Segoe UI" w:cs="Segoe UI"/>
                      <w:color w:val="000000"/>
                      <w:sz w:val="18"/>
                      <w:szCs w:val="18"/>
                      <w:lang w:eastAsia="en-AU"/>
                    </w:rPr>
                  </w:pPr>
                  <w:r w:rsidRPr="000E31AD">
                    <w:rPr>
                      <w:rFonts w:ascii="Segoe UI" w:eastAsia="Times New Roman" w:hAnsi="Segoe UI" w:cs="Segoe UI"/>
                      <w:color w:val="000000"/>
                      <w:sz w:val="18"/>
                      <w:szCs w:val="18"/>
                      <w:lang w:eastAsia="en-AU"/>
                    </w:rPr>
                    <w:t> </w:t>
                  </w:r>
                </w:p>
              </w:tc>
              <w:tc>
                <w:tcPr>
                  <w:tcW w:w="827" w:type="pct"/>
                  <w:tcBorders>
                    <w:top w:val="nil"/>
                    <w:left w:val="nil"/>
                    <w:bottom w:val="nil"/>
                    <w:right w:val="nil"/>
                  </w:tcBorders>
                  <w:shd w:val="clear" w:color="000000" w:fill="C5D9F1"/>
                  <w:noWrap/>
                  <w:vAlign w:val="center"/>
                  <w:hideMark/>
                </w:tcPr>
                <w:p w14:paraId="6ED81748" w14:textId="77777777" w:rsidR="000E31AD" w:rsidRPr="000E31AD" w:rsidRDefault="000E31AD" w:rsidP="000E31AD">
                  <w:pPr>
                    <w:spacing w:after="0" w:line="240" w:lineRule="auto"/>
                    <w:rPr>
                      <w:rFonts w:ascii="Segoe UI" w:eastAsia="Times New Roman" w:hAnsi="Segoe UI" w:cs="Segoe UI"/>
                      <w:color w:val="C5D9F1"/>
                      <w:sz w:val="18"/>
                      <w:szCs w:val="18"/>
                      <w:lang w:eastAsia="en-AU"/>
                    </w:rPr>
                  </w:pPr>
                  <w:r w:rsidRPr="000E31AD">
                    <w:rPr>
                      <w:rFonts w:ascii="Segoe UI" w:eastAsia="Times New Roman" w:hAnsi="Segoe UI" w:cs="Segoe UI"/>
                      <w:color w:val="C5D9F1"/>
                      <w:sz w:val="18"/>
                      <w:szCs w:val="18"/>
                      <w:lang w:eastAsia="en-AU"/>
                    </w:rPr>
                    <w:t> </w:t>
                  </w:r>
                </w:p>
              </w:tc>
              <w:tc>
                <w:tcPr>
                  <w:tcW w:w="827" w:type="pct"/>
                  <w:tcBorders>
                    <w:top w:val="nil"/>
                    <w:left w:val="nil"/>
                    <w:bottom w:val="nil"/>
                    <w:right w:val="nil"/>
                  </w:tcBorders>
                  <w:shd w:val="clear" w:color="000000" w:fill="C5D9F1"/>
                  <w:noWrap/>
                  <w:vAlign w:val="center"/>
                  <w:hideMark/>
                </w:tcPr>
                <w:p w14:paraId="73021313" w14:textId="77777777" w:rsidR="000E31AD" w:rsidRPr="000E31AD" w:rsidRDefault="000E31AD" w:rsidP="000E31AD">
                  <w:pPr>
                    <w:spacing w:after="0" w:line="240" w:lineRule="auto"/>
                    <w:rPr>
                      <w:rFonts w:ascii="Segoe UI" w:eastAsia="Times New Roman" w:hAnsi="Segoe UI" w:cs="Segoe UI"/>
                      <w:color w:val="000000"/>
                      <w:sz w:val="18"/>
                      <w:szCs w:val="18"/>
                      <w:lang w:eastAsia="en-AU"/>
                    </w:rPr>
                  </w:pPr>
                  <w:r w:rsidRPr="000E31AD">
                    <w:rPr>
                      <w:rFonts w:ascii="Segoe UI" w:eastAsia="Times New Roman" w:hAnsi="Segoe UI" w:cs="Segoe UI"/>
                      <w:color w:val="000000"/>
                      <w:sz w:val="18"/>
                      <w:szCs w:val="18"/>
                      <w:lang w:eastAsia="en-AU"/>
                    </w:rPr>
                    <w:t> </w:t>
                  </w:r>
                </w:p>
              </w:tc>
            </w:tr>
            <w:tr w:rsidR="00382CED" w:rsidRPr="000E31AD" w14:paraId="29D68F4D" w14:textId="77777777" w:rsidTr="009F406C">
              <w:trPr>
                <w:trHeight w:val="403"/>
              </w:trPr>
              <w:tc>
                <w:tcPr>
                  <w:tcW w:w="2597" w:type="pct"/>
                  <w:tcBorders>
                    <w:top w:val="nil"/>
                    <w:left w:val="nil"/>
                    <w:bottom w:val="nil"/>
                    <w:right w:val="nil"/>
                  </w:tcBorders>
                  <w:shd w:val="clear" w:color="000000" w:fill="C5D9F1"/>
                  <w:noWrap/>
                  <w:vAlign w:val="center"/>
                </w:tcPr>
                <w:p w14:paraId="7E6F423C" w14:textId="77777777" w:rsidR="00382CED" w:rsidRPr="000E31AD" w:rsidRDefault="00382CED" w:rsidP="00382CED">
                  <w:pPr>
                    <w:spacing w:after="0" w:line="240" w:lineRule="auto"/>
                    <w:jc w:val="right"/>
                    <w:rPr>
                      <w:rFonts w:ascii="Segoe UI" w:eastAsia="Times New Roman" w:hAnsi="Segoe UI" w:cs="Segoe UI"/>
                      <w:color w:val="000000"/>
                      <w:sz w:val="18"/>
                      <w:szCs w:val="18"/>
                      <w:lang w:eastAsia="en-AU"/>
                    </w:rPr>
                  </w:pPr>
                </w:p>
              </w:tc>
              <w:tc>
                <w:tcPr>
                  <w:tcW w:w="749" w:type="pct"/>
                  <w:tcBorders>
                    <w:top w:val="nil"/>
                    <w:left w:val="nil"/>
                    <w:bottom w:val="nil"/>
                    <w:right w:val="nil"/>
                  </w:tcBorders>
                  <w:shd w:val="clear" w:color="000000" w:fill="C5D9F1"/>
                  <w:noWrap/>
                  <w:vAlign w:val="center"/>
                </w:tcPr>
                <w:p w14:paraId="0D4CF2C2" w14:textId="77777777" w:rsidR="00382CED" w:rsidRPr="000E31AD" w:rsidRDefault="00382CED" w:rsidP="00382CED">
                  <w:pPr>
                    <w:spacing w:after="0" w:line="240" w:lineRule="auto"/>
                    <w:jc w:val="center"/>
                    <w:rPr>
                      <w:rFonts w:ascii="Segoe UI" w:eastAsia="Times New Roman" w:hAnsi="Segoe UI" w:cs="Segoe UI"/>
                      <w:color w:val="000000"/>
                      <w:sz w:val="18"/>
                      <w:szCs w:val="18"/>
                      <w:lang w:eastAsia="en-AU"/>
                    </w:rPr>
                  </w:pPr>
                </w:p>
              </w:tc>
              <w:tc>
                <w:tcPr>
                  <w:tcW w:w="1654" w:type="pct"/>
                  <w:gridSpan w:val="2"/>
                  <w:tcBorders>
                    <w:top w:val="nil"/>
                    <w:left w:val="nil"/>
                    <w:bottom w:val="nil"/>
                    <w:right w:val="nil"/>
                  </w:tcBorders>
                  <w:shd w:val="clear" w:color="000000" w:fill="C5D9F1"/>
                  <w:noWrap/>
                  <w:vAlign w:val="center"/>
                </w:tcPr>
                <w:p w14:paraId="7B1D3065" w14:textId="1279BAB8" w:rsidR="00382CED" w:rsidRPr="000E31AD" w:rsidRDefault="00382CED" w:rsidP="00382CED">
                  <w:pPr>
                    <w:spacing w:after="0" w:line="240" w:lineRule="auto"/>
                    <w:rPr>
                      <w:rFonts w:ascii="Segoe UI" w:eastAsia="Times New Roman" w:hAnsi="Segoe UI" w:cs="Segoe UI"/>
                      <w:color w:val="000000"/>
                      <w:sz w:val="18"/>
                      <w:szCs w:val="18"/>
                      <w:lang w:eastAsia="en-AU"/>
                    </w:rPr>
                  </w:pPr>
                  <w:r w:rsidRPr="003A677E">
                    <w:rPr>
                      <w:rFonts w:ascii="Segoe UI" w:eastAsia="Times New Roman" w:hAnsi="Segoe UI" w:cs="Segoe UI"/>
                      <w:b/>
                      <w:bCs/>
                      <w:color w:val="000000"/>
                      <w:sz w:val="18"/>
                      <w:szCs w:val="18"/>
                      <w:lang w:eastAsia="en-AU"/>
                    </w:rPr>
                    <w:t>a skin notation is not warranted</w:t>
                  </w:r>
                </w:p>
              </w:tc>
            </w:tr>
          </w:tbl>
          <w:p w14:paraId="782DE220" w14:textId="043A129E" w:rsidR="00932DCE" w:rsidRPr="004C23F4" w:rsidRDefault="00932DCE" w:rsidP="00F9496B">
            <w:pPr>
              <w:pStyle w:val="Tablefont"/>
            </w:pPr>
          </w:p>
        </w:tc>
      </w:tr>
    </w:tbl>
    <w:bookmarkEnd w:id="5"/>
    <w:p w14:paraId="782DE222" w14:textId="0E963BBE"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782DE225" w14:textId="77777777" w:rsidTr="00610F2E">
        <w:trPr>
          <w:trHeight w:val="454"/>
          <w:tblHeader/>
        </w:trPr>
        <w:tc>
          <w:tcPr>
            <w:tcW w:w="4361" w:type="dxa"/>
            <w:vAlign w:val="center"/>
          </w:tcPr>
          <w:p w14:paraId="782DE223"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782DE224" w14:textId="16DDF962" w:rsidR="00EB3D1B" w:rsidRDefault="002843AB" w:rsidP="00EB3D1B">
                <w:pPr>
                  <w:pStyle w:val="Tablefont"/>
                </w:pPr>
                <w:r>
                  <w:t>Yes</w:t>
                </w:r>
              </w:p>
            </w:tc>
          </w:sdtContent>
        </w:sdt>
      </w:tr>
    </w:tbl>
    <w:p w14:paraId="782DE226"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5"/>
        <w:gridCol w:w="5031"/>
      </w:tblGrid>
      <w:tr w:rsidR="001B79E5" w:rsidRPr="004C23F4" w14:paraId="782DE229" w14:textId="77777777" w:rsidTr="00EA6243">
        <w:trPr>
          <w:cantSplit/>
          <w:tblHeader/>
        </w:trPr>
        <w:tc>
          <w:tcPr>
            <w:tcW w:w="4077" w:type="dxa"/>
            <w:vAlign w:val="center"/>
          </w:tcPr>
          <w:p w14:paraId="782DE227"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782DE228" w14:textId="1E1586AB" w:rsidR="001B79E5" w:rsidRDefault="000B37E0" w:rsidP="001B79E5">
                <w:pPr>
                  <w:pStyle w:val="Tablefont"/>
                </w:pPr>
                <w:r w:rsidRPr="000B37E0">
                  <w:t>242.22</w:t>
                </w:r>
                <w:r>
                  <w:t xml:space="preserve"> g/mol</w:t>
                </w:r>
              </w:p>
            </w:tc>
          </w:sdtContent>
        </w:sdt>
      </w:tr>
      <w:tr w:rsidR="00A31D99" w:rsidRPr="004C23F4" w14:paraId="782DE22C" w14:textId="77777777" w:rsidTr="00EA6243">
        <w:trPr>
          <w:cantSplit/>
          <w:tblHeader/>
        </w:trPr>
        <w:tc>
          <w:tcPr>
            <w:tcW w:w="4077" w:type="dxa"/>
            <w:vAlign w:val="center"/>
          </w:tcPr>
          <w:p w14:paraId="782DE22A"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782DE22B" w14:textId="77777777" w:rsidR="00A31D99" w:rsidRDefault="00A0643F" w:rsidP="00A174CC">
            <w:pPr>
              <w:pStyle w:val="Tablefont"/>
            </w:pPr>
            <w:r>
              <w:t xml:space="preserve">1 ppm = </w:t>
            </w:r>
            <w:sdt>
              <w:sdtPr>
                <w:id w:val="-371151491"/>
                <w:placeholder>
                  <w:docPart w:val="A7231FB73EFF4B2B92EB3BD21C0CEA01"/>
                </w:placeholder>
                <w:showingPlcHdr/>
              </w:sdtPr>
              <w:sdtEndPr/>
              <w:sdtContent>
                <w:r w:rsidR="00A174CC">
                  <w:rPr>
                    <w:rStyle w:val="PlaceholderText"/>
                  </w:rPr>
                  <w:t>Number</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A174CC" w:rsidRPr="00A174CC">
                  <w:rPr>
                    <w:color w:val="808080"/>
                  </w:rPr>
                  <w:t>Number</w:t>
                </w:r>
              </w:sdtContent>
            </w:sdt>
            <w:r>
              <w:t xml:space="preserve"> ppm</w:t>
            </w:r>
          </w:p>
        </w:tc>
      </w:tr>
      <w:tr w:rsidR="00687890" w:rsidRPr="004C23F4" w14:paraId="782DE22F" w14:textId="77777777" w:rsidTr="00EA6243">
        <w:trPr>
          <w:cantSplit/>
          <w:tblHeader/>
        </w:trPr>
        <w:tc>
          <w:tcPr>
            <w:tcW w:w="4077" w:type="dxa"/>
            <w:vAlign w:val="center"/>
          </w:tcPr>
          <w:p w14:paraId="782DE22D" w14:textId="77777777" w:rsidR="00687890" w:rsidRPr="00263255" w:rsidRDefault="00687890" w:rsidP="00263255">
            <w:pPr>
              <w:pStyle w:val="Tablefont"/>
            </w:pPr>
            <w:r w:rsidRPr="00263255">
              <w:t>This chemical is used as a pesticide:</w:t>
            </w:r>
          </w:p>
        </w:tc>
        <w:sdt>
          <w:sdtPr>
            <w:id w:val="1704441067"/>
            <w14:checkbox>
              <w14:checked w14:val="0"/>
              <w14:checkedState w14:val="00FC" w14:font="Wingdings"/>
              <w14:uncheckedState w14:val="2610" w14:font="MS Gothic"/>
            </w14:checkbox>
          </w:sdtPr>
          <w:sdtEndPr/>
          <w:sdtContent>
            <w:tc>
              <w:tcPr>
                <w:tcW w:w="5165" w:type="dxa"/>
                <w:vAlign w:val="center"/>
              </w:tcPr>
              <w:p w14:paraId="782DE22E" w14:textId="77777777" w:rsidR="00687890" w:rsidRPr="004C23F4" w:rsidRDefault="00E46BCB" w:rsidP="00717D45">
                <w:pPr>
                  <w:pStyle w:val="Tablefont"/>
                </w:pPr>
                <w:r w:rsidRPr="004C23F4">
                  <w:rPr>
                    <w:rFonts w:ascii="MS Gothic" w:eastAsia="MS Gothic" w:hAnsi="MS Gothic" w:cs="MS Gothic" w:hint="eastAsia"/>
                  </w:rPr>
                  <w:t>☐</w:t>
                </w:r>
              </w:p>
            </w:tc>
          </w:sdtContent>
        </w:sdt>
      </w:tr>
      <w:tr w:rsidR="00687890" w:rsidRPr="004C23F4" w14:paraId="782DE232" w14:textId="77777777" w:rsidTr="00EA6243">
        <w:trPr>
          <w:cantSplit/>
        </w:trPr>
        <w:tc>
          <w:tcPr>
            <w:tcW w:w="4077" w:type="dxa"/>
            <w:vAlign w:val="center"/>
          </w:tcPr>
          <w:p w14:paraId="782DE230"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782DE231"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782DE235" w14:textId="77777777" w:rsidTr="00EA6243">
        <w:trPr>
          <w:cantSplit/>
        </w:trPr>
        <w:tc>
          <w:tcPr>
            <w:tcW w:w="4077" w:type="dxa"/>
            <w:vAlign w:val="center"/>
          </w:tcPr>
          <w:p w14:paraId="782DE233"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782DE234"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782DE238" w14:textId="77777777" w:rsidTr="00EA6243">
        <w:trPr>
          <w:cantSplit/>
        </w:trPr>
        <w:tc>
          <w:tcPr>
            <w:tcW w:w="4077" w:type="dxa"/>
            <w:vAlign w:val="center"/>
          </w:tcPr>
          <w:p w14:paraId="782DE236"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782DE237" w14:textId="77777777" w:rsidR="00E06F40" w:rsidRPr="00A006A0" w:rsidRDefault="001705DD"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782DE239"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782DE23C" w14:textId="77777777" w:rsidTr="00F053FA">
        <w:trPr>
          <w:tblHeader/>
        </w:trPr>
        <w:tc>
          <w:tcPr>
            <w:tcW w:w="4077" w:type="dxa"/>
            <w:shd w:val="clear" w:color="auto" w:fill="BFBFBF" w:themeFill="background1" w:themeFillShade="BF"/>
            <w:vAlign w:val="center"/>
          </w:tcPr>
          <w:p w14:paraId="782DE23A" w14:textId="77777777" w:rsidR="00224EE2" w:rsidRPr="004C23F4" w:rsidRDefault="00224EE2" w:rsidP="00EB3D1B">
            <w:pPr>
              <w:pStyle w:val="Tableheader"/>
              <w:keepNext/>
              <w:keepLines/>
            </w:pPr>
            <w:bookmarkStart w:id="6" w:name="History" w:colFirst="0" w:colLast="1"/>
            <w:r>
              <w:t>Year</w:t>
            </w:r>
          </w:p>
        </w:tc>
        <w:tc>
          <w:tcPr>
            <w:tcW w:w="5165" w:type="dxa"/>
            <w:shd w:val="clear" w:color="auto" w:fill="BFBFBF" w:themeFill="background1" w:themeFillShade="BF"/>
            <w:vAlign w:val="center"/>
          </w:tcPr>
          <w:p w14:paraId="782DE23B" w14:textId="77777777" w:rsidR="00224EE2" w:rsidRPr="004C23F4" w:rsidRDefault="00224EE2" w:rsidP="00EB3D1B">
            <w:pPr>
              <w:pStyle w:val="Tableheader"/>
              <w:keepNext/>
              <w:keepLines/>
            </w:pPr>
            <w:r>
              <w:t>Standard</w:t>
            </w:r>
          </w:p>
        </w:tc>
      </w:tr>
      <w:tr w:rsidR="007F1005" w:rsidRPr="004C23F4" w14:paraId="782DE23F" w14:textId="77777777" w:rsidTr="00F053FA">
        <w:trPr>
          <w:tblHeader/>
        </w:trPr>
        <w:sdt>
          <w:sdtPr>
            <w:id w:val="-25557549"/>
            <w:placeholder>
              <w:docPart w:val="2BF891C0AB704CDAB9BC6E80D556473F"/>
            </w:placeholder>
            <w:showingPlcHdr/>
            <w:text/>
          </w:sdtPr>
          <w:sdtEndPr/>
          <w:sdtContent>
            <w:tc>
              <w:tcPr>
                <w:tcW w:w="4077" w:type="dxa"/>
                <w:vAlign w:val="center"/>
              </w:tcPr>
              <w:p w14:paraId="782DE23D"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782DE23E" w14:textId="77777777" w:rsidR="007F1005" w:rsidRPr="004C23F4" w:rsidRDefault="007F1005" w:rsidP="00EB3D1B">
            <w:pPr>
              <w:pStyle w:val="Tablefont"/>
              <w:keepLines/>
            </w:pPr>
          </w:p>
        </w:tc>
      </w:tr>
    </w:tbl>
    <w:bookmarkEnd w:id="6"/>
    <w:p w14:paraId="782DE240" w14:textId="77777777" w:rsidR="00F87D92" w:rsidRDefault="00F87D92" w:rsidP="00EF7F78">
      <w:pPr>
        <w:pStyle w:val="Heading2"/>
        <w:tabs>
          <w:tab w:val="right" w:pos="8505"/>
        </w:tabs>
      </w:pPr>
      <w:r>
        <w:t>References</w:t>
      </w:r>
      <w:r w:rsidR="00EF7F78">
        <w:tab/>
      </w:r>
    </w:p>
    <w:p w14:paraId="782DE241" w14:textId="12363F47" w:rsidR="007F1005" w:rsidRPr="0017518D"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w:t>
      </w:r>
      <w:r w:rsidRPr="0017518D">
        <w:t>Documentation, CD-ROM, Single User Version. Copyright 201</w:t>
      </w:r>
      <w:r w:rsidR="00F67BBB" w:rsidRPr="0017518D">
        <w:t>8</w:t>
      </w:r>
      <w:r w:rsidRPr="0017518D">
        <w:t xml:space="preserve">. Reprinted with permission. See the </w:t>
      </w:r>
      <w:hyperlink r:id="rId11" w:history="1">
        <w:r w:rsidRPr="0017518D">
          <w:rPr>
            <w:rStyle w:val="Hyperlink"/>
            <w:i/>
            <w:color w:val="auto"/>
          </w:rPr>
          <w:t>TLVs</w:t>
        </w:r>
        <w:r w:rsidRPr="0017518D">
          <w:rPr>
            <w:rStyle w:val="Hyperlink"/>
            <w:i/>
            <w:color w:val="auto"/>
            <w:vertAlign w:val="superscript"/>
          </w:rPr>
          <w:t>®</w:t>
        </w:r>
        <w:r w:rsidRPr="0017518D">
          <w:rPr>
            <w:rStyle w:val="Hyperlink"/>
            <w:i/>
            <w:color w:val="auto"/>
          </w:rPr>
          <w:t xml:space="preserve"> and BEIs</w:t>
        </w:r>
        <w:r w:rsidRPr="0017518D">
          <w:rPr>
            <w:rStyle w:val="Hyperlink"/>
            <w:i/>
            <w:color w:val="auto"/>
            <w:vertAlign w:val="superscript"/>
          </w:rPr>
          <w:t>®</w:t>
        </w:r>
        <w:r w:rsidRPr="0017518D">
          <w:rPr>
            <w:rStyle w:val="Hyperlink"/>
            <w:i/>
            <w:color w:val="auto"/>
          </w:rPr>
          <w:t xml:space="preserve"> Guidelines section</w:t>
        </w:r>
      </w:hyperlink>
      <w:r w:rsidRPr="0017518D">
        <w:t xml:space="preserve"> on the ACGIH website.</w:t>
      </w:r>
    </w:p>
    <w:p w14:paraId="46263E8A" w14:textId="4FF714F1" w:rsidR="00110A16" w:rsidRDefault="00D4768F" w:rsidP="00084859">
      <w:r w:rsidRPr="0017518D">
        <w:t xml:space="preserve">Deutsche Forschungsgemeinschaft (DFG) (1990) </w:t>
      </w:r>
      <w:r w:rsidR="002268F4" w:rsidRPr="0017518D">
        <w:t>Organic peroxides</w:t>
      </w:r>
      <w:r w:rsidRPr="0017518D">
        <w:t xml:space="preserve"> – MAK value documentation.</w:t>
      </w:r>
    </w:p>
    <w:p w14:paraId="29DCF764" w14:textId="4A4D41FE" w:rsidR="002268F4" w:rsidRPr="0017518D" w:rsidRDefault="002942EC" w:rsidP="00084859">
      <w:r w:rsidRPr="0017518D">
        <w:t>Health Council of the Netherlands (HCOTN) (</w:t>
      </w:r>
      <w:sdt>
        <w:sdtPr>
          <w:id w:val="1546321862"/>
          <w:placeholder>
            <w:docPart w:val="6526FEF4A86D4313BAD80A7952117F60"/>
          </w:placeholder>
          <w:temporary/>
          <w:showingPlcHdr/>
        </w:sdtPr>
        <w:sdtEndPr/>
        <w:sdtContent>
          <w:r w:rsidRPr="0017518D">
            <w:rPr>
              <w:rStyle w:val="PlaceholderText"/>
              <w:color w:val="auto"/>
            </w:rPr>
            <w:t>2012</w:t>
          </w:r>
        </w:sdtContent>
      </w:sdt>
      <w:r w:rsidRPr="0017518D">
        <w:t xml:space="preserve">) </w:t>
      </w:r>
      <w:r w:rsidR="00911F67" w:rsidRPr="0017518D">
        <w:t>(Di</w:t>
      </w:r>
      <w:proofErr w:type="gramStart"/>
      <w:r w:rsidR="00911F67" w:rsidRPr="0017518D">
        <w:t>)benzoyl</w:t>
      </w:r>
      <w:proofErr w:type="gramEnd"/>
      <w:r w:rsidR="00911F67" w:rsidRPr="0017518D">
        <w:t xml:space="preserve"> peroxide</w:t>
      </w:r>
      <w:r w:rsidRPr="0017518D">
        <w:t xml:space="preserve">. Health-based calculated occupational cancer risk values. The Hague: Health Council of the Netherlands; publication no. </w:t>
      </w:r>
      <w:r w:rsidR="009E288E" w:rsidRPr="0017518D">
        <w:t>2012/24</w:t>
      </w:r>
      <w:r w:rsidRPr="0017518D">
        <w:t>.</w:t>
      </w:r>
    </w:p>
    <w:p w14:paraId="10E98E89" w14:textId="61C04E13" w:rsidR="005C79BC" w:rsidRPr="0017518D" w:rsidRDefault="005C79BC" w:rsidP="00084859">
      <w:pPr>
        <w:rPr>
          <w:b/>
        </w:rPr>
      </w:pPr>
      <w:r w:rsidRPr="0017518D">
        <w:t>International Agency for Research on Cancer (IARC) (</w:t>
      </w:r>
      <w:r w:rsidR="003313BD" w:rsidRPr="0017518D">
        <w:t>1987</w:t>
      </w:r>
      <w:r w:rsidRPr="0017518D">
        <w:t xml:space="preserve">) </w:t>
      </w:r>
      <w:r w:rsidR="00A231C3" w:rsidRPr="0017518D">
        <w:t>Benzoyl peroxide</w:t>
      </w:r>
      <w:r w:rsidRPr="0017518D">
        <w:t>. IARC Monographs on the evaluation of the carcinogenic risk to humans</w:t>
      </w:r>
      <w:r w:rsidR="00A231C3" w:rsidRPr="0017518D">
        <w:t xml:space="preserve"> volume 71.</w:t>
      </w:r>
    </w:p>
    <w:p w14:paraId="2E7AFADB" w14:textId="21577981" w:rsidR="00902A60" w:rsidRDefault="00902A60" w:rsidP="00084859">
      <w:r w:rsidRPr="0017518D">
        <w:lastRenderedPageBreak/>
        <w:t xml:space="preserve">National Industrial Chemicals Notification and Assessment Scheme (NICNAS) (2016) </w:t>
      </w:r>
      <w:r w:rsidR="00D97547" w:rsidRPr="0017518D">
        <w:t>Peroxide, dibenzoyl</w:t>
      </w:r>
      <w:r w:rsidRPr="0017518D">
        <w:t xml:space="preserve">: Human health </w:t>
      </w:r>
      <w:sdt>
        <w:sdtPr>
          <w:id w:val="-1295753243"/>
          <w:placeholder>
            <w:docPart w:val="AEFDAD4A643041FD80D8F27DF279883A"/>
          </w:placeholder>
          <w:temporary/>
          <w:showingPlcHdr/>
        </w:sdtPr>
        <w:sdtEndPr/>
        <w:sdtContent>
          <w:r w:rsidRPr="0017518D">
            <w:t>tier II</w:t>
          </w:r>
        </w:sdtContent>
      </w:sdt>
      <w:r w:rsidRPr="0017518D">
        <w:t xml:space="preserve"> assessment – IMAP report.</w:t>
      </w:r>
    </w:p>
    <w:p w14:paraId="6F4A6A0A" w14:textId="19ED19C0" w:rsidR="007F7106" w:rsidRPr="007F7106" w:rsidRDefault="007F7106" w:rsidP="00084859">
      <w:r>
        <w:rPr>
          <w:color w:val="000000"/>
        </w:rPr>
        <w:t>Tenth Adaptation to Technical Progress Commission Regulation (EU) No 2017/776 amending, for the purposes of its adaptation to technical and scientific progress, Regulation (EC) No 1272/2008 of the European Parliament and of the Council on classification, labelling and packaging of substances and mixtures (the CLP Regulation).</w:t>
      </w:r>
    </w:p>
    <w:p w14:paraId="37193EB1" w14:textId="347A6B8F" w:rsidR="00DE7367" w:rsidRPr="0017518D" w:rsidRDefault="00DE7367" w:rsidP="00084859">
      <w:r w:rsidRPr="0017518D">
        <w:t>US National Institute for Occupational Safety and Health (NIOSH) (</w:t>
      </w:r>
      <w:sdt>
        <w:sdtPr>
          <w:id w:val="-1194999823"/>
          <w:placeholder>
            <w:docPart w:val="41A66CE3A1074544A52FF97976329E1D"/>
          </w:placeholder>
          <w:temporary/>
          <w:showingPlcHdr/>
        </w:sdtPr>
        <w:sdtEndPr/>
        <w:sdtContent>
          <w:r w:rsidRPr="0017518D">
            <w:t>1994</w:t>
          </w:r>
        </w:sdtContent>
      </w:sdt>
      <w:r w:rsidRPr="0017518D">
        <w:t xml:space="preserve">) Immediately dangerous to life or health concentrations – </w:t>
      </w:r>
      <w:r w:rsidR="00E16F9A" w:rsidRPr="0017518D">
        <w:t>Benzoyl peroxide</w:t>
      </w:r>
      <w:r w:rsidRPr="0017518D">
        <w:t>.</w:t>
      </w:r>
    </w:p>
    <w:sectPr w:rsidR="00DE7367" w:rsidRPr="0017518D" w:rsidSect="008A01F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8C78" w14:textId="77777777" w:rsidR="009B6AD1" w:rsidRDefault="009B6AD1" w:rsidP="00F43AD5">
      <w:pPr>
        <w:spacing w:after="0" w:line="240" w:lineRule="auto"/>
      </w:pPr>
      <w:r>
        <w:separator/>
      </w:r>
    </w:p>
  </w:endnote>
  <w:endnote w:type="continuationSeparator" w:id="0">
    <w:p w14:paraId="51160A91" w14:textId="77777777" w:rsidR="009B6AD1" w:rsidRDefault="009B6AD1"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3E847" w14:textId="77777777" w:rsidR="008A01FD" w:rsidRDefault="008A0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F95D3" w14:textId="77777777" w:rsidR="008A01FD" w:rsidRDefault="008A01FD" w:rsidP="008A01FD">
    <w:pPr>
      <w:pStyle w:val="Header"/>
      <w:jc w:val="right"/>
    </w:pPr>
  </w:p>
  <w:p w14:paraId="43AF3CE8" w14:textId="77777777" w:rsidR="008A01FD" w:rsidRDefault="008A01FD" w:rsidP="008A01FD">
    <w:pPr>
      <w:pStyle w:val="Footer"/>
      <w:rPr>
        <w:sz w:val="18"/>
        <w:szCs w:val="18"/>
      </w:rPr>
    </w:pPr>
    <w:r>
      <w:rPr>
        <w:b/>
        <w:sz w:val="18"/>
        <w:szCs w:val="18"/>
      </w:rPr>
      <w:t>Benzoyl peroxide (94-36-0)</w:t>
    </w:r>
    <w:r w:rsidRPr="00F43AD5">
      <w:rPr>
        <w:sz w:val="18"/>
        <w:szCs w:val="18"/>
      </w:rPr>
      <w:br/>
      <w:t xml:space="preserve">Safe Work Australia </w:t>
    </w:r>
    <w:r w:rsidRPr="00F43AD5">
      <w:rPr>
        <w:rFonts w:ascii="Courier New" w:hAnsi="Courier New" w:cs="Courier New"/>
        <w:sz w:val="18"/>
        <w:szCs w:val="18"/>
      </w:rPr>
      <w:t>—</w:t>
    </w:r>
    <w:r w:rsidRPr="00F43AD5">
      <w:rPr>
        <w:sz w:val="18"/>
        <w:szCs w:val="18"/>
      </w:rPr>
      <w:t xml:space="preserve"> 201</w:t>
    </w:r>
    <w:r>
      <w:rPr>
        <w:sz w:val="18"/>
        <w:szCs w:val="18"/>
      </w:rPr>
      <w:t>9</w:t>
    </w:r>
  </w:p>
  <w:sdt>
    <w:sdtPr>
      <w:id w:val="-939602790"/>
      <w:docPartObj>
        <w:docPartGallery w:val="Page Numbers (Bottom of Page)"/>
        <w:docPartUnique/>
      </w:docPartObj>
    </w:sdtPr>
    <w:sdtEndPr>
      <w:rPr>
        <w:noProof/>
      </w:rPr>
    </w:sdtEndPr>
    <w:sdtContent>
      <w:p w14:paraId="6C3E04FB" w14:textId="32CF4802" w:rsidR="008A01FD" w:rsidRDefault="008A01FD">
        <w:pPr>
          <w:pStyle w:val="Footer"/>
          <w:jc w:val="right"/>
        </w:pPr>
        <w:r>
          <w:fldChar w:fldCharType="begin"/>
        </w:r>
        <w:r>
          <w:instrText xml:space="preserve"> PAGE   \* MERGEFORMAT </w:instrText>
        </w:r>
        <w:r>
          <w:fldChar w:fldCharType="separate"/>
        </w:r>
        <w:r w:rsidR="001705DD">
          <w:rPr>
            <w:noProof/>
          </w:rPr>
          <w:t>6</w:t>
        </w:r>
        <w:r>
          <w:rPr>
            <w:noProof/>
          </w:rPr>
          <w:fldChar w:fldCharType="end"/>
        </w:r>
      </w:p>
    </w:sdtContent>
  </w:sdt>
  <w:p w14:paraId="3542EBF1" w14:textId="07DBAFC0" w:rsidR="00AA5807" w:rsidRPr="00400EC9" w:rsidRDefault="00AA5807" w:rsidP="00400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73D27" w14:textId="77777777" w:rsidR="00713ECF" w:rsidRDefault="00713ECF" w:rsidP="00713ECF">
    <w:pPr>
      <w:pStyle w:val="Footer"/>
      <w:rPr>
        <w:sz w:val="18"/>
        <w:szCs w:val="18"/>
      </w:rPr>
    </w:pPr>
    <w:r>
      <w:rPr>
        <w:b/>
        <w:sz w:val="18"/>
        <w:szCs w:val="18"/>
      </w:rPr>
      <w:t>Benzoyl peroxide (94-36-0)</w:t>
    </w:r>
    <w:r w:rsidRPr="00F43AD5">
      <w:rPr>
        <w:sz w:val="18"/>
        <w:szCs w:val="18"/>
      </w:rPr>
      <w:br/>
      <w:t xml:space="preserve">Safe Work Australia </w:t>
    </w:r>
    <w:r w:rsidRPr="00F43AD5">
      <w:rPr>
        <w:rFonts w:ascii="Courier New" w:hAnsi="Courier New" w:cs="Courier New"/>
        <w:sz w:val="18"/>
        <w:szCs w:val="18"/>
      </w:rPr>
      <w:t>—</w:t>
    </w:r>
    <w:r w:rsidRPr="00F43AD5">
      <w:rPr>
        <w:sz w:val="18"/>
        <w:szCs w:val="18"/>
      </w:rPr>
      <w:t xml:space="preserve"> 201</w:t>
    </w:r>
    <w:r>
      <w:rPr>
        <w:sz w:val="18"/>
        <w:szCs w:val="18"/>
      </w:rPr>
      <w:t>9</w:t>
    </w:r>
  </w:p>
  <w:p w14:paraId="078780EE" w14:textId="77777777" w:rsidR="00713ECF" w:rsidRDefault="00713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C5FCF" w14:textId="77777777" w:rsidR="009B6AD1" w:rsidRDefault="009B6AD1" w:rsidP="00F43AD5">
      <w:pPr>
        <w:spacing w:after="0" w:line="240" w:lineRule="auto"/>
      </w:pPr>
      <w:r>
        <w:separator/>
      </w:r>
    </w:p>
  </w:footnote>
  <w:footnote w:type="continuationSeparator" w:id="0">
    <w:p w14:paraId="0BEDB142" w14:textId="77777777" w:rsidR="009B6AD1" w:rsidRDefault="009B6AD1"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6D0B" w14:textId="77777777" w:rsidR="008A01FD" w:rsidRDefault="008A0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E249" w14:textId="34946517" w:rsidR="008A36CF" w:rsidRDefault="001705DD" w:rsidP="00F43AD5">
    <w:pPr>
      <w:pStyle w:val="Header"/>
      <w:jc w:val="right"/>
    </w:pPr>
    <w:sdt>
      <w:sdtPr>
        <w:id w:val="-1555461808"/>
        <w:docPartObj>
          <w:docPartGallery w:val="Watermarks"/>
          <w:docPartUnique/>
        </w:docPartObj>
      </w:sdtPr>
      <w:sdtEndPr/>
      <w:sdtContent>
        <w:r>
          <w:rPr>
            <w:noProof/>
            <w:lang w:val="en-US"/>
          </w:rPr>
          <w:pict w14:anchorId="6F021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A01FD">
      <w:rPr>
        <w:noProof/>
        <w:lang w:eastAsia="en-AU"/>
      </w:rPr>
      <w:drawing>
        <wp:inline distT="0" distB="0" distL="0" distR="0" wp14:anchorId="0A7481F9" wp14:editId="32AAF1A5">
          <wp:extent cx="2938780" cy="597535"/>
          <wp:effectExtent l="0" t="0" r="0" b="0"/>
          <wp:docPr id="1" name="Picture 1" descr="Safe work austr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8780" cy="597535"/>
                  </a:xfrm>
                  <a:prstGeom prst="rect">
                    <a:avLst/>
                  </a:prstGeom>
                  <a:noFill/>
                </pic:spPr>
              </pic:pic>
            </a:graphicData>
          </a:graphic>
        </wp:inline>
      </w:drawing>
    </w:r>
  </w:p>
  <w:p w14:paraId="52B6D925" w14:textId="77777777" w:rsidR="008A01FD" w:rsidRDefault="008A01FD" w:rsidP="00F43AD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0027F" w14:textId="66A33B08" w:rsidR="00713ECF" w:rsidRDefault="00713ECF" w:rsidP="00713ECF">
    <w:pPr>
      <w:pStyle w:val="Header"/>
      <w:jc w:val="right"/>
    </w:pPr>
    <w:r>
      <w:rPr>
        <w:noProof/>
        <w:lang w:eastAsia="en-AU"/>
      </w:rPr>
      <w:drawing>
        <wp:inline distT="0" distB="0" distL="0" distR="0" wp14:anchorId="7CF9F45C" wp14:editId="21367047">
          <wp:extent cx="2938780" cy="597535"/>
          <wp:effectExtent l="0" t="0" r="0" b="0"/>
          <wp:docPr id="3" name="Picture 3" descr="Safe work austr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8780" cy="5975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35CE2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3E4139"/>
    <w:multiLevelType w:val="hybridMultilevel"/>
    <w:tmpl w:val="E59E9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92150C"/>
    <w:multiLevelType w:val="hybridMultilevel"/>
    <w:tmpl w:val="5C2EC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D814E5"/>
    <w:multiLevelType w:val="hybridMultilevel"/>
    <w:tmpl w:val="7E88989A"/>
    <w:lvl w:ilvl="0" w:tplc="04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E67482"/>
    <w:multiLevelType w:val="hybridMultilevel"/>
    <w:tmpl w:val="E6F4C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64250D"/>
    <w:multiLevelType w:val="hybridMultilevel"/>
    <w:tmpl w:val="4F96A6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F462FD"/>
    <w:multiLevelType w:val="hybridMultilevel"/>
    <w:tmpl w:val="983CB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F2697A"/>
    <w:multiLevelType w:val="hybridMultilevel"/>
    <w:tmpl w:val="82348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565667"/>
    <w:multiLevelType w:val="hybridMultilevel"/>
    <w:tmpl w:val="C93444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95053D"/>
    <w:multiLevelType w:val="hybridMultilevel"/>
    <w:tmpl w:val="6994B51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7"/>
  </w:num>
  <w:num w:numId="6">
    <w:abstractNumId w:val="2"/>
  </w:num>
  <w:num w:numId="7">
    <w:abstractNumId w:val="1"/>
  </w:num>
  <w:num w:numId="8">
    <w:abstractNumId w:val="0"/>
  </w:num>
  <w:num w:numId="9">
    <w:abstractNumId w:val="3"/>
  </w:num>
  <w:num w:numId="10">
    <w:abstractNumId w:val="0"/>
  </w:num>
  <w:num w:numId="11">
    <w:abstractNumId w:val="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AppendixName" w:val="Appendix"/>
  </w:docVars>
  <w:rsids>
    <w:rsidRoot w:val="00610F2E"/>
    <w:rsid w:val="00000109"/>
    <w:rsid w:val="00007072"/>
    <w:rsid w:val="00007B80"/>
    <w:rsid w:val="00012D09"/>
    <w:rsid w:val="00013A22"/>
    <w:rsid w:val="00014C3F"/>
    <w:rsid w:val="000174E7"/>
    <w:rsid w:val="00017BC7"/>
    <w:rsid w:val="00017C82"/>
    <w:rsid w:val="000226FA"/>
    <w:rsid w:val="00032B88"/>
    <w:rsid w:val="0003676D"/>
    <w:rsid w:val="0003677C"/>
    <w:rsid w:val="00037208"/>
    <w:rsid w:val="00044832"/>
    <w:rsid w:val="00046DF5"/>
    <w:rsid w:val="00052060"/>
    <w:rsid w:val="0005388E"/>
    <w:rsid w:val="0005574A"/>
    <w:rsid w:val="00055FE1"/>
    <w:rsid w:val="00056CA5"/>
    <w:rsid w:val="00056EC2"/>
    <w:rsid w:val="00060B48"/>
    <w:rsid w:val="00067F32"/>
    <w:rsid w:val="00071807"/>
    <w:rsid w:val="000803E1"/>
    <w:rsid w:val="00082D62"/>
    <w:rsid w:val="00084513"/>
    <w:rsid w:val="00084859"/>
    <w:rsid w:val="00092D94"/>
    <w:rsid w:val="000B0868"/>
    <w:rsid w:val="000B37E0"/>
    <w:rsid w:val="000B3E12"/>
    <w:rsid w:val="000B3E78"/>
    <w:rsid w:val="000B7B48"/>
    <w:rsid w:val="000C096D"/>
    <w:rsid w:val="000C139A"/>
    <w:rsid w:val="000C2053"/>
    <w:rsid w:val="000C248C"/>
    <w:rsid w:val="000C49F3"/>
    <w:rsid w:val="000D0649"/>
    <w:rsid w:val="000D0A2C"/>
    <w:rsid w:val="000D11B4"/>
    <w:rsid w:val="000D291C"/>
    <w:rsid w:val="000E31AD"/>
    <w:rsid w:val="000E43F1"/>
    <w:rsid w:val="000E5A54"/>
    <w:rsid w:val="000E63D3"/>
    <w:rsid w:val="000E67CF"/>
    <w:rsid w:val="000F50D6"/>
    <w:rsid w:val="0010154F"/>
    <w:rsid w:val="0010461E"/>
    <w:rsid w:val="00104CD6"/>
    <w:rsid w:val="00106FAA"/>
    <w:rsid w:val="0011023D"/>
    <w:rsid w:val="00110A16"/>
    <w:rsid w:val="00113443"/>
    <w:rsid w:val="00123251"/>
    <w:rsid w:val="00123C52"/>
    <w:rsid w:val="00123F33"/>
    <w:rsid w:val="001269A7"/>
    <w:rsid w:val="0013050B"/>
    <w:rsid w:val="00131092"/>
    <w:rsid w:val="00140E6A"/>
    <w:rsid w:val="00146545"/>
    <w:rsid w:val="00146B75"/>
    <w:rsid w:val="0015266D"/>
    <w:rsid w:val="0015288A"/>
    <w:rsid w:val="00154D35"/>
    <w:rsid w:val="00160F47"/>
    <w:rsid w:val="001705DD"/>
    <w:rsid w:val="00170A6C"/>
    <w:rsid w:val="001716EB"/>
    <w:rsid w:val="00172399"/>
    <w:rsid w:val="0017411D"/>
    <w:rsid w:val="001743F9"/>
    <w:rsid w:val="00174F30"/>
    <w:rsid w:val="0017518D"/>
    <w:rsid w:val="0017571C"/>
    <w:rsid w:val="00175B63"/>
    <w:rsid w:val="00177CA1"/>
    <w:rsid w:val="00183823"/>
    <w:rsid w:val="00183942"/>
    <w:rsid w:val="0019333D"/>
    <w:rsid w:val="001A009E"/>
    <w:rsid w:val="001A08F8"/>
    <w:rsid w:val="001A1287"/>
    <w:rsid w:val="001A3859"/>
    <w:rsid w:val="001A3C9D"/>
    <w:rsid w:val="001A43F8"/>
    <w:rsid w:val="001A494C"/>
    <w:rsid w:val="001B71F7"/>
    <w:rsid w:val="001B79E5"/>
    <w:rsid w:val="001C34C0"/>
    <w:rsid w:val="001D569D"/>
    <w:rsid w:val="001D56F0"/>
    <w:rsid w:val="001D663B"/>
    <w:rsid w:val="001D7B41"/>
    <w:rsid w:val="001E05DC"/>
    <w:rsid w:val="001E46DA"/>
    <w:rsid w:val="001E75AB"/>
    <w:rsid w:val="001E7D80"/>
    <w:rsid w:val="001E7E60"/>
    <w:rsid w:val="001F2E81"/>
    <w:rsid w:val="001F4B6C"/>
    <w:rsid w:val="001F62CB"/>
    <w:rsid w:val="001F6ED0"/>
    <w:rsid w:val="001F72E6"/>
    <w:rsid w:val="001F73C5"/>
    <w:rsid w:val="0020166C"/>
    <w:rsid w:val="002046A6"/>
    <w:rsid w:val="00204956"/>
    <w:rsid w:val="00211269"/>
    <w:rsid w:val="00213640"/>
    <w:rsid w:val="00217C8A"/>
    <w:rsid w:val="00221547"/>
    <w:rsid w:val="002216FC"/>
    <w:rsid w:val="00222533"/>
    <w:rsid w:val="00222F30"/>
    <w:rsid w:val="00223EF7"/>
    <w:rsid w:val="00224938"/>
    <w:rsid w:val="00224EE2"/>
    <w:rsid w:val="002268F4"/>
    <w:rsid w:val="00227EC7"/>
    <w:rsid w:val="00233A49"/>
    <w:rsid w:val="00243F00"/>
    <w:rsid w:val="002444D6"/>
    <w:rsid w:val="00244AD1"/>
    <w:rsid w:val="002463BC"/>
    <w:rsid w:val="002465CE"/>
    <w:rsid w:val="00255109"/>
    <w:rsid w:val="0025734A"/>
    <w:rsid w:val="00257C76"/>
    <w:rsid w:val="002612C5"/>
    <w:rsid w:val="00263255"/>
    <w:rsid w:val="0027578C"/>
    <w:rsid w:val="00276494"/>
    <w:rsid w:val="00277B0C"/>
    <w:rsid w:val="00280BB8"/>
    <w:rsid w:val="0028208C"/>
    <w:rsid w:val="002832DE"/>
    <w:rsid w:val="00283704"/>
    <w:rsid w:val="002843AB"/>
    <w:rsid w:val="00286A4D"/>
    <w:rsid w:val="00292A65"/>
    <w:rsid w:val="002942EC"/>
    <w:rsid w:val="002A44AF"/>
    <w:rsid w:val="002B1A2C"/>
    <w:rsid w:val="002B573E"/>
    <w:rsid w:val="002C34F2"/>
    <w:rsid w:val="002C58FF"/>
    <w:rsid w:val="002C65C5"/>
    <w:rsid w:val="002C7AFE"/>
    <w:rsid w:val="002D05D2"/>
    <w:rsid w:val="002D2878"/>
    <w:rsid w:val="002D4501"/>
    <w:rsid w:val="002D509A"/>
    <w:rsid w:val="002E0286"/>
    <w:rsid w:val="002E05A9"/>
    <w:rsid w:val="002E0D61"/>
    <w:rsid w:val="002E4C7B"/>
    <w:rsid w:val="002F28DA"/>
    <w:rsid w:val="002F2939"/>
    <w:rsid w:val="002F5F3F"/>
    <w:rsid w:val="003057FF"/>
    <w:rsid w:val="0030740C"/>
    <w:rsid w:val="00315833"/>
    <w:rsid w:val="003215EE"/>
    <w:rsid w:val="003224BF"/>
    <w:rsid w:val="003241A8"/>
    <w:rsid w:val="003253F0"/>
    <w:rsid w:val="003313BD"/>
    <w:rsid w:val="003337DA"/>
    <w:rsid w:val="00334EFB"/>
    <w:rsid w:val="00335CDE"/>
    <w:rsid w:val="003365A5"/>
    <w:rsid w:val="00336D3B"/>
    <w:rsid w:val="00342109"/>
    <w:rsid w:val="00342A88"/>
    <w:rsid w:val="00344995"/>
    <w:rsid w:val="00346C2B"/>
    <w:rsid w:val="00347192"/>
    <w:rsid w:val="0034744C"/>
    <w:rsid w:val="00351FE0"/>
    <w:rsid w:val="00352615"/>
    <w:rsid w:val="0035412B"/>
    <w:rsid w:val="003567A8"/>
    <w:rsid w:val="003578C4"/>
    <w:rsid w:val="00362895"/>
    <w:rsid w:val="003629D6"/>
    <w:rsid w:val="00370DBF"/>
    <w:rsid w:val="00382CED"/>
    <w:rsid w:val="00386093"/>
    <w:rsid w:val="0038675F"/>
    <w:rsid w:val="003904A4"/>
    <w:rsid w:val="00391841"/>
    <w:rsid w:val="00391B6D"/>
    <w:rsid w:val="00394922"/>
    <w:rsid w:val="003A0E32"/>
    <w:rsid w:val="003A0F77"/>
    <w:rsid w:val="003A2B94"/>
    <w:rsid w:val="003A3C26"/>
    <w:rsid w:val="003A400A"/>
    <w:rsid w:val="003B3502"/>
    <w:rsid w:val="003B387D"/>
    <w:rsid w:val="003C0D58"/>
    <w:rsid w:val="003C27F8"/>
    <w:rsid w:val="003C2F35"/>
    <w:rsid w:val="003D0DC1"/>
    <w:rsid w:val="003D4FA3"/>
    <w:rsid w:val="003E0807"/>
    <w:rsid w:val="003E47DD"/>
    <w:rsid w:val="003E51FB"/>
    <w:rsid w:val="003E6B39"/>
    <w:rsid w:val="003E79AA"/>
    <w:rsid w:val="003F07E1"/>
    <w:rsid w:val="003F4007"/>
    <w:rsid w:val="00400593"/>
    <w:rsid w:val="00400EC9"/>
    <w:rsid w:val="004030BC"/>
    <w:rsid w:val="0040329E"/>
    <w:rsid w:val="00403F7D"/>
    <w:rsid w:val="00406785"/>
    <w:rsid w:val="004079B4"/>
    <w:rsid w:val="004164B1"/>
    <w:rsid w:val="00417A56"/>
    <w:rsid w:val="00420957"/>
    <w:rsid w:val="00422A10"/>
    <w:rsid w:val="00424B76"/>
    <w:rsid w:val="0043007D"/>
    <w:rsid w:val="00430179"/>
    <w:rsid w:val="00436048"/>
    <w:rsid w:val="004414B5"/>
    <w:rsid w:val="0044292B"/>
    <w:rsid w:val="00444482"/>
    <w:rsid w:val="00444B42"/>
    <w:rsid w:val="00445E44"/>
    <w:rsid w:val="004509E2"/>
    <w:rsid w:val="004515EE"/>
    <w:rsid w:val="004529F0"/>
    <w:rsid w:val="00460A03"/>
    <w:rsid w:val="00461F96"/>
    <w:rsid w:val="00466558"/>
    <w:rsid w:val="00470E5F"/>
    <w:rsid w:val="004717F1"/>
    <w:rsid w:val="00472A11"/>
    <w:rsid w:val="00472AAD"/>
    <w:rsid w:val="00474E33"/>
    <w:rsid w:val="00476803"/>
    <w:rsid w:val="004825BC"/>
    <w:rsid w:val="00485BFD"/>
    <w:rsid w:val="004867A2"/>
    <w:rsid w:val="004873F2"/>
    <w:rsid w:val="00490D4C"/>
    <w:rsid w:val="004933EF"/>
    <w:rsid w:val="00493A35"/>
    <w:rsid w:val="0049527A"/>
    <w:rsid w:val="004966BF"/>
    <w:rsid w:val="00497984"/>
    <w:rsid w:val="004A5088"/>
    <w:rsid w:val="004A7735"/>
    <w:rsid w:val="004C1E3F"/>
    <w:rsid w:val="004C23F4"/>
    <w:rsid w:val="004C3339"/>
    <w:rsid w:val="004C3475"/>
    <w:rsid w:val="004C58B6"/>
    <w:rsid w:val="004D16A3"/>
    <w:rsid w:val="004D4AA1"/>
    <w:rsid w:val="004D6D68"/>
    <w:rsid w:val="004D79EA"/>
    <w:rsid w:val="004E5EDD"/>
    <w:rsid w:val="004F448A"/>
    <w:rsid w:val="004F493D"/>
    <w:rsid w:val="004F65E8"/>
    <w:rsid w:val="0050005E"/>
    <w:rsid w:val="0050256A"/>
    <w:rsid w:val="0050298E"/>
    <w:rsid w:val="00502B88"/>
    <w:rsid w:val="0050304C"/>
    <w:rsid w:val="00504C04"/>
    <w:rsid w:val="005142C4"/>
    <w:rsid w:val="00514785"/>
    <w:rsid w:val="0051509C"/>
    <w:rsid w:val="00515432"/>
    <w:rsid w:val="005272E2"/>
    <w:rsid w:val="0053108F"/>
    <w:rsid w:val="00532B56"/>
    <w:rsid w:val="00534B10"/>
    <w:rsid w:val="00541FE3"/>
    <w:rsid w:val="005446A2"/>
    <w:rsid w:val="00544D2F"/>
    <w:rsid w:val="00550056"/>
    <w:rsid w:val="005512D8"/>
    <w:rsid w:val="00551BD8"/>
    <w:rsid w:val="0057760F"/>
    <w:rsid w:val="00581055"/>
    <w:rsid w:val="00583E05"/>
    <w:rsid w:val="00591E38"/>
    <w:rsid w:val="005A19C5"/>
    <w:rsid w:val="005A3034"/>
    <w:rsid w:val="005A462D"/>
    <w:rsid w:val="005A47DD"/>
    <w:rsid w:val="005A7D87"/>
    <w:rsid w:val="005B253B"/>
    <w:rsid w:val="005B43AE"/>
    <w:rsid w:val="005B771D"/>
    <w:rsid w:val="005B7864"/>
    <w:rsid w:val="005C5D16"/>
    <w:rsid w:val="005C79BC"/>
    <w:rsid w:val="005C7E8D"/>
    <w:rsid w:val="005D00BD"/>
    <w:rsid w:val="005D1A98"/>
    <w:rsid w:val="005D3193"/>
    <w:rsid w:val="005D4A6E"/>
    <w:rsid w:val="005E6979"/>
    <w:rsid w:val="005E6CF3"/>
    <w:rsid w:val="005E700B"/>
    <w:rsid w:val="005E75CB"/>
    <w:rsid w:val="005F5198"/>
    <w:rsid w:val="005F6EDB"/>
    <w:rsid w:val="006013C1"/>
    <w:rsid w:val="0060669E"/>
    <w:rsid w:val="00610F2E"/>
    <w:rsid w:val="00611399"/>
    <w:rsid w:val="006145D6"/>
    <w:rsid w:val="00622628"/>
    <w:rsid w:val="006229EF"/>
    <w:rsid w:val="00624C4E"/>
    <w:rsid w:val="00625200"/>
    <w:rsid w:val="00625951"/>
    <w:rsid w:val="006363A8"/>
    <w:rsid w:val="00636DB7"/>
    <w:rsid w:val="00643384"/>
    <w:rsid w:val="006440BD"/>
    <w:rsid w:val="00650905"/>
    <w:rsid w:val="00650F6A"/>
    <w:rsid w:val="006532ED"/>
    <w:rsid w:val="00654841"/>
    <w:rsid w:val="006549F2"/>
    <w:rsid w:val="006567B7"/>
    <w:rsid w:val="00657BFB"/>
    <w:rsid w:val="0066333C"/>
    <w:rsid w:val="006639B4"/>
    <w:rsid w:val="006650FE"/>
    <w:rsid w:val="0067179E"/>
    <w:rsid w:val="0067305D"/>
    <w:rsid w:val="0067379E"/>
    <w:rsid w:val="006739D4"/>
    <w:rsid w:val="00675B66"/>
    <w:rsid w:val="00676969"/>
    <w:rsid w:val="00677D9B"/>
    <w:rsid w:val="006867F3"/>
    <w:rsid w:val="00687890"/>
    <w:rsid w:val="006901A2"/>
    <w:rsid w:val="00690368"/>
    <w:rsid w:val="0069079C"/>
    <w:rsid w:val="00690B53"/>
    <w:rsid w:val="006924B9"/>
    <w:rsid w:val="00695B72"/>
    <w:rsid w:val="00696A8C"/>
    <w:rsid w:val="006A595C"/>
    <w:rsid w:val="006B160A"/>
    <w:rsid w:val="006B4E6C"/>
    <w:rsid w:val="006B50B6"/>
    <w:rsid w:val="006B58CC"/>
    <w:rsid w:val="006C2392"/>
    <w:rsid w:val="006D08B4"/>
    <w:rsid w:val="006D6836"/>
    <w:rsid w:val="006D79EA"/>
    <w:rsid w:val="006E01FE"/>
    <w:rsid w:val="006E24EA"/>
    <w:rsid w:val="006E5D05"/>
    <w:rsid w:val="006F2C3F"/>
    <w:rsid w:val="00701053"/>
    <w:rsid w:val="00701507"/>
    <w:rsid w:val="0070443E"/>
    <w:rsid w:val="00713ECF"/>
    <w:rsid w:val="00714021"/>
    <w:rsid w:val="00716A0F"/>
    <w:rsid w:val="00717D45"/>
    <w:rsid w:val="007200FB"/>
    <w:rsid w:val="007208F7"/>
    <w:rsid w:val="007218AF"/>
    <w:rsid w:val="00726B85"/>
    <w:rsid w:val="007365D1"/>
    <w:rsid w:val="007366CD"/>
    <w:rsid w:val="00740E0E"/>
    <w:rsid w:val="00740F54"/>
    <w:rsid w:val="007447A5"/>
    <w:rsid w:val="00750212"/>
    <w:rsid w:val="00751C7E"/>
    <w:rsid w:val="00754779"/>
    <w:rsid w:val="0075716D"/>
    <w:rsid w:val="00761C0B"/>
    <w:rsid w:val="007655FA"/>
    <w:rsid w:val="00765F14"/>
    <w:rsid w:val="00770E31"/>
    <w:rsid w:val="00770FC2"/>
    <w:rsid w:val="00772E8A"/>
    <w:rsid w:val="007770F1"/>
    <w:rsid w:val="007819F7"/>
    <w:rsid w:val="00783FB1"/>
    <w:rsid w:val="00785CDD"/>
    <w:rsid w:val="00786565"/>
    <w:rsid w:val="00791847"/>
    <w:rsid w:val="00792346"/>
    <w:rsid w:val="007925F0"/>
    <w:rsid w:val="007939B3"/>
    <w:rsid w:val="0079509C"/>
    <w:rsid w:val="00796708"/>
    <w:rsid w:val="007A7B65"/>
    <w:rsid w:val="007B1195"/>
    <w:rsid w:val="007B1B42"/>
    <w:rsid w:val="007B2A2A"/>
    <w:rsid w:val="007B3146"/>
    <w:rsid w:val="007C014B"/>
    <w:rsid w:val="007C0B0B"/>
    <w:rsid w:val="007C30EB"/>
    <w:rsid w:val="007E063C"/>
    <w:rsid w:val="007E2A4B"/>
    <w:rsid w:val="007E307D"/>
    <w:rsid w:val="007E55C9"/>
    <w:rsid w:val="007E6A4E"/>
    <w:rsid w:val="007E6C94"/>
    <w:rsid w:val="007F0260"/>
    <w:rsid w:val="007F1005"/>
    <w:rsid w:val="007F25E0"/>
    <w:rsid w:val="007F5328"/>
    <w:rsid w:val="007F7106"/>
    <w:rsid w:val="00804F5A"/>
    <w:rsid w:val="00806139"/>
    <w:rsid w:val="00807434"/>
    <w:rsid w:val="00810C6D"/>
    <w:rsid w:val="00812887"/>
    <w:rsid w:val="00821B1D"/>
    <w:rsid w:val="008257A0"/>
    <w:rsid w:val="00826F21"/>
    <w:rsid w:val="008333CC"/>
    <w:rsid w:val="00834CC8"/>
    <w:rsid w:val="00835E00"/>
    <w:rsid w:val="00837113"/>
    <w:rsid w:val="008414E4"/>
    <w:rsid w:val="00843E21"/>
    <w:rsid w:val="00844F20"/>
    <w:rsid w:val="0084508E"/>
    <w:rsid w:val="00846AC2"/>
    <w:rsid w:val="00857A8A"/>
    <w:rsid w:val="008630EE"/>
    <w:rsid w:val="00864D13"/>
    <w:rsid w:val="00870E02"/>
    <w:rsid w:val="00871CD5"/>
    <w:rsid w:val="00872227"/>
    <w:rsid w:val="008745A2"/>
    <w:rsid w:val="008768A8"/>
    <w:rsid w:val="00886906"/>
    <w:rsid w:val="008871F2"/>
    <w:rsid w:val="00887712"/>
    <w:rsid w:val="0088798F"/>
    <w:rsid w:val="00887E4B"/>
    <w:rsid w:val="008915C8"/>
    <w:rsid w:val="00894F2A"/>
    <w:rsid w:val="008A01FD"/>
    <w:rsid w:val="008A36CF"/>
    <w:rsid w:val="008A3BC4"/>
    <w:rsid w:val="008A738B"/>
    <w:rsid w:val="008B403C"/>
    <w:rsid w:val="008B7983"/>
    <w:rsid w:val="008C2511"/>
    <w:rsid w:val="008C2F15"/>
    <w:rsid w:val="008C5FE1"/>
    <w:rsid w:val="008D026D"/>
    <w:rsid w:val="008D23AB"/>
    <w:rsid w:val="008D36F7"/>
    <w:rsid w:val="008D4B8B"/>
    <w:rsid w:val="008D5A78"/>
    <w:rsid w:val="008D68B9"/>
    <w:rsid w:val="008E03A9"/>
    <w:rsid w:val="008E6AB7"/>
    <w:rsid w:val="008E7B64"/>
    <w:rsid w:val="008E7D2E"/>
    <w:rsid w:val="008F12B9"/>
    <w:rsid w:val="008F5DCD"/>
    <w:rsid w:val="00900951"/>
    <w:rsid w:val="00902A60"/>
    <w:rsid w:val="00906B54"/>
    <w:rsid w:val="009118A6"/>
    <w:rsid w:val="00911F67"/>
    <w:rsid w:val="009124C7"/>
    <w:rsid w:val="00913251"/>
    <w:rsid w:val="00916909"/>
    <w:rsid w:val="00916EC0"/>
    <w:rsid w:val="00920467"/>
    <w:rsid w:val="00921CED"/>
    <w:rsid w:val="00921DE7"/>
    <w:rsid w:val="0092451C"/>
    <w:rsid w:val="0093041A"/>
    <w:rsid w:val="00930714"/>
    <w:rsid w:val="00931B03"/>
    <w:rsid w:val="009323B9"/>
    <w:rsid w:val="00932DCE"/>
    <w:rsid w:val="0093327E"/>
    <w:rsid w:val="00934028"/>
    <w:rsid w:val="0093760E"/>
    <w:rsid w:val="00940EB7"/>
    <w:rsid w:val="00946044"/>
    <w:rsid w:val="0094660B"/>
    <w:rsid w:val="00946A33"/>
    <w:rsid w:val="0095260E"/>
    <w:rsid w:val="009578DD"/>
    <w:rsid w:val="00961124"/>
    <w:rsid w:val="009621B6"/>
    <w:rsid w:val="009641AF"/>
    <w:rsid w:val="0096730E"/>
    <w:rsid w:val="00974F2D"/>
    <w:rsid w:val="00977524"/>
    <w:rsid w:val="00977E88"/>
    <w:rsid w:val="00982DB7"/>
    <w:rsid w:val="00984920"/>
    <w:rsid w:val="009874A2"/>
    <w:rsid w:val="0099013C"/>
    <w:rsid w:val="009912A4"/>
    <w:rsid w:val="00991414"/>
    <w:rsid w:val="00991907"/>
    <w:rsid w:val="0099303A"/>
    <w:rsid w:val="009971C2"/>
    <w:rsid w:val="009A1254"/>
    <w:rsid w:val="009A6368"/>
    <w:rsid w:val="009B2FF2"/>
    <w:rsid w:val="009B380C"/>
    <w:rsid w:val="009B4843"/>
    <w:rsid w:val="009B6543"/>
    <w:rsid w:val="009B6AD1"/>
    <w:rsid w:val="009C06BE"/>
    <w:rsid w:val="009C199D"/>
    <w:rsid w:val="009C278F"/>
    <w:rsid w:val="009C2B94"/>
    <w:rsid w:val="009C5874"/>
    <w:rsid w:val="009D2FFB"/>
    <w:rsid w:val="009D3B5A"/>
    <w:rsid w:val="009E0B9F"/>
    <w:rsid w:val="009E0C05"/>
    <w:rsid w:val="009E0D1C"/>
    <w:rsid w:val="009E2214"/>
    <w:rsid w:val="009E288E"/>
    <w:rsid w:val="009E355A"/>
    <w:rsid w:val="009E63E2"/>
    <w:rsid w:val="009E681D"/>
    <w:rsid w:val="009E699D"/>
    <w:rsid w:val="009F05CF"/>
    <w:rsid w:val="009F0F3A"/>
    <w:rsid w:val="009F406C"/>
    <w:rsid w:val="00A005C7"/>
    <w:rsid w:val="00A01D0C"/>
    <w:rsid w:val="00A0643F"/>
    <w:rsid w:val="00A067EE"/>
    <w:rsid w:val="00A10B6D"/>
    <w:rsid w:val="00A10FCE"/>
    <w:rsid w:val="00A16D91"/>
    <w:rsid w:val="00A174CC"/>
    <w:rsid w:val="00A2073D"/>
    <w:rsid w:val="00A20751"/>
    <w:rsid w:val="00A231C3"/>
    <w:rsid w:val="00A23F80"/>
    <w:rsid w:val="00A27E2D"/>
    <w:rsid w:val="00A30AE3"/>
    <w:rsid w:val="00A31D99"/>
    <w:rsid w:val="00A3500E"/>
    <w:rsid w:val="00A357BA"/>
    <w:rsid w:val="00A35ADC"/>
    <w:rsid w:val="00A402A3"/>
    <w:rsid w:val="00A40BAC"/>
    <w:rsid w:val="00A45388"/>
    <w:rsid w:val="00A45E25"/>
    <w:rsid w:val="00A53681"/>
    <w:rsid w:val="00A633D4"/>
    <w:rsid w:val="00A6461A"/>
    <w:rsid w:val="00A70210"/>
    <w:rsid w:val="00A7240B"/>
    <w:rsid w:val="00A84504"/>
    <w:rsid w:val="00A85F1A"/>
    <w:rsid w:val="00A8672F"/>
    <w:rsid w:val="00A90699"/>
    <w:rsid w:val="00A90A07"/>
    <w:rsid w:val="00A93057"/>
    <w:rsid w:val="00A93557"/>
    <w:rsid w:val="00A968B0"/>
    <w:rsid w:val="00A9696C"/>
    <w:rsid w:val="00AA115E"/>
    <w:rsid w:val="00AA2B89"/>
    <w:rsid w:val="00AA3B5B"/>
    <w:rsid w:val="00AA5807"/>
    <w:rsid w:val="00AB2672"/>
    <w:rsid w:val="00AB2817"/>
    <w:rsid w:val="00AB3902"/>
    <w:rsid w:val="00AB43C4"/>
    <w:rsid w:val="00AB51E7"/>
    <w:rsid w:val="00AC32E7"/>
    <w:rsid w:val="00AC3A9F"/>
    <w:rsid w:val="00AC516E"/>
    <w:rsid w:val="00AC6D2F"/>
    <w:rsid w:val="00AD1333"/>
    <w:rsid w:val="00AD1684"/>
    <w:rsid w:val="00AD44A5"/>
    <w:rsid w:val="00AD70A6"/>
    <w:rsid w:val="00AE2745"/>
    <w:rsid w:val="00AE2F64"/>
    <w:rsid w:val="00AE51D9"/>
    <w:rsid w:val="00AF2332"/>
    <w:rsid w:val="00AF42CB"/>
    <w:rsid w:val="00AF483F"/>
    <w:rsid w:val="00AF5E07"/>
    <w:rsid w:val="00AF5F06"/>
    <w:rsid w:val="00AF70E2"/>
    <w:rsid w:val="00B008E7"/>
    <w:rsid w:val="00B00A25"/>
    <w:rsid w:val="00B013F6"/>
    <w:rsid w:val="00B135A1"/>
    <w:rsid w:val="00B1422A"/>
    <w:rsid w:val="00B170C9"/>
    <w:rsid w:val="00B1765C"/>
    <w:rsid w:val="00B17B20"/>
    <w:rsid w:val="00B213C4"/>
    <w:rsid w:val="00B27A5E"/>
    <w:rsid w:val="00B30E7B"/>
    <w:rsid w:val="00B33BBA"/>
    <w:rsid w:val="00B36C55"/>
    <w:rsid w:val="00B40C60"/>
    <w:rsid w:val="00B439E4"/>
    <w:rsid w:val="00B43A72"/>
    <w:rsid w:val="00B461D2"/>
    <w:rsid w:val="00B47117"/>
    <w:rsid w:val="00B479A9"/>
    <w:rsid w:val="00B510D7"/>
    <w:rsid w:val="00B52EDF"/>
    <w:rsid w:val="00B56226"/>
    <w:rsid w:val="00B61640"/>
    <w:rsid w:val="00B641E5"/>
    <w:rsid w:val="00B70E67"/>
    <w:rsid w:val="00B71188"/>
    <w:rsid w:val="00B74857"/>
    <w:rsid w:val="00B75EE1"/>
    <w:rsid w:val="00B7666A"/>
    <w:rsid w:val="00B76A41"/>
    <w:rsid w:val="00B85BDA"/>
    <w:rsid w:val="00B87D4C"/>
    <w:rsid w:val="00B87F30"/>
    <w:rsid w:val="00B93646"/>
    <w:rsid w:val="00B94347"/>
    <w:rsid w:val="00B964ED"/>
    <w:rsid w:val="00BA0B38"/>
    <w:rsid w:val="00BA1DBB"/>
    <w:rsid w:val="00BA3142"/>
    <w:rsid w:val="00BA3A79"/>
    <w:rsid w:val="00BA4510"/>
    <w:rsid w:val="00BA529A"/>
    <w:rsid w:val="00BA5ABF"/>
    <w:rsid w:val="00BB2AEB"/>
    <w:rsid w:val="00BB612A"/>
    <w:rsid w:val="00BC34A6"/>
    <w:rsid w:val="00BD23FD"/>
    <w:rsid w:val="00BD2C48"/>
    <w:rsid w:val="00BD34F4"/>
    <w:rsid w:val="00BD499F"/>
    <w:rsid w:val="00BD56DE"/>
    <w:rsid w:val="00BF2369"/>
    <w:rsid w:val="00BF2406"/>
    <w:rsid w:val="00BF29A4"/>
    <w:rsid w:val="00BF3BF9"/>
    <w:rsid w:val="00C06E43"/>
    <w:rsid w:val="00C1304B"/>
    <w:rsid w:val="00C15CE5"/>
    <w:rsid w:val="00C16315"/>
    <w:rsid w:val="00C3091E"/>
    <w:rsid w:val="00C32D2C"/>
    <w:rsid w:val="00C34A46"/>
    <w:rsid w:val="00C35FC4"/>
    <w:rsid w:val="00C40FF1"/>
    <w:rsid w:val="00C419E2"/>
    <w:rsid w:val="00C45961"/>
    <w:rsid w:val="00C460A8"/>
    <w:rsid w:val="00C5020E"/>
    <w:rsid w:val="00C57452"/>
    <w:rsid w:val="00C61612"/>
    <w:rsid w:val="00C61EDF"/>
    <w:rsid w:val="00C621E3"/>
    <w:rsid w:val="00C6239D"/>
    <w:rsid w:val="00C646EC"/>
    <w:rsid w:val="00C6594B"/>
    <w:rsid w:val="00C67FFB"/>
    <w:rsid w:val="00C7155E"/>
    <w:rsid w:val="00C71D1E"/>
    <w:rsid w:val="00C71D7D"/>
    <w:rsid w:val="00C71E11"/>
    <w:rsid w:val="00C74833"/>
    <w:rsid w:val="00C76089"/>
    <w:rsid w:val="00C83468"/>
    <w:rsid w:val="00C850A0"/>
    <w:rsid w:val="00C85A86"/>
    <w:rsid w:val="00C91770"/>
    <w:rsid w:val="00C955CD"/>
    <w:rsid w:val="00C978F0"/>
    <w:rsid w:val="00C97B2A"/>
    <w:rsid w:val="00CA030A"/>
    <w:rsid w:val="00CA2F4F"/>
    <w:rsid w:val="00CA58FE"/>
    <w:rsid w:val="00CB1CB1"/>
    <w:rsid w:val="00CB58AF"/>
    <w:rsid w:val="00CB6BC1"/>
    <w:rsid w:val="00CB6CB8"/>
    <w:rsid w:val="00CC1A68"/>
    <w:rsid w:val="00CC2123"/>
    <w:rsid w:val="00CC4516"/>
    <w:rsid w:val="00CD2BFD"/>
    <w:rsid w:val="00CD569A"/>
    <w:rsid w:val="00CD58DC"/>
    <w:rsid w:val="00CE0DBB"/>
    <w:rsid w:val="00CE5AD6"/>
    <w:rsid w:val="00CE617F"/>
    <w:rsid w:val="00CE78EF"/>
    <w:rsid w:val="00D048F7"/>
    <w:rsid w:val="00D0517E"/>
    <w:rsid w:val="00D12BCC"/>
    <w:rsid w:val="00D140FC"/>
    <w:rsid w:val="00D21D8C"/>
    <w:rsid w:val="00D24EA7"/>
    <w:rsid w:val="00D31357"/>
    <w:rsid w:val="00D33220"/>
    <w:rsid w:val="00D334D1"/>
    <w:rsid w:val="00D34DD3"/>
    <w:rsid w:val="00D43EFF"/>
    <w:rsid w:val="00D44C89"/>
    <w:rsid w:val="00D4530C"/>
    <w:rsid w:val="00D4768F"/>
    <w:rsid w:val="00D50828"/>
    <w:rsid w:val="00D516CD"/>
    <w:rsid w:val="00D53374"/>
    <w:rsid w:val="00D53A3D"/>
    <w:rsid w:val="00D60F58"/>
    <w:rsid w:val="00D621AA"/>
    <w:rsid w:val="00D668E6"/>
    <w:rsid w:val="00D678CA"/>
    <w:rsid w:val="00D70670"/>
    <w:rsid w:val="00D7241E"/>
    <w:rsid w:val="00D72C19"/>
    <w:rsid w:val="00D74D80"/>
    <w:rsid w:val="00D76624"/>
    <w:rsid w:val="00D83AB3"/>
    <w:rsid w:val="00D85C92"/>
    <w:rsid w:val="00D87570"/>
    <w:rsid w:val="00D91CB9"/>
    <w:rsid w:val="00D97547"/>
    <w:rsid w:val="00D97989"/>
    <w:rsid w:val="00D97D8D"/>
    <w:rsid w:val="00DA30BA"/>
    <w:rsid w:val="00DA352E"/>
    <w:rsid w:val="00DB38C4"/>
    <w:rsid w:val="00DB67A6"/>
    <w:rsid w:val="00DC5216"/>
    <w:rsid w:val="00DC54CF"/>
    <w:rsid w:val="00DC7694"/>
    <w:rsid w:val="00DC78C0"/>
    <w:rsid w:val="00DD1BF6"/>
    <w:rsid w:val="00DD2F9B"/>
    <w:rsid w:val="00DD50C2"/>
    <w:rsid w:val="00DE1353"/>
    <w:rsid w:val="00DE2513"/>
    <w:rsid w:val="00DE26E8"/>
    <w:rsid w:val="00DE7367"/>
    <w:rsid w:val="00DF02A1"/>
    <w:rsid w:val="00DF6F36"/>
    <w:rsid w:val="00E0084C"/>
    <w:rsid w:val="00E025AB"/>
    <w:rsid w:val="00E02B23"/>
    <w:rsid w:val="00E06F40"/>
    <w:rsid w:val="00E07CE8"/>
    <w:rsid w:val="00E16F9A"/>
    <w:rsid w:val="00E17727"/>
    <w:rsid w:val="00E17A1B"/>
    <w:rsid w:val="00E26A07"/>
    <w:rsid w:val="00E32595"/>
    <w:rsid w:val="00E3349D"/>
    <w:rsid w:val="00E37CFD"/>
    <w:rsid w:val="00E41A26"/>
    <w:rsid w:val="00E46BCB"/>
    <w:rsid w:val="00E46D40"/>
    <w:rsid w:val="00E51CAF"/>
    <w:rsid w:val="00E53DC7"/>
    <w:rsid w:val="00E60F04"/>
    <w:rsid w:val="00E62AAC"/>
    <w:rsid w:val="00E67C2F"/>
    <w:rsid w:val="00E67EF5"/>
    <w:rsid w:val="00E70E8F"/>
    <w:rsid w:val="00E73E29"/>
    <w:rsid w:val="00E804EA"/>
    <w:rsid w:val="00E80A71"/>
    <w:rsid w:val="00E82337"/>
    <w:rsid w:val="00E91718"/>
    <w:rsid w:val="00E92499"/>
    <w:rsid w:val="00E949AF"/>
    <w:rsid w:val="00E96077"/>
    <w:rsid w:val="00EA0A06"/>
    <w:rsid w:val="00EA254F"/>
    <w:rsid w:val="00EA6243"/>
    <w:rsid w:val="00EA7178"/>
    <w:rsid w:val="00EA74AB"/>
    <w:rsid w:val="00EB018E"/>
    <w:rsid w:val="00EB3D1B"/>
    <w:rsid w:val="00EB4FC1"/>
    <w:rsid w:val="00ED1D89"/>
    <w:rsid w:val="00ED66BC"/>
    <w:rsid w:val="00EE1E3B"/>
    <w:rsid w:val="00EF1124"/>
    <w:rsid w:val="00EF233A"/>
    <w:rsid w:val="00EF303E"/>
    <w:rsid w:val="00EF3A40"/>
    <w:rsid w:val="00EF7F78"/>
    <w:rsid w:val="00F01B08"/>
    <w:rsid w:val="00F01C4D"/>
    <w:rsid w:val="00F031B3"/>
    <w:rsid w:val="00F053FA"/>
    <w:rsid w:val="00F063F8"/>
    <w:rsid w:val="00F10C97"/>
    <w:rsid w:val="00F11C71"/>
    <w:rsid w:val="00F123F7"/>
    <w:rsid w:val="00F16019"/>
    <w:rsid w:val="00F16A72"/>
    <w:rsid w:val="00F20E68"/>
    <w:rsid w:val="00F22093"/>
    <w:rsid w:val="00F236DF"/>
    <w:rsid w:val="00F26CDD"/>
    <w:rsid w:val="00F43AD5"/>
    <w:rsid w:val="00F4402E"/>
    <w:rsid w:val="00F51AE3"/>
    <w:rsid w:val="00F56DD0"/>
    <w:rsid w:val="00F5728B"/>
    <w:rsid w:val="00F6491C"/>
    <w:rsid w:val="00F67BBB"/>
    <w:rsid w:val="00F7138E"/>
    <w:rsid w:val="00F770B6"/>
    <w:rsid w:val="00F853EE"/>
    <w:rsid w:val="00F87D92"/>
    <w:rsid w:val="00F90AA7"/>
    <w:rsid w:val="00F92498"/>
    <w:rsid w:val="00F9496B"/>
    <w:rsid w:val="00F96A27"/>
    <w:rsid w:val="00F970C9"/>
    <w:rsid w:val="00FA06A8"/>
    <w:rsid w:val="00FA3DF5"/>
    <w:rsid w:val="00FA50FC"/>
    <w:rsid w:val="00FA741F"/>
    <w:rsid w:val="00FB229D"/>
    <w:rsid w:val="00FB4E07"/>
    <w:rsid w:val="00FB755A"/>
    <w:rsid w:val="00FC3C27"/>
    <w:rsid w:val="00FC60A2"/>
    <w:rsid w:val="00FD1871"/>
    <w:rsid w:val="00FD3110"/>
    <w:rsid w:val="00FD344F"/>
    <w:rsid w:val="00FD763A"/>
    <w:rsid w:val="00FE309C"/>
    <w:rsid w:val="00FE4B62"/>
    <w:rsid w:val="00FE67CA"/>
    <w:rsid w:val="00FE6D00"/>
    <w:rsid w:val="00FF1E3E"/>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782D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table" w:styleId="LightShading-Accent2">
    <w:name w:val="Light Shading Accent 2"/>
    <w:aliases w:val="SWA Table Style"/>
    <w:basedOn w:val="TableNormal"/>
    <w:uiPriority w:val="60"/>
    <w:rsid w:val="005C79BC"/>
    <w:pPr>
      <w:spacing w:before="120" w:after="120" w:line="240" w:lineRule="auto"/>
    </w:pPr>
    <w:rPr>
      <w:sz w:val="22"/>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styleId="ListBullet">
    <w:name w:val="List Bullet"/>
    <w:basedOn w:val="Normal"/>
    <w:uiPriority w:val="99"/>
    <w:unhideWhenUsed/>
    <w:rsid w:val="0017518D"/>
    <w:pPr>
      <w:numPr>
        <w:numId w:val="8"/>
      </w:numPr>
      <w:contextualSpacing/>
    </w:pPr>
  </w:style>
  <w:style w:type="character" w:styleId="CommentReference">
    <w:name w:val="annotation reference"/>
    <w:basedOn w:val="DefaultParagraphFont"/>
    <w:uiPriority w:val="99"/>
    <w:semiHidden/>
    <w:unhideWhenUsed/>
    <w:rsid w:val="003057FF"/>
    <w:rPr>
      <w:sz w:val="16"/>
      <w:szCs w:val="16"/>
    </w:rPr>
  </w:style>
  <w:style w:type="paragraph" w:styleId="CommentText">
    <w:name w:val="annotation text"/>
    <w:basedOn w:val="Normal"/>
    <w:link w:val="CommentTextChar"/>
    <w:uiPriority w:val="99"/>
    <w:semiHidden/>
    <w:unhideWhenUsed/>
    <w:rsid w:val="003057FF"/>
    <w:pPr>
      <w:spacing w:line="240" w:lineRule="auto"/>
    </w:pPr>
    <w:rPr>
      <w:szCs w:val="20"/>
    </w:rPr>
  </w:style>
  <w:style w:type="character" w:customStyle="1" w:styleId="CommentTextChar">
    <w:name w:val="Comment Text Char"/>
    <w:basedOn w:val="DefaultParagraphFont"/>
    <w:link w:val="CommentText"/>
    <w:uiPriority w:val="99"/>
    <w:semiHidden/>
    <w:rsid w:val="003057FF"/>
    <w:rPr>
      <w:szCs w:val="20"/>
    </w:rPr>
  </w:style>
  <w:style w:type="paragraph" w:styleId="CommentSubject">
    <w:name w:val="annotation subject"/>
    <w:basedOn w:val="CommentText"/>
    <w:next w:val="CommentText"/>
    <w:link w:val="CommentSubjectChar"/>
    <w:uiPriority w:val="99"/>
    <w:semiHidden/>
    <w:unhideWhenUsed/>
    <w:rsid w:val="003057FF"/>
    <w:rPr>
      <w:b/>
      <w:bCs/>
    </w:rPr>
  </w:style>
  <w:style w:type="character" w:customStyle="1" w:styleId="CommentSubjectChar">
    <w:name w:val="Comment Subject Char"/>
    <w:basedOn w:val="CommentTextChar"/>
    <w:link w:val="CommentSubject"/>
    <w:uiPriority w:val="99"/>
    <w:semiHidden/>
    <w:rsid w:val="003057FF"/>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0833">
      <w:bodyDiv w:val="1"/>
      <w:marLeft w:val="0"/>
      <w:marRight w:val="0"/>
      <w:marTop w:val="0"/>
      <w:marBottom w:val="0"/>
      <w:divBdr>
        <w:top w:val="none" w:sz="0" w:space="0" w:color="auto"/>
        <w:left w:val="none" w:sz="0" w:space="0" w:color="auto"/>
        <w:bottom w:val="none" w:sz="0" w:space="0" w:color="auto"/>
        <w:right w:val="none" w:sz="0" w:space="0" w:color="auto"/>
      </w:divBdr>
    </w:div>
    <w:div w:id="326566482">
      <w:bodyDiv w:val="1"/>
      <w:marLeft w:val="0"/>
      <w:marRight w:val="0"/>
      <w:marTop w:val="0"/>
      <w:marBottom w:val="0"/>
      <w:divBdr>
        <w:top w:val="none" w:sz="0" w:space="0" w:color="auto"/>
        <w:left w:val="none" w:sz="0" w:space="0" w:color="auto"/>
        <w:bottom w:val="none" w:sz="0" w:space="0" w:color="auto"/>
        <w:right w:val="none" w:sz="0" w:space="0" w:color="auto"/>
      </w:divBdr>
    </w:div>
    <w:div w:id="370811953">
      <w:bodyDiv w:val="1"/>
      <w:marLeft w:val="0"/>
      <w:marRight w:val="0"/>
      <w:marTop w:val="0"/>
      <w:marBottom w:val="0"/>
      <w:divBdr>
        <w:top w:val="none" w:sz="0" w:space="0" w:color="auto"/>
        <w:left w:val="none" w:sz="0" w:space="0" w:color="auto"/>
        <w:bottom w:val="none" w:sz="0" w:space="0" w:color="auto"/>
        <w:right w:val="none" w:sz="0" w:space="0" w:color="auto"/>
      </w:divBdr>
    </w:div>
    <w:div w:id="646596374">
      <w:bodyDiv w:val="1"/>
      <w:marLeft w:val="0"/>
      <w:marRight w:val="0"/>
      <w:marTop w:val="0"/>
      <w:marBottom w:val="0"/>
      <w:divBdr>
        <w:top w:val="none" w:sz="0" w:space="0" w:color="auto"/>
        <w:left w:val="none" w:sz="0" w:space="0" w:color="auto"/>
        <w:bottom w:val="none" w:sz="0" w:space="0" w:color="auto"/>
        <w:right w:val="none" w:sz="0" w:space="0" w:color="auto"/>
      </w:divBdr>
    </w:div>
    <w:div w:id="1000043480">
      <w:bodyDiv w:val="1"/>
      <w:marLeft w:val="0"/>
      <w:marRight w:val="0"/>
      <w:marTop w:val="0"/>
      <w:marBottom w:val="0"/>
      <w:divBdr>
        <w:top w:val="none" w:sz="0" w:space="0" w:color="auto"/>
        <w:left w:val="none" w:sz="0" w:space="0" w:color="auto"/>
        <w:bottom w:val="none" w:sz="0" w:space="0" w:color="auto"/>
        <w:right w:val="none" w:sz="0" w:space="0" w:color="auto"/>
      </w:divBdr>
    </w:div>
    <w:div w:id="1169058900">
      <w:bodyDiv w:val="1"/>
      <w:marLeft w:val="0"/>
      <w:marRight w:val="0"/>
      <w:marTop w:val="0"/>
      <w:marBottom w:val="0"/>
      <w:divBdr>
        <w:top w:val="none" w:sz="0" w:space="0" w:color="auto"/>
        <w:left w:val="none" w:sz="0" w:space="0" w:color="auto"/>
        <w:bottom w:val="none" w:sz="0" w:space="0" w:color="auto"/>
        <w:right w:val="none" w:sz="0" w:space="0" w:color="auto"/>
      </w:divBdr>
    </w:div>
    <w:div w:id="1274675806">
      <w:bodyDiv w:val="1"/>
      <w:marLeft w:val="0"/>
      <w:marRight w:val="0"/>
      <w:marTop w:val="0"/>
      <w:marBottom w:val="0"/>
      <w:divBdr>
        <w:top w:val="none" w:sz="0" w:space="0" w:color="auto"/>
        <w:left w:val="none" w:sz="0" w:space="0" w:color="auto"/>
        <w:bottom w:val="none" w:sz="0" w:space="0" w:color="auto"/>
        <w:right w:val="none" w:sz="0" w:space="0" w:color="auto"/>
      </w:divBdr>
    </w:div>
    <w:div w:id="1467309819">
      <w:bodyDiv w:val="1"/>
      <w:marLeft w:val="0"/>
      <w:marRight w:val="0"/>
      <w:marTop w:val="0"/>
      <w:marBottom w:val="0"/>
      <w:divBdr>
        <w:top w:val="none" w:sz="0" w:space="0" w:color="auto"/>
        <w:left w:val="none" w:sz="0" w:space="0" w:color="auto"/>
        <w:bottom w:val="none" w:sz="0" w:space="0" w:color="auto"/>
        <w:right w:val="none" w:sz="0" w:space="0" w:color="auto"/>
      </w:divBdr>
    </w:div>
    <w:div w:id="1580364294">
      <w:bodyDiv w:val="1"/>
      <w:marLeft w:val="0"/>
      <w:marRight w:val="0"/>
      <w:marTop w:val="0"/>
      <w:marBottom w:val="0"/>
      <w:divBdr>
        <w:top w:val="none" w:sz="0" w:space="0" w:color="auto"/>
        <w:left w:val="none" w:sz="0" w:space="0" w:color="auto"/>
        <w:bottom w:val="none" w:sz="0" w:space="0" w:color="auto"/>
        <w:right w:val="none" w:sz="0" w:space="0" w:color="auto"/>
      </w:divBdr>
    </w:div>
    <w:div w:id="1883323607">
      <w:bodyDiv w:val="1"/>
      <w:marLeft w:val="0"/>
      <w:marRight w:val="0"/>
      <w:marTop w:val="0"/>
      <w:marBottom w:val="0"/>
      <w:divBdr>
        <w:top w:val="none" w:sz="0" w:space="0" w:color="auto"/>
        <w:left w:val="none" w:sz="0" w:space="0" w:color="auto"/>
        <w:bottom w:val="none" w:sz="0" w:space="0" w:color="auto"/>
        <w:right w:val="none" w:sz="0" w:space="0" w:color="auto"/>
      </w:divBdr>
    </w:div>
    <w:div w:id="1940290526">
      <w:bodyDiv w:val="1"/>
      <w:marLeft w:val="0"/>
      <w:marRight w:val="0"/>
      <w:marTop w:val="0"/>
      <w:marBottom w:val="0"/>
      <w:divBdr>
        <w:top w:val="none" w:sz="0" w:space="0" w:color="auto"/>
        <w:left w:val="none" w:sz="0" w:space="0" w:color="auto"/>
        <w:bottom w:val="none" w:sz="0" w:space="0" w:color="auto"/>
        <w:right w:val="none" w:sz="0" w:space="0" w:color="auto"/>
      </w:divBdr>
    </w:div>
    <w:div w:id="210988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ih.org/tlv-bei-guidelines/policies-procedures-present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C2B44F29000D47BD8588D2D5E8DFA6C8"/>
        <w:category>
          <w:name w:val="General"/>
          <w:gallery w:val="placeholder"/>
        </w:category>
        <w:types>
          <w:type w:val="bbPlcHdr"/>
        </w:types>
        <w:behaviors>
          <w:behavior w:val="content"/>
        </w:behaviors>
        <w:guid w:val="{9D2592D5-75B8-4D64-A901-EB344ED20046}"/>
      </w:docPartPr>
      <w:docPartBody>
        <w:p w:rsidR="00D21A9F" w:rsidRDefault="00D21A9F">
          <w:pPr>
            <w:pStyle w:val="C2B44F29000D47BD8588D2D5E8DFA6C8"/>
          </w:pPr>
          <w:r w:rsidRPr="00724F1C">
            <w:rPr>
              <w:rStyle w:val="PlaceholderText"/>
            </w:rPr>
            <w:t>Choose an item.</w:t>
          </w:r>
        </w:p>
      </w:docPartBody>
    </w:docPart>
    <w:docPart>
      <w:docPartPr>
        <w:name w:val="EA51C8540A4D4F0A9062F5B1698DCBB0"/>
        <w:category>
          <w:name w:val="General"/>
          <w:gallery w:val="placeholder"/>
        </w:category>
        <w:types>
          <w:type w:val="bbPlcHdr"/>
        </w:types>
        <w:behaviors>
          <w:behavior w:val="content"/>
        </w:behaviors>
        <w:guid w:val="{5A1D35A6-51B4-4D9C-B1D2-B881B06F755D}"/>
      </w:docPartPr>
      <w:docPartBody>
        <w:p w:rsidR="00D21A9F" w:rsidRDefault="00D21A9F">
          <w:pPr>
            <w:pStyle w:val="EA51C8540A4D4F0A9062F5B1698DCBB0"/>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5CBFEC560F894890BBD09B93174FFAE0"/>
        <w:category>
          <w:name w:val="General"/>
          <w:gallery w:val="placeholder"/>
        </w:category>
        <w:types>
          <w:type w:val="bbPlcHdr"/>
        </w:types>
        <w:behaviors>
          <w:behavior w:val="content"/>
        </w:behaviors>
        <w:guid w:val="{7DD8AA47-26C1-43F2-BE0B-3C03EF3669BD}"/>
      </w:docPartPr>
      <w:docPartBody>
        <w:p w:rsidR="00D21A9F" w:rsidRDefault="00D21A9F">
          <w:pPr>
            <w:pStyle w:val="5CBFEC560F894890BBD09B93174FFAE0"/>
          </w:pPr>
          <w:r w:rsidRPr="00F4402E">
            <w:rPr>
              <w:rStyle w:val="PlaceholderText"/>
              <w:color w:val="FFFFFF" w:themeColor="background1"/>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6526FEF4A86D4313BAD80A7952117F60"/>
        <w:category>
          <w:name w:val="General"/>
          <w:gallery w:val="placeholder"/>
        </w:category>
        <w:types>
          <w:type w:val="bbPlcHdr"/>
        </w:types>
        <w:behaviors>
          <w:behavior w:val="content"/>
        </w:behaviors>
        <w:guid w:val="{E7CE4FA9-E179-44DB-B0A9-770301B83D06}"/>
      </w:docPartPr>
      <w:docPartBody>
        <w:p w:rsidR="004F70C5" w:rsidRDefault="00D13CDA" w:rsidP="00D13CDA">
          <w:pPr>
            <w:pStyle w:val="6526FEF4A86D4313BAD80A7952117F60"/>
          </w:pPr>
          <w:r w:rsidRPr="00F02F8D">
            <w:rPr>
              <w:rStyle w:val="PlaceholderText"/>
              <w:rFonts w:eastAsiaTheme="minorHAnsi"/>
              <w:color w:val="00B050"/>
            </w:rPr>
            <w:t>201</w:t>
          </w:r>
          <w:r>
            <w:rPr>
              <w:rStyle w:val="PlaceholderText"/>
              <w:rFonts w:eastAsiaTheme="minorHAnsi"/>
              <w:color w:val="00B050"/>
            </w:rPr>
            <w:t>2</w:t>
          </w:r>
        </w:p>
      </w:docPartBody>
    </w:docPart>
    <w:docPart>
      <w:docPartPr>
        <w:name w:val="AEFDAD4A643041FD80D8F27DF279883A"/>
        <w:category>
          <w:name w:val="General"/>
          <w:gallery w:val="placeholder"/>
        </w:category>
        <w:types>
          <w:type w:val="bbPlcHdr"/>
        </w:types>
        <w:behaviors>
          <w:behavior w:val="content"/>
        </w:behaviors>
        <w:guid w:val="{718EFDEC-4728-4E40-BCE0-E36EE6CD4B9F}"/>
      </w:docPartPr>
      <w:docPartBody>
        <w:p w:rsidR="004F70C5" w:rsidRDefault="00D13CDA" w:rsidP="00D13CDA">
          <w:pPr>
            <w:pStyle w:val="AEFDAD4A643041FD80D8F27DF279883A"/>
          </w:pPr>
          <w:r>
            <w:rPr>
              <w:color w:val="00B050"/>
            </w:rPr>
            <w:t>tier </w:t>
          </w:r>
          <w:r w:rsidRPr="0071660C">
            <w:rPr>
              <w:color w:val="00B050"/>
            </w:rPr>
            <w:t>II</w:t>
          </w:r>
        </w:p>
      </w:docPartBody>
    </w:docPart>
    <w:docPart>
      <w:docPartPr>
        <w:name w:val="41A66CE3A1074544A52FF97976329E1D"/>
        <w:category>
          <w:name w:val="General"/>
          <w:gallery w:val="placeholder"/>
        </w:category>
        <w:types>
          <w:type w:val="bbPlcHdr"/>
        </w:types>
        <w:behaviors>
          <w:behavior w:val="content"/>
        </w:behaviors>
        <w:guid w:val="{7D41A23D-1E2C-4FF4-A12D-5CED24836EF8}"/>
      </w:docPartPr>
      <w:docPartBody>
        <w:p w:rsidR="004F70C5" w:rsidRDefault="00D13CDA" w:rsidP="00D13CDA">
          <w:pPr>
            <w:pStyle w:val="41A66CE3A1074544A52FF97976329E1D"/>
          </w:pPr>
          <w:r w:rsidRPr="00262278">
            <w:rPr>
              <w:color w:val="00B050"/>
            </w:rPr>
            <w:t>1994</w:t>
          </w:r>
        </w:p>
      </w:docPartBody>
    </w:docPart>
    <w:docPart>
      <w:docPartPr>
        <w:name w:val="7261CB356BBA4F6AB5C8F9D5F948EAA0"/>
        <w:category>
          <w:name w:val="General"/>
          <w:gallery w:val="placeholder"/>
        </w:category>
        <w:types>
          <w:type w:val="bbPlcHdr"/>
        </w:types>
        <w:behaviors>
          <w:behavior w:val="content"/>
        </w:behaviors>
        <w:guid w:val="{E7DB4005-4288-4771-B4D2-26200ABF9C45}"/>
      </w:docPartPr>
      <w:docPartBody>
        <w:p w:rsidR="00F8203C" w:rsidRDefault="00504462" w:rsidP="00504462">
          <w:pPr>
            <w:pStyle w:val="7261CB356BBA4F6AB5C8F9D5F948EAA0"/>
          </w:pPr>
          <w:r w:rsidRPr="001D56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9F"/>
    <w:rsid w:val="00062B1C"/>
    <w:rsid w:val="004F70C5"/>
    <w:rsid w:val="00504462"/>
    <w:rsid w:val="009F7DFB"/>
    <w:rsid w:val="00D13CDA"/>
    <w:rsid w:val="00D21A9F"/>
    <w:rsid w:val="00F820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462"/>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C5BC02D7F1914DFF8ECBE1A5CC787BCC">
    <w:name w:val="C5BC02D7F1914DFF8ECBE1A5CC787BCC"/>
    <w:rsid w:val="00D13CDA"/>
  </w:style>
  <w:style w:type="paragraph" w:customStyle="1" w:styleId="4E2A125F66ED4DC2BF51757EEAD35124">
    <w:name w:val="4E2A125F66ED4DC2BF51757EEAD35124"/>
    <w:rsid w:val="00D13CDA"/>
  </w:style>
  <w:style w:type="paragraph" w:customStyle="1" w:styleId="6526FEF4A86D4313BAD80A7952117F60">
    <w:name w:val="6526FEF4A86D4313BAD80A7952117F60"/>
    <w:rsid w:val="00D13CDA"/>
  </w:style>
  <w:style w:type="paragraph" w:customStyle="1" w:styleId="00474F7A7F8746B39DB2AB7C7B7AE531">
    <w:name w:val="00474F7A7F8746B39DB2AB7C7B7AE531"/>
    <w:rsid w:val="00D13CDA"/>
  </w:style>
  <w:style w:type="paragraph" w:customStyle="1" w:styleId="5224621480F5476EA5BF99F75881AE46">
    <w:name w:val="5224621480F5476EA5BF99F75881AE46"/>
    <w:rsid w:val="00D13CDA"/>
  </w:style>
  <w:style w:type="paragraph" w:customStyle="1" w:styleId="B999C58422B84A7695CE9F724EA1ED24">
    <w:name w:val="B999C58422B84A7695CE9F724EA1ED24"/>
    <w:rsid w:val="00D13CDA"/>
  </w:style>
  <w:style w:type="paragraph" w:customStyle="1" w:styleId="CBC60A12AC544EAD8BD889E55AEB1D03">
    <w:name w:val="CBC60A12AC544EAD8BD889E55AEB1D03"/>
    <w:rsid w:val="00D13CDA"/>
  </w:style>
  <w:style w:type="paragraph" w:customStyle="1" w:styleId="AEFDAD4A643041FD80D8F27DF279883A">
    <w:name w:val="AEFDAD4A643041FD80D8F27DF279883A"/>
    <w:rsid w:val="00D13CDA"/>
  </w:style>
  <w:style w:type="paragraph" w:customStyle="1" w:styleId="FC8D0DC4FA174CCA8713EEDB176E0CD0">
    <w:name w:val="FC8D0DC4FA174CCA8713EEDB176E0CD0"/>
    <w:rsid w:val="00D13CDA"/>
  </w:style>
  <w:style w:type="paragraph" w:customStyle="1" w:styleId="77AF9054720040DEA27DAFD1F26333DE">
    <w:name w:val="77AF9054720040DEA27DAFD1F26333DE"/>
    <w:rsid w:val="00D13CDA"/>
  </w:style>
  <w:style w:type="paragraph" w:customStyle="1" w:styleId="625E4667A37D470BA723381E39740F4A">
    <w:name w:val="625E4667A37D470BA723381E39740F4A"/>
    <w:rsid w:val="00D13CDA"/>
  </w:style>
  <w:style w:type="paragraph" w:customStyle="1" w:styleId="F3A3DA8656294F92B6BBE43AF43BB947">
    <w:name w:val="F3A3DA8656294F92B6BBE43AF43BB947"/>
    <w:rsid w:val="00D13CDA"/>
  </w:style>
  <w:style w:type="paragraph" w:customStyle="1" w:styleId="41A66CE3A1074544A52FF97976329E1D">
    <w:name w:val="41A66CE3A1074544A52FF97976329E1D"/>
    <w:rsid w:val="00D13CDA"/>
  </w:style>
  <w:style w:type="paragraph" w:customStyle="1" w:styleId="F72E5739F16540E081F7C9143B302435">
    <w:name w:val="F72E5739F16540E081F7C9143B302435"/>
    <w:rsid w:val="00D13CDA"/>
  </w:style>
  <w:style w:type="paragraph" w:customStyle="1" w:styleId="7261CB356BBA4F6AB5C8F9D5F948EAA0">
    <w:name w:val="7261CB356BBA4F6AB5C8F9D5F948EAA0"/>
    <w:rsid w:val="005044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2" ma:contentTypeDescription="Create a new document." ma:contentTypeScope="" ma:versionID="3f0239daee0f58ef4204c8121a58097c">
  <xsd:schema xmlns:xsd="http://www.w3.org/2001/XMLSchema" xmlns:xs="http://www.w3.org/2001/XMLSchema" xmlns:p="http://schemas.microsoft.com/office/2006/metadata/properties" xmlns:ns2="bf54d604-3e62-4e70-ba33-9e9084b96a66" targetNamespace="http://schemas.microsoft.com/office/2006/metadata/properties" ma:root="true" ma:fieldsID="84d0abafb20839a02dba80eb6ea31e1c" ns2:_="">
    <xsd:import namespace="bf54d604-3e62-4e70-ba33-9e9084b96a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7554C-AB9F-4582-ABC1-4B62F0299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85578-581D-4B68-A5FA-C7A1C3C90956}">
  <ds:schemaRefs>
    <ds:schemaRef ds:uri="http://schemas.microsoft.com/sharepoint/v3/contenttype/forms"/>
  </ds:schemaRefs>
</ds:datastoreItem>
</file>

<file path=customXml/itemProps3.xml><?xml version="1.0" encoding="utf-8"?>
<ds:datastoreItem xmlns:ds="http://schemas.openxmlformats.org/officeDocument/2006/customXml" ds:itemID="{4A74E8C6-663A-4B56-829F-7F2CBBB45B14}">
  <ds:schemaRefs>
    <ds:schemaRef ds:uri="http://purl.org/dc/elements/1.1/"/>
    <ds:schemaRef ds:uri="http://schemas.microsoft.com/office/2006/metadata/properties"/>
    <ds:schemaRef ds:uri="http://schemas.openxmlformats.org/package/2006/metadata/core-properties"/>
    <ds:schemaRef ds:uri="bf54d604-3e62-4e70-ba33-9e9084b96a66"/>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6A78101-D479-4A72-93FC-BA9AEDFF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61F0278E.dotm</Template>
  <TotalTime>0</TotalTime>
  <Pages>6</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2019-07-22T02:38:00Z</dcterms:created>
  <dcterms:modified xsi:type="dcterms:W3CDTF">2019-09-13T05:07:00Z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