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6115308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8C52461" w14:textId="52E88C2F" w:rsidR="00BD499F" w:rsidRPr="004C23F4" w:rsidRDefault="00514990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Bromoform</w:t>
          </w:r>
        </w:p>
      </w:sdtContent>
    </w:sdt>
    <w:bookmarkEnd w:id="0" w:displacedByCustomXml="prev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8"/>
        <w:gridCol w:w="5048"/>
      </w:tblGrid>
      <w:tr w:rsidR="00F43AD5" w:rsidRPr="004C23F4" w14:paraId="7984AE4E" w14:textId="77777777" w:rsidTr="00897DBB">
        <w:trPr>
          <w:cantSplit/>
          <w:tblHeader/>
        </w:trPr>
        <w:tc>
          <w:tcPr>
            <w:tcW w:w="3978" w:type="dxa"/>
          </w:tcPr>
          <w:p w14:paraId="5E116D30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8" w:type="dxa"/>
          </w:tcPr>
          <w:p w14:paraId="5D96B403" w14:textId="77777777" w:rsidR="00F43AD5" w:rsidRPr="00717D45" w:rsidRDefault="00633A5F" w:rsidP="00B76A41">
            <w:pPr>
              <w:pStyle w:val="Tablefont"/>
            </w:pPr>
            <w:r>
              <w:t>75-25-2</w:t>
            </w:r>
          </w:p>
        </w:tc>
      </w:tr>
      <w:tr w:rsidR="00F43AD5" w:rsidRPr="004C23F4" w14:paraId="68BC8918" w14:textId="77777777" w:rsidTr="00897DBB">
        <w:trPr>
          <w:cantSplit/>
        </w:trPr>
        <w:tc>
          <w:tcPr>
            <w:tcW w:w="3978" w:type="dxa"/>
          </w:tcPr>
          <w:p w14:paraId="721FD0A8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8" w:type="dxa"/>
          </w:tcPr>
          <w:p w14:paraId="4994B3A4" w14:textId="37E610AD" w:rsidR="00F43AD5" w:rsidRPr="00717D45" w:rsidRDefault="00633A5F" w:rsidP="00B76A41">
            <w:pPr>
              <w:pStyle w:val="Tablefont"/>
            </w:pPr>
            <w:proofErr w:type="spellStart"/>
            <w:r w:rsidRPr="00633A5F">
              <w:t>Tribromomethane</w:t>
            </w:r>
            <w:proofErr w:type="spellEnd"/>
            <w:r w:rsidR="00DA3CD9">
              <w:t xml:space="preserve">, methyl </w:t>
            </w:r>
            <w:proofErr w:type="spellStart"/>
            <w:r w:rsidR="00DA3CD9">
              <w:t>tribromide</w:t>
            </w:r>
            <w:proofErr w:type="spellEnd"/>
            <w:r w:rsidR="00DA3CD9">
              <w:t xml:space="preserve">, </w:t>
            </w:r>
            <w:r w:rsidR="003A1AC3">
              <w:br/>
            </w:r>
            <w:proofErr w:type="spellStart"/>
            <w:r w:rsidR="00DA3CD9">
              <w:t>methenyl</w:t>
            </w:r>
            <w:proofErr w:type="spellEnd"/>
            <w:r w:rsidR="00DA3CD9">
              <w:t xml:space="preserve"> </w:t>
            </w:r>
            <w:proofErr w:type="spellStart"/>
            <w:r w:rsidR="00DA3CD9">
              <w:t>tribromide</w:t>
            </w:r>
            <w:proofErr w:type="spellEnd"/>
          </w:p>
        </w:tc>
      </w:tr>
      <w:tr w:rsidR="00F43AD5" w:rsidRPr="004C23F4" w14:paraId="234691A8" w14:textId="77777777" w:rsidTr="00897DBB">
        <w:trPr>
          <w:cantSplit/>
        </w:trPr>
        <w:tc>
          <w:tcPr>
            <w:tcW w:w="3978" w:type="dxa"/>
          </w:tcPr>
          <w:p w14:paraId="23E45ADA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8" w:type="dxa"/>
          </w:tcPr>
          <w:p w14:paraId="0A7E1DB6" w14:textId="77777777" w:rsidR="00F43AD5" w:rsidRPr="00717D45" w:rsidRDefault="005A0D96" w:rsidP="00B76A41">
            <w:pPr>
              <w:pStyle w:val="Tablefont"/>
            </w:pPr>
            <w:r>
              <w:t>CHBr</w:t>
            </w:r>
            <w:r w:rsidRPr="005A0D96">
              <w:rPr>
                <w:vertAlign w:val="subscript"/>
              </w:rPr>
              <w:t>3</w:t>
            </w:r>
          </w:p>
        </w:tc>
      </w:tr>
    </w:tbl>
    <w:p w14:paraId="5EB92DF5" w14:textId="3AF87B66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4C0165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1454916C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012503EC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04142824" w14:textId="1CB3CBAF" w:rsidR="002C7AFE" w:rsidRPr="00EB3D1B" w:rsidRDefault="004C0165" w:rsidP="00017C82">
            <w:pPr>
              <w:pStyle w:val="Tablefont"/>
              <w:rPr>
                <w:b/>
              </w:rPr>
            </w:pPr>
            <w:r w:rsidRPr="004C0165">
              <w:rPr>
                <w:b/>
              </w:rPr>
              <w:t>0.5 ppm (5.2 mg/m</w:t>
            </w:r>
            <w:r w:rsidRPr="00843FA7">
              <w:rPr>
                <w:b/>
                <w:vertAlign w:val="superscript"/>
              </w:rPr>
              <w:t>3</w:t>
            </w:r>
            <w:r w:rsidRPr="004C0165">
              <w:rPr>
                <w:b/>
              </w:rPr>
              <w:t>)</w:t>
            </w:r>
          </w:p>
        </w:tc>
      </w:tr>
      <w:tr w:rsidR="002C7AFE" w:rsidRPr="004C23F4" w14:paraId="546A4B01" w14:textId="77777777" w:rsidTr="00921DE7">
        <w:trPr>
          <w:cantSplit/>
        </w:trPr>
        <w:tc>
          <w:tcPr>
            <w:tcW w:w="4077" w:type="dxa"/>
            <w:vAlign w:val="center"/>
          </w:tcPr>
          <w:p w14:paraId="0B5B9EE2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54EAF29D" w14:textId="631E88FF" w:rsidR="002C7AFE" w:rsidRPr="00EB3D1B" w:rsidRDefault="00514990" w:rsidP="00017C82">
            <w:pPr>
              <w:pStyle w:val="Tablefont"/>
              <w:rPr>
                <w:b/>
              </w:rPr>
            </w:pPr>
            <w:r>
              <w:rPr>
                <w:rFonts w:cs="Arial"/>
                <w:b/>
              </w:rPr>
              <w:t>—</w:t>
            </w:r>
          </w:p>
        </w:tc>
      </w:tr>
      <w:tr w:rsidR="002C7AFE" w:rsidRPr="004C23F4" w14:paraId="3EB6D8CE" w14:textId="77777777" w:rsidTr="00921DE7">
        <w:trPr>
          <w:cantSplit/>
        </w:trPr>
        <w:tc>
          <w:tcPr>
            <w:tcW w:w="4077" w:type="dxa"/>
            <w:vAlign w:val="center"/>
          </w:tcPr>
          <w:p w14:paraId="0CCC4CD8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14ACA807" w14:textId="5F2CC2A4" w:rsidR="002C7AFE" w:rsidRPr="00EB3D1B" w:rsidRDefault="0051499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6E8391E" w14:textId="77777777" w:rsidTr="00A2073D">
        <w:trPr>
          <w:cantSplit/>
        </w:trPr>
        <w:tc>
          <w:tcPr>
            <w:tcW w:w="4077" w:type="dxa"/>
          </w:tcPr>
          <w:p w14:paraId="07A81C86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575AF14F" w14:textId="5334040A" w:rsidR="002C7AFE" w:rsidRPr="00EB3D1B" w:rsidRDefault="00514990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6F1C355" w14:textId="77777777" w:rsidTr="00921DE7">
        <w:trPr>
          <w:cantSplit/>
        </w:trPr>
        <w:tc>
          <w:tcPr>
            <w:tcW w:w="4077" w:type="dxa"/>
            <w:vAlign w:val="center"/>
          </w:tcPr>
          <w:p w14:paraId="25E41070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395758AD" w14:textId="77777777" w:rsidR="002C7AFE" w:rsidRPr="00EB3D1B" w:rsidRDefault="00F071F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850 ppm</w:t>
            </w:r>
          </w:p>
        </w:tc>
      </w:tr>
      <w:tr w:rsidR="009F04D2" w:rsidRPr="004C23F4" w14:paraId="6D6AE19B" w14:textId="77777777" w:rsidTr="00921DE7">
        <w:trPr>
          <w:cantSplit/>
        </w:trPr>
        <w:tc>
          <w:tcPr>
            <w:tcW w:w="4077" w:type="dxa"/>
            <w:vAlign w:val="center"/>
          </w:tcPr>
          <w:p w14:paraId="63DF6F97" w14:textId="77777777" w:rsidR="009F04D2" w:rsidRDefault="009F04D2" w:rsidP="00641BE3">
            <w:pPr>
              <w:pStyle w:val="Tablerowright"/>
              <w:jc w:val="left"/>
            </w:pPr>
            <w:r>
              <w:t>Sampling and analysis:</w:t>
            </w:r>
          </w:p>
        </w:tc>
        <w:tc>
          <w:tcPr>
            <w:tcW w:w="5165" w:type="dxa"/>
          </w:tcPr>
          <w:p w14:paraId="0DC8DA49" w14:textId="2CC48205" w:rsidR="009F04D2" w:rsidRPr="00641BE3" w:rsidRDefault="00897DBB" w:rsidP="00017C82">
            <w:pPr>
              <w:pStyle w:val="Tablefont"/>
            </w:pPr>
            <w:r w:rsidRPr="00897DBB">
              <w:t>The recommended value is readily quantifiable through currently available sampling and analysis techniques.</w:t>
            </w:r>
          </w:p>
        </w:tc>
      </w:tr>
    </w:tbl>
    <w:p w14:paraId="385DF544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796F238" w14:textId="3F049944" w:rsidR="006639B4" w:rsidRPr="004C23F4" w:rsidRDefault="00843FA7" w:rsidP="00843FA7">
      <w:pPr>
        <w:rPr>
          <w:rFonts w:cs="Arial"/>
        </w:rPr>
      </w:pPr>
      <w:r>
        <w:rPr>
          <w:rFonts w:cs="Arial"/>
        </w:rPr>
        <w:t xml:space="preserve">A TWA of </w:t>
      </w:r>
      <w:r>
        <w:t>0.5 ppm (5.2 mg/m</w:t>
      </w:r>
      <w:r w:rsidRPr="000060A5">
        <w:rPr>
          <w:vertAlign w:val="superscript"/>
        </w:rPr>
        <w:t>3</w:t>
      </w:r>
      <w:r>
        <w:t xml:space="preserve">) is recommended to protect for </w:t>
      </w:r>
      <w:r w:rsidRPr="00843FA7">
        <w:t>possible liver and kidney effects in exposed workers</w:t>
      </w:r>
      <w:r>
        <w:t>.</w:t>
      </w:r>
      <w:r w:rsidR="00F85460">
        <w:t xml:space="preserve"> This TWA is also expected to protect for irritation of the respiratory tract and eyes.</w:t>
      </w:r>
    </w:p>
    <w:p w14:paraId="44D710E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5E636D6" w14:textId="77777777" w:rsidR="00897DBB" w:rsidRDefault="00843FA7" w:rsidP="006639B4">
      <w:pPr>
        <w:rPr>
          <w:rFonts w:cs="Arial"/>
        </w:rPr>
      </w:pPr>
      <w:proofErr w:type="spellStart"/>
      <w:r>
        <w:rPr>
          <w:rFonts w:cs="Arial"/>
        </w:rPr>
        <w:t>Bromoform</w:t>
      </w:r>
      <w:proofErr w:type="spellEnd"/>
      <w:r>
        <w:rPr>
          <w:rFonts w:cs="Arial"/>
        </w:rPr>
        <w:t xml:space="preserve"> </w:t>
      </w:r>
      <w:r w:rsidR="008C061C">
        <w:rPr>
          <w:rFonts w:cs="Arial"/>
        </w:rPr>
        <w:t xml:space="preserve">is used as a chemical intermediate, in the synthesis of pharmaceuticals and a solvent for waxes, greases and oils. </w:t>
      </w:r>
    </w:p>
    <w:p w14:paraId="09AF6CF8" w14:textId="1C4533F0" w:rsidR="006639B4" w:rsidRDefault="008C061C" w:rsidP="006639B4">
      <w:pPr>
        <w:rPr>
          <w:rFonts w:cs="Arial"/>
        </w:rPr>
      </w:pPr>
      <w:r w:rsidRPr="008C061C">
        <w:rPr>
          <w:rFonts w:cs="Arial"/>
        </w:rPr>
        <w:t>Effects</w:t>
      </w:r>
      <w:r>
        <w:rPr>
          <w:rFonts w:cs="Arial"/>
        </w:rPr>
        <w:t xml:space="preserve"> in humans</w:t>
      </w:r>
      <w:r w:rsidRPr="008C061C">
        <w:rPr>
          <w:rFonts w:cs="Arial"/>
        </w:rPr>
        <w:t xml:space="preserve"> following exposure to vapour </w:t>
      </w:r>
      <w:r w:rsidR="009F3D7B">
        <w:rPr>
          <w:rFonts w:cs="Arial"/>
        </w:rPr>
        <w:t xml:space="preserve">are </w:t>
      </w:r>
      <w:r w:rsidRPr="008C061C">
        <w:rPr>
          <w:rFonts w:cs="Arial"/>
        </w:rPr>
        <w:t xml:space="preserve">reported </w:t>
      </w:r>
      <w:r>
        <w:rPr>
          <w:rFonts w:cs="Arial"/>
        </w:rPr>
        <w:t>as</w:t>
      </w:r>
      <w:r w:rsidRPr="008C061C">
        <w:rPr>
          <w:rFonts w:cs="Arial"/>
        </w:rPr>
        <w:t xml:space="preserve"> irritation of the respiratory tract, pharynx and larynx, lacrimation and salivation</w:t>
      </w:r>
      <w:r>
        <w:rPr>
          <w:rFonts w:cs="Arial"/>
        </w:rPr>
        <w:t xml:space="preserve">. </w:t>
      </w:r>
      <w:r w:rsidRPr="008C061C">
        <w:rPr>
          <w:rFonts w:cs="Arial"/>
        </w:rPr>
        <w:t>Lethargy,</w:t>
      </w:r>
      <w:r w:rsidR="0045409A">
        <w:rPr>
          <w:rFonts w:cs="Arial"/>
        </w:rPr>
        <w:t xml:space="preserve"> headache and vertigo </w:t>
      </w:r>
      <w:r w:rsidR="003A1AC3">
        <w:rPr>
          <w:rFonts w:cs="Arial"/>
        </w:rPr>
        <w:t>are also reported at</w:t>
      </w:r>
      <w:r w:rsidRPr="008C061C">
        <w:rPr>
          <w:rFonts w:cs="Arial"/>
        </w:rPr>
        <w:t xml:space="preserve"> smaller doses</w:t>
      </w:r>
      <w:r>
        <w:rPr>
          <w:rFonts w:cs="Arial"/>
        </w:rPr>
        <w:t xml:space="preserve"> (ACGIH, 2018).</w:t>
      </w:r>
    </w:p>
    <w:p w14:paraId="725D0A18" w14:textId="066291C9" w:rsidR="009F3D7B" w:rsidRDefault="009F3D7B" w:rsidP="009F3D7B">
      <w:pPr>
        <w:rPr>
          <w:rFonts w:ascii="Times New Roman" w:hAnsi="Times New Roman" w:cs="Times New Roman"/>
          <w:sz w:val="24"/>
          <w:szCs w:val="24"/>
          <w:lang w:eastAsia="en-AU"/>
        </w:rPr>
      </w:pPr>
      <w:r>
        <w:rPr>
          <w:rFonts w:cs="Arial"/>
        </w:rPr>
        <w:t xml:space="preserve">A one month feeding study in rats </w:t>
      </w:r>
      <w:r w:rsidR="003A1AC3">
        <w:rPr>
          <w:rFonts w:cs="Arial"/>
        </w:rPr>
        <w:t>report</w:t>
      </w:r>
      <w:r>
        <w:rPr>
          <w:rFonts w:cs="Arial"/>
        </w:rPr>
        <w:t xml:space="preserve">ed vacuolisation and swelling of the liver </w:t>
      </w:r>
      <w:r w:rsidR="003A1AC3">
        <w:rPr>
          <w:rFonts w:cs="Arial"/>
        </w:rPr>
        <w:t>and a</w:t>
      </w:r>
      <w:r>
        <w:rPr>
          <w:rFonts w:cs="Arial"/>
        </w:rPr>
        <w:t xml:space="preserve"> LOAEL of 56.4 mg/kg (ACGIH, 2018). </w:t>
      </w:r>
      <w:r w:rsidR="00F85460">
        <w:rPr>
          <w:rFonts w:cs="Arial"/>
        </w:rPr>
        <w:t>When converted, a</w:t>
      </w:r>
      <w:r>
        <w:rPr>
          <w:rFonts w:cs="Arial"/>
        </w:rPr>
        <w:t xml:space="preserve"> 70 </w:t>
      </w:r>
      <w:r w:rsidR="00DC6C5D">
        <w:rPr>
          <w:rFonts w:cs="Arial"/>
        </w:rPr>
        <w:t>k</w:t>
      </w:r>
      <w:r w:rsidR="00732B13">
        <w:rPr>
          <w:rFonts w:cs="Arial"/>
        </w:rPr>
        <w:t>ilo</w:t>
      </w:r>
      <w:r w:rsidR="00DC6C5D">
        <w:rPr>
          <w:rFonts w:cs="Arial"/>
        </w:rPr>
        <w:t>g</w:t>
      </w:r>
      <w:r w:rsidR="00732B13">
        <w:rPr>
          <w:rFonts w:cs="Arial"/>
        </w:rPr>
        <w:t>ram</w:t>
      </w:r>
      <w:r w:rsidR="00DC6C5D">
        <w:rPr>
          <w:rFonts w:cs="Arial"/>
        </w:rPr>
        <w:t xml:space="preserve"> </w:t>
      </w:r>
      <w:r>
        <w:rPr>
          <w:rFonts w:cs="Arial"/>
        </w:rPr>
        <w:t xml:space="preserve">worker exposed to a TWA of 0.5 ppm, breathing 10 </w:t>
      </w:r>
      <w:r w:rsidR="00DC6C5D">
        <w:rPr>
          <w:rFonts w:cs="Arial"/>
        </w:rPr>
        <w:t>m</w:t>
      </w:r>
      <w:r w:rsidR="00DC6C5D" w:rsidRPr="00732B13">
        <w:rPr>
          <w:rFonts w:cs="Arial"/>
          <w:vertAlign w:val="superscript"/>
        </w:rPr>
        <w:t>3</w:t>
      </w:r>
      <w:r w:rsidR="00F85460" w:rsidRPr="00D07B5A">
        <w:rPr>
          <w:rFonts w:cs="Arial"/>
        </w:rPr>
        <w:t xml:space="preserve"> of air</w:t>
      </w:r>
      <w:r>
        <w:rPr>
          <w:rFonts w:cs="Arial"/>
        </w:rPr>
        <w:t xml:space="preserve"> over an </w:t>
      </w:r>
      <w:r w:rsidR="00DC6C5D">
        <w:rPr>
          <w:rFonts w:cs="Arial"/>
        </w:rPr>
        <w:t>eight</w:t>
      </w:r>
      <w:r w:rsidR="00732B13">
        <w:rPr>
          <w:rFonts w:cs="Arial"/>
        </w:rPr>
        <w:t xml:space="preserve"> </w:t>
      </w:r>
      <w:r w:rsidR="00DC6C5D">
        <w:rPr>
          <w:rFonts w:cs="Arial"/>
        </w:rPr>
        <w:t>hour</w:t>
      </w:r>
      <w:r>
        <w:rPr>
          <w:rFonts w:cs="Arial"/>
        </w:rPr>
        <w:t xml:space="preserve"> shift would receive a dose orders of magnitude below this reported LOAEL. Therefore, in the absence of additional data, and in line with the ACGIH TWA-TLV,</w:t>
      </w:r>
      <w:r w:rsidR="003A1AC3">
        <w:rPr>
          <w:rFonts w:cs="Arial"/>
        </w:rPr>
        <w:t xml:space="preserve"> a TWA of 0.5 ppm</w:t>
      </w:r>
      <w:r>
        <w:rPr>
          <w:rFonts w:cs="Arial"/>
        </w:rPr>
        <w:t xml:space="preserve"> is recommended. </w:t>
      </w:r>
      <w:r w:rsidRPr="009F3D7B">
        <w:rPr>
          <w:rFonts w:cs="Arial"/>
        </w:rPr>
        <w:t>The recommended TWA is considered to be protective for liver and kidney effects in exposed workers</w:t>
      </w:r>
      <w:r w:rsidR="003A1AC3">
        <w:rPr>
          <w:rFonts w:cs="Arial"/>
        </w:rPr>
        <w:t xml:space="preserve"> as reported in animal studies and</w:t>
      </w:r>
      <w:r w:rsidRPr="009F3D7B">
        <w:rPr>
          <w:rFonts w:cs="Arial"/>
        </w:rPr>
        <w:t xml:space="preserve"> protective for irritation and lacrimation reported in humans.</w:t>
      </w:r>
    </w:p>
    <w:p w14:paraId="29F428C8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442A3E57" w14:textId="77777777" w:rsidR="00897DBB" w:rsidRPr="00D96C20" w:rsidRDefault="003730A4" w:rsidP="00897DBB">
      <w:pPr>
        <w:rPr>
          <w:rFonts w:cs="Arial"/>
        </w:rPr>
      </w:pPr>
      <w:r w:rsidRPr="002F43F2">
        <w:rPr>
          <w:rFonts w:cs="Arial"/>
        </w:rPr>
        <w:t>Not classified as a carcinogen ac</w:t>
      </w:r>
      <w:r w:rsidR="0045409A">
        <w:rPr>
          <w:rFonts w:cs="Arial"/>
        </w:rPr>
        <w:t>cording to the Globally Harmoniz</w:t>
      </w:r>
      <w:r w:rsidRPr="002F43F2">
        <w:rPr>
          <w:rFonts w:cs="Arial"/>
        </w:rPr>
        <w:t>ed System of Classification an</w:t>
      </w:r>
      <w:r w:rsidR="002F43F2">
        <w:rPr>
          <w:rFonts w:cs="Arial"/>
        </w:rPr>
        <w:t>d Labelling on Chemicals (GHS)</w:t>
      </w:r>
      <w:r w:rsidR="0045409A">
        <w:rPr>
          <w:rFonts w:cs="Arial"/>
        </w:rPr>
        <w:t xml:space="preserve">. </w:t>
      </w:r>
      <w:r w:rsidR="00897DBB">
        <w:rPr>
          <w:rFonts w:cs="Arial"/>
        </w:rPr>
        <w:t xml:space="preserve">In </w:t>
      </w:r>
      <w:r w:rsidR="00897DBB" w:rsidRPr="008C061C">
        <w:rPr>
          <w:rFonts w:cs="Arial"/>
        </w:rPr>
        <w:t xml:space="preserve">a </w:t>
      </w:r>
      <w:r w:rsidR="00897DBB">
        <w:rPr>
          <w:rFonts w:cs="Arial"/>
        </w:rPr>
        <w:t>two</w:t>
      </w:r>
      <w:r w:rsidR="00897DBB">
        <w:rPr>
          <w:rFonts w:ascii="Cambria Math" w:hAnsi="Cambria Math" w:cs="Cambria Math"/>
        </w:rPr>
        <w:t xml:space="preserve"> </w:t>
      </w:r>
      <w:r w:rsidR="00897DBB" w:rsidRPr="008C061C">
        <w:rPr>
          <w:rFonts w:cs="Arial"/>
        </w:rPr>
        <w:t>year study</w:t>
      </w:r>
      <w:r w:rsidR="00897DBB">
        <w:rPr>
          <w:rFonts w:cs="Arial"/>
        </w:rPr>
        <w:t xml:space="preserve"> in rats</w:t>
      </w:r>
      <w:r w:rsidR="00897DBB" w:rsidRPr="008C061C">
        <w:rPr>
          <w:rFonts w:cs="Arial"/>
        </w:rPr>
        <w:t>, the incidence of neoplastic changes in the large intestine was clearly increased in female rats but not significantly</w:t>
      </w:r>
      <w:r w:rsidR="00897DBB">
        <w:rPr>
          <w:rFonts w:cs="Arial"/>
        </w:rPr>
        <w:t xml:space="preserve"> increased</w:t>
      </w:r>
      <w:r w:rsidR="00897DBB" w:rsidRPr="008C061C">
        <w:rPr>
          <w:rFonts w:cs="Arial"/>
        </w:rPr>
        <w:t xml:space="preserve"> in male rats</w:t>
      </w:r>
      <w:r w:rsidR="00897DBB">
        <w:rPr>
          <w:rFonts w:cs="Arial"/>
        </w:rPr>
        <w:t>. The carcinogenic classification appears inconsistent with the data examined. No carcinogenicity notation is recommended at this time and a review of the carcinogenicity classification is recommended.</w:t>
      </w:r>
    </w:p>
    <w:p w14:paraId="582B7BF7" w14:textId="71ADE60A" w:rsidR="003730A4" w:rsidRPr="002F43F2" w:rsidRDefault="003730A4" w:rsidP="003730A4">
      <w:pPr>
        <w:rPr>
          <w:rFonts w:cs="Arial"/>
        </w:rPr>
      </w:pPr>
      <w:r w:rsidRPr="002F43F2">
        <w:rPr>
          <w:rFonts w:cs="Arial"/>
        </w:rPr>
        <w:lastRenderedPageBreak/>
        <w:t xml:space="preserve">Not classified as a skin </w:t>
      </w:r>
      <w:r w:rsidR="009F3D7B">
        <w:rPr>
          <w:rFonts w:cs="Arial"/>
        </w:rPr>
        <w:t xml:space="preserve">sensitiser </w:t>
      </w:r>
      <w:r w:rsidRPr="002F43F2">
        <w:rPr>
          <w:rFonts w:cs="Arial"/>
        </w:rPr>
        <w:t>or respiratory sensitiser according to the GHS</w:t>
      </w:r>
      <w:r w:rsidR="00514990">
        <w:rPr>
          <w:rFonts w:cs="Arial"/>
        </w:rPr>
        <w:t>.</w:t>
      </w:r>
    </w:p>
    <w:p w14:paraId="648AD082" w14:textId="0669F160" w:rsidR="00FA409F" w:rsidRPr="00FA409F" w:rsidRDefault="00FA409F" w:rsidP="00FA409F">
      <w:pPr>
        <w:rPr>
          <w:rFonts w:cs="Arial"/>
        </w:rPr>
      </w:pPr>
      <w:r w:rsidRPr="00FA409F">
        <w:t xml:space="preserve">A skin notation is not </w:t>
      </w:r>
      <w:r w:rsidR="009F3D7B">
        <w:t>recommended</w:t>
      </w:r>
      <w:r w:rsidR="009F3D7B" w:rsidRPr="00FA409F">
        <w:t xml:space="preserve"> </w:t>
      </w:r>
      <w:r w:rsidRPr="00FA409F">
        <w:t xml:space="preserve">as there is no indication of systemic effects resulting from skin absorption. </w:t>
      </w:r>
    </w:p>
    <w:p w14:paraId="64C5649D" w14:textId="157B604F" w:rsidR="005E6979" w:rsidRPr="004C23F4" w:rsidRDefault="005E6979">
      <w:pPr>
        <w:rPr>
          <w:rFonts w:cs="Arial"/>
        </w:rPr>
        <w:sectPr w:rsidR="005E6979" w:rsidRPr="004C23F4" w:rsidSect="006A0F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titlePg/>
          <w:docGrid w:linePitch="360"/>
        </w:sectPr>
      </w:pPr>
    </w:p>
    <w:p w14:paraId="03B1B4CE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371E72D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F4873C6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3BE86DB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18EA579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98E4235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0060A5">
                  <w:t>1991</w:t>
                </w:r>
              </w:sdtContent>
            </w:sdt>
            <w:r w:rsidRPr="003365A5"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0060A5">
                  <w:t>TWA: 0.5 ppm (5.2 mg/m</w:t>
                </w:r>
                <w:r w:rsidR="000060A5" w:rsidRPr="000060A5">
                  <w:rPr>
                    <w:vertAlign w:val="superscript"/>
                  </w:rPr>
                  <w:t>3</w:t>
                </w:r>
                <w:r w:rsidR="000060A5">
                  <w:t>)</w:t>
                </w:r>
              </w:sdtContent>
            </w:sdt>
          </w:p>
        </w:tc>
      </w:tr>
      <w:tr w:rsidR="00C978F0" w:rsidRPr="00DA352E" w14:paraId="034576D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86EF1F7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90CD99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AED9F81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E25B6E">
                  <w:t>2009</w:t>
                </w:r>
              </w:sdtContent>
            </w:sdt>
            <w:r w:rsidR="00916EC0" w:rsidRPr="003365A5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E25B6E">
                  <w:t>TLV-TWA: 0.5 ppm (5.2 mg/m</w:t>
                </w:r>
                <w:r w:rsidR="00E25B6E" w:rsidRPr="00E25B6E">
                  <w:rPr>
                    <w:vertAlign w:val="superscript"/>
                  </w:rPr>
                  <w:t>3</w:t>
                </w:r>
                <w:r w:rsidR="00E25B6E">
                  <w:t>)</w:t>
                </w:r>
              </w:sdtContent>
            </w:sdt>
          </w:p>
        </w:tc>
      </w:tr>
      <w:tr w:rsidR="00C978F0" w:rsidRPr="00DA352E" w14:paraId="479D7EB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286DF2A" w14:textId="3A0EBC39" w:rsidR="00C978F0" w:rsidRDefault="00FC485E" w:rsidP="003365A5">
            <w:pPr>
              <w:pStyle w:val="Tabletextprimarysource"/>
            </w:pPr>
            <w:r>
              <w:t>TLV-TWA recommended</w:t>
            </w:r>
            <w:r w:rsidR="00D062DF">
              <w:t xml:space="preserve"> to protect for possible liver and kidney effects </w:t>
            </w:r>
            <w:r w:rsidR="00897DBB">
              <w:t>and</w:t>
            </w:r>
            <w:r w:rsidR="00D062DF">
              <w:t xml:space="preserve"> </w:t>
            </w:r>
            <w:r w:rsidR="00D37824">
              <w:t>for upper respiratory tract irritation and lacrimation in exposed workers.</w:t>
            </w:r>
          </w:p>
          <w:p w14:paraId="125C4D02" w14:textId="77777777" w:rsidR="00D37824" w:rsidRDefault="00D37824" w:rsidP="003365A5">
            <w:pPr>
              <w:pStyle w:val="Tabletextprimarysource"/>
            </w:pPr>
            <w:r>
              <w:t>Summary of data:</w:t>
            </w:r>
          </w:p>
          <w:p w14:paraId="2D7D4FD6" w14:textId="1B3F9FE4" w:rsidR="00D37824" w:rsidRDefault="00D37824" w:rsidP="003365A5">
            <w:pPr>
              <w:pStyle w:val="Tabletextprimarysource"/>
            </w:pPr>
            <w:r>
              <w:t>Human data:</w:t>
            </w:r>
          </w:p>
          <w:p w14:paraId="48D01D24" w14:textId="78F50F1E" w:rsidR="00D37824" w:rsidRDefault="00D37824" w:rsidP="00D37824">
            <w:pPr>
              <w:pStyle w:val="ListBullet"/>
              <w:ind w:left="1080"/>
            </w:pPr>
            <w:r>
              <w:t>Quantitative exposure-response information not available</w:t>
            </w:r>
          </w:p>
          <w:p w14:paraId="158A4121" w14:textId="58B21825" w:rsidR="00D37824" w:rsidRDefault="009F3D7B" w:rsidP="00D37824">
            <w:pPr>
              <w:pStyle w:val="ListBullet"/>
              <w:ind w:left="1080"/>
            </w:pPr>
            <w:r>
              <w:t>E</w:t>
            </w:r>
            <w:r w:rsidR="00362CF8">
              <w:t xml:space="preserve">xposure to vapour </w:t>
            </w:r>
            <w:r>
              <w:t xml:space="preserve">reported to cause effects including </w:t>
            </w:r>
            <w:r w:rsidR="00362CF8">
              <w:t>irritation of the respiratory tract, pharynx and larynx</w:t>
            </w:r>
            <w:r w:rsidR="003A1AC3">
              <w:t>,</w:t>
            </w:r>
            <w:r>
              <w:t xml:space="preserve"> </w:t>
            </w:r>
            <w:r w:rsidR="00362CF8">
              <w:t>lacrimation and salivation</w:t>
            </w:r>
          </w:p>
          <w:p w14:paraId="3E30879D" w14:textId="43552F0A" w:rsidR="00362CF8" w:rsidRDefault="00362CF8" w:rsidP="00D37824">
            <w:pPr>
              <w:pStyle w:val="ListBullet"/>
              <w:ind w:left="1080"/>
            </w:pPr>
            <w:r>
              <w:t xml:space="preserve">Reported </w:t>
            </w:r>
            <w:r w:rsidR="0045409A">
              <w:t>CNS</w:t>
            </w:r>
            <w:r>
              <w:t xml:space="preserve"> depression</w:t>
            </w:r>
            <w:r w:rsidR="00AF53D1">
              <w:t xml:space="preserve"> with coma and loss of reflexes following accidental ingestion </w:t>
            </w:r>
          </w:p>
          <w:p w14:paraId="37C870BC" w14:textId="0952651D" w:rsidR="00AF53D1" w:rsidRDefault="00AF53D1" w:rsidP="00D37824">
            <w:pPr>
              <w:pStyle w:val="ListBullet"/>
              <w:ind w:left="1080"/>
            </w:pPr>
            <w:r>
              <w:t>Lethargy, headache, and vertigo resulting from smaller doses (no further information)</w:t>
            </w:r>
          </w:p>
          <w:p w14:paraId="24D820C6" w14:textId="17B27222" w:rsidR="00AF53D1" w:rsidRDefault="00CB3170" w:rsidP="00D37824">
            <w:pPr>
              <w:pStyle w:val="ListBullet"/>
              <w:ind w:left="1080"/>
            </w:pPr>
            <w:r>
              <w:t xml:space="preserve">Absorbed through human breast skin </w:t>
            </w:r>
            <w:r>
              <w:rPr>
                <w:i/>
              </w:rPr>
              <w:t xml:space="preserve">in </w:t>
            </w:r>
            <w:r w:rsidR="003730A4">
              <w:rPr>
                <w:i/>
              </w:rPr>
              <w:t xml:space="preserve">vitro </w:t>
            </w:r>
            <w:r w:rsidR="003730A4">
              <w:t>with</w:t>
            </w:r>
            <w:r>
              <w:t xml:space="preserve"> a dermal abso</w:t>
            </w:r>
            <w:r w:rsidR="0045409A">
              <w:t>rption coefficient of 0.21 cm/h</w:t>
            </w:r>
            <w:r>
              <w:t xml:space="preserve"> at 25</w:t>
            </w:r>
            <w:r>
              <w:rPr>
                <w:rFonts w:cs="Arial"/>
              </w:rPr>
              <w:t>⁰</w:t>
            </w:r>
            <w:r>
              <w:t>C</w:t>
            </w:r>
            <w:r w:rsidR="00514990">
              <w:t>.</w:t>
            </w:r>
          </w:p>
          <w:p w14:paraId="7CEC7019" w14:textId="77777777" w:rsidR="00CB3170" w:rsidRDefault="00CB3170" w:rsidP="00CB3170">
            <w:pPr>
              <w:pStyle w:val="Tabletextprimarysource"/>
            </w:pPr>
            <w:r>
              <w:t>Animal data:</w:t>
            </w:r>
          </w:p>
          <w:p w14:paraId="4F94CA38" w14:textId="622EBA7E" w:rsidR="00CB3170" w:rsidRDefault="003730A4" w:rsidP="00CB3170">
            <w:pPr>
              <w:pStyle w:val="ListBullet"/>
              <w:ind w:left="1080"/>
            </w:pPr>
            <w:r>
              <w:t xml:space="preserve">LOAEL of 56.4 mg/kg for liver effects </w:t>
            </w:r>
            <w:r w:rsidR="009F3D7B">
              <w:t>(rats,</w:t>
            </w:r>
            <w:r w:rsidR="00145E05">
              <w:t xml:space="preserve"> oral, 1 mo)</w:t>
            </w:r>
          </w:p>
          <w:p w14:paraId="596BA21D" w14:textId="7CA4D386" w:rsidR="00145E05" w:rsidRDefault="006C54C3" w:rsidP="00CB3170">
            <w:pPr>
              <w:pStyle w:val="ListBullet"/>
              <w:ind w:left="1080"/>
            </w:pPr>
            <w:r>
              <w:t>Male</w:t>
            </w:r>
            <w:r w:rsidR="0045409A">
              <w:t xml:space="preserve"> and female rats </w:t>
            </w:r>
            <w:r w:rsidR="00145E05">
              <w:t>developed histological changes in liver and thyroid following</w:t>
            </w:r>
            <w:r w:rsidR="0045409A">
              <w:t xml:space="preserve"> a </w:t>
            </w:r>
            <w:r>
              <w:t xml:space="preserve">range of doses in drinking water </w:t>
            </w:r>
            <w:r w:rsidR="00145E05">
              <w:t>(</w:t>
            </w:r>
            <w:r w:rsidR="0045409A">
              <w:t>&gt;90 d</w:t>
            </w:r>
            <w:r w:rsidR="00145E05">
              <w:t>)</w:t>
            </w:r>
          </w:p>
          <w:p w14:paraId="0414861F" w14:textId="429BBF27" w:rsidR="00145E05" w:rsidRDefault="006C54C3" w:rsidP="00D07B5A">
            <w:pPr>
              <w:pStyle w:val="ListBullet"/>
              <w:numPr>
                <w:ilvl w:val="0"/>
                <w:numId w:val="2"/>
              </w:numPr>
            </w:pPr>
            <w:r>
              <w:t xml:space="preserve">effects were reversed </w:t>
            </w:r>
            <w:r w:rsidR="00851261">
              <w:t>in groups given tap</w:t>
            </w:r>
            <w:r w:rsidR="0045409A">
              <w:t xml:space="preserve"> water </w:t>
            </w:r>
            <w:r w:rsidR="00145E05">
              <w:t xml:space="preserve">for </w:t>
            </w:r>
            <w:r w:rsidR="0045409A">
              <w:t>90 d</w:t>
            </w:r>
            <w:r w:rsidR="00851261">
              <w:t xml:space="preserve"> following dosing</w:t>
            </w:r>
          </w:p>
          <w:p w14:paraId="166FF178" w14:textId="6C01148E" w:rsidR="003730A4" w:rsidRDefault="00851261" w:rsidP="00D07B5A">
            <w:pPr>
              <w:pStyle w:val="ListBullet"/>
              <w:numPr>
                <w:ilvl w:val="0"/>
                <w:numId w:val="2"/>
              </w:numPr>
            </w:pPr>
            <w:r>
              <w:t>reversibility suggest adaptive changes rather than adverse effects</w:t>
            </w:r>
          </w:p>
          <w:p w14:paraId="559AF1F0" w14:textId="6206BA80" w:rsidR="006553F1" w:rsidRDefault="006553F1" w:rsidP="00D07B5A">
            <w:pPr>
              <w:pStyle w:val="ListBullet"/>
              <w:ind w:left="1080"/>
            </w:pPr>
            <w:r>
              <w:t xml:space="preserve">Some evidence of carcinogenicity in male rats </w:t>
            </w:r>
            <w:r w:rsidR="00145E05">
              <w:t>and c</w:t>
            </w:r>
            <w:r>
              <w:t xml:space="preserve">lear evidence of carcinogenicity </w:t>
            </w:r>
            <w:r w:rsidR="00145E05">
              <w:t xml:space="preserve">in </w:t>
            </w:r>
            <w:r>
              <w:t>female rats based on increased incidences of adenomatous polyps and adenocarcinomas of the large intestine</w:t>
            </w:r>
            <w:r w:rsidR="00145E05">
              <w:t xml:space="preserve"> (</w:t>
            </w:r>
            <w:r w:rsidR="00643D63">
              <w:t>up to</w:t>
            </w:r>
            <w:r w:rsidR="00145E05">
              <w:t xml:space="preserve"> 200 mg/kg, corn oil gavage, </w:t>
            </w:r>
            <w:r w:rsidR="00643D63">
              <w:t>5 d/wk, 103 </w:t>
            </w:r>
            <w:r w:rsidR="00145E05">
              <w:t>wk)</w:t>
            </w:r>
          </w:p>
          <w:p w14:paraId="63B3326B" w14:textId="314C03D2" w:rsidR="00145E05" w:rsidRDefault="00643D63">
            <w:pPr>
              <w:pStyle w:val="ListBullet"/>
              <w:numPr>
                <w:ilvl w:val="0"/>
                <w:numId w:val="2"/>
              </w:numPr>
            </w:pPr>
            <w:r>
              <w:t>n</w:t>
            </w:r>
            <w:r w:rsidR="00145E05">
              <w:t>o evidence</w:t>
            </w:r>
            <w:r w:rsidR="003A1AC3">
              <w:t xml:space="preserve"> of carcinogenicity</w:t>
            </w:r>
            <w:r w:rsidR="00145E05">
              <w:t xml:space="preserve"> in mice dosed simultaneously</w:t>
            </w:r>
            <w:r>
              <w:t xml:space="preserve"> (up to 100 mg/kg)</w:t>
            </w:r>
          </w:p>
          <w:p w14:paraId="52183A66" w14:textId="4649A5B0" w:rsidR="00643D63" w:rsidRDefault="00145E05" w:rsidP="00D07B5A">
            <w:pPr>
              <w:pStyle w:val="ListBullet"/>
              <w:ind w:left="1080"/>
            </w:pPr>
            <w:r>
              <w:t xml:space="preserve">Aberrant crypt foci in </w:t>
            </w:r>
            <w:r w:rsidR="00643D63">
              <w:t xml:space="preserve">colons of rats </w:t>
            </w:r>
            <w:r w:rsidR="003A1AC3">
              <w:t>(</w:t>
            </w:r>
            <w:r w:rsidR="00643D63">
              <w:t>but not mice</w:t>
            </w:r>
            <w:r w:rsidR="003A1AC3">
              <w:t>)</w:t>
            </w:r>
            <w:r w:rsidR="00643D63">
              <w:t xml:space="preserve"> following administration in drinking water (1,100 mg/L, 13 wk).</w:t>
            </w:r>
          </w:p>
          <w:p w14:paraId="6DDE9585" w14:textId="0C8E81DA" w:rsidR="00643D63" w:rsidRDefault="00643D63" w:rsidP="00D07B5A">
            <w:pPr>
              <w:pStyle w:val="ListBullet"/>
              <w:numPr>
                <w:ilvl w:val="0"/>
                <w:numId w:val="0"/>
              </w:numPr>
              <w:ind w:left="720"/>
            </w:pPr>
            <w:r w:rsidDel="00643D63">
              <w:t xml:space="preserve"> </w:t>
            </w:r>
          </w:p>
          <w:p w14:paraId="535A9A1E" w14:textId="2E210196" w:rsidR="00F85460" w:rsidRDefault="00F85460" w:rsidP="00D07B5A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Inconsistent and i</w:t>
            </w:r>
            <w:r w:rsidR="00643D63">
              <w:t>nconclusive</w:t>
            </w:r>
            <w:r w:rsidR="007F24E1">
              <w:t xml:space="preserve"> results in</w:t>
            </w:r>
            <w:r>
              <w:t xml:space="preserve"> </w:t>
            </w:r>
            <w:r w:rsidR="007F24E1">
              <w:t>genotoxicity tests</w:t>
            </w:r>
            <w:r>
              <w:t>:</w:t>
            </w:r>
          </w:p>
          <w:p w14:paraId="0277558E" w14:textId="21F8C9C4" w:rsidR="00F07835" w:rsidRDefault="00F07835" w:rsidP="00D07B5A">
            <w:pPr>
              <w:pStyle w:val="ListBullet"/>
              <w:ind w:left="1080"/>
            </w:pPr>
            <w:r>
              <w:t xml:space="preserve">positive, negative and inconclusive in </w:t>
            </w:r>
            <w:r>
              <w:rPr>
                <w:i/>
              </w:rPr>
              <w:t xml:space="preserve">Salmonella </w:t>
            </w:r>
            <w:r>
              <w:t>mutagenicity tests</w:t>
            </w:r>
          </w:p>
          <w:p w14:paraId="6061185A" w14:textId="0027FC15" w:rsidR="00F07835" w:rsidRDefault="00F07835" w:rsidP="00D07B5A">
            <w:pPr>
              <w:pStyle w:val="ListBullet"/>
              <w:ind w:left="1080"/>
            </w:pPr>
            <w:r>
              <w:t xml:space="preserve">mutagenic in </w:t>
            </w:r>
            <w:r>
              <w:rPr>
                <w:i/>
              </w:rPr>
              <w:t xml:space="preserve">Salmonella </w:t>
            </w:r>
            <w:r w:rsidRPr="00D07B5A">
              <w:t>RSJ100</w:t>
            </w:r>
            <w:r>
              <w:t xml:space="preserve"> strain but no significant result when human whole blood cultures expressing and lacking GST were assessed using the Comet assay</w:t>
            </w:r>
          </w:p>
          <w:p w14:paraId="448B320B" w14:textId="1DA1577C" w:rsidR="00F07835" w:rsidRPr="00D07B5A" w:rsidRDefault="00F07835" w:rsidP="00D07B5A">
            <w:pPr>
              <w:pStyle w:val="ListBullet"/>
              <w:ind w:left="1080"/>
            </w:pPr>
            <w:r>
              <w:t xml:space="preserve">DNA damage reported in </w:t>
            </w:r>
            <w:r>
              <w:rPr>
                <w:i/>
              </w:rPr>
              <w:t>E. coli</w:t>
            </w:r>
          </w:p>
          <w:p w14:paraId="51A5E4F2" w14:textId="1DD8F480" w:rsidR="00F07835" w:rsidRDefault="00F07835" w:rsidP="00D07B5A">
            <w:pPr>
              <w:pStyle w:val="ListBullet"/>
              <w:ind w:left="1080"/>
            </w:pPr>
            <w:r>
              <w:t xml:space="preserve">positive result on </w:t>
            </w:r>
            <w:r>
              <w:rPr>
                <w:i/>
              </w:rPr>
              <w:t>Drosophila</w:t>
            </w:r>
            <w:r>
              <w:t xml:space="preserve"> sex-linked recessive lethal assays</w:t>
            </w:r>
          </w:p>
          <w:p w14:paraId="345D2B18" w14:textId="5621E55A" w:rsidR="00F07835" w:rsidRDefault="00F07835" w:rsidP="00D07B5A">
            <w:pPr>
              <w:pStyle w:val="ListBullet"/>
              <w:ind w:left="1080"/>
            </w:pPr>
            <w:r>
              <w:t xml:space="preserve">negative result in </w:t>
            </w:r>
            <w:r>
              <w:rPr>
                <w:i/>
              </w:rPr>
              <w:t>Drosophila</w:t>
            </w:r>
            <w:r>
              <w:t xml:space="preserve"> reciprocal translocation assays</w:t>
            </w:r>
          </w:p>
          <w:p w14:paraId="6D6898B1" w14:textId="5F18F70F" w:rsidR="00F07835" w:rsidRDefault="00F07835" w:rsidP="00D07B5A">
            <w:pPr>
              <w:pStyle w:val="ListBullet"/>
              <w:ind w:left="1080"/>
            </w:pPr>
            <w:r>
              <w:t>positive in mouse lymphoma cell mutation assay</w:t>
            </w:r>
          </w:p>
          <w:p w14:paraId="5BCAD317" w14:textId="63F453E9" w:rsidR="00F07835" w:rsidRDefault="00F07835" w:rsidP="00D07B5A">
            <w:pPr>
              <w:pStyle w:val="ListBullet"/>
              <w:ind w:left="1080"/>
            </w:pPr>
            <w:r>
              <w:t>SCE positive against various cell lines</w:t>
            </w:r>
          </w:p>
          <w:p w14:paraId="2F43F24E" w14:textId="6691E819" w:rsidR="00F07835" w:rsidRDefault="00F07835" w:rsidP="00D07B5A">
            <w:pPr>
              <w:pStyle w:val="ListBullet"/>
              <w:ind w:left="1080"/>
            </w:pPr>
            <w:r>
              <w:t xml:space="preserve">chromosomal aberrations in bone marrow reported in rats (up to 253 mg/kg </w:t>
            </w:r>
            <w:proofErr w:type="spellStart"/>
            <w:r>
              <w:t>intraperitoneally</w:t>
            </w:r>
            <w:proofErr w:type="spellEnd"/>
            <w:r>
              <w:t>) but not in mice</w:t>
            </w:r>
          </w:p>
          <w:p w14:paraId="06820650" w14:textId="4288FE8C" w:rsidR="00F07835" w:rsidRDefault="00F07835" w:rsidP="00D07B5A">
            <w:pPr>
              <w:pStyle w:val="ListBullet"/>
              <w:ind w:left="1080"/>
            </w:pPr>
            <w:proofErr w:type="gramStart"/>
            <w:r>
              <w:t>no</w:t>
            </w:r>
            <w:proofErr w:type="gramEnd"/>
            <w:r>
              <w:t xml:space="preserve"> DNA strand breaks reported in rats (F-344; up to m80 mg/kg </w:t>
            </w:r>
            <w:r>
              <w:rPr>
                <w:i/>
              </w:rPr>
              <w:t>via</w:t>
            </w:r>
            <w:r>
              <w:t xml:space="preserve"> oral gavage).</w:t>
            </w:r>
          </w:p>
          <w:p w14:paraId="7B05D648" w14:textId="4346A3EB" w:rsidR="00643D63" w:rsidRDefault="00514990" w:rsidP="00D07B5A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.</w:t>
            </w:r>
          </w:p>
          <w:p w14:paraId="7E2E7DDA" w14:textId="178F99A4" w:rsidR="004C0165" w:rsidRDefault="004C0165" w:rsidP="00D07B5A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Insufficient evidence to recommend a skin or sensitiser notations.</w:t>
            </w:r>
          </w:p>
          <w:p w14:paraId="6D03D8B5" w14:textId="27E102A0" w:rsidR="00643D63" w:rsidRPr="00DA352E" w:rsidRDefault="00643D63" w:rsidP="007F24E1">
            <w:pPr>
              <w:pStyle w:val="Tabletextprimarysource"/>
            </w:pPr>
          </w:p>
        </w:tc>
      </w:tr>
      <w:tr w:rsidR="00C978F0" w:rsidRPr="00DA352E" w14:paraId="67E017D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012AF6A" w14:textId="6B47495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3F08A1">
                  <w:t>1996</w:t>
                </w:r>
              </w:sdtContent>
            </w:sdt>
            <w:r w:rsidR="00916EC0" w:rsidRPr="003365A5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6A1666">
                  <w:t>Not assigned</w:t>
                </w:r>
              </w:sdtContent>
            </w:sdt>
          </w:p>
        </w:tc>
      </w:tr>
      <w:tr w:rsidR="00C978F0" w:rsidRPr="00DA352E" w14:paraId="3E1E1B6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EAC6DD0" w14:textId="2BAAE059" w:rsidR="00C978F0" w:rsidRDefault="004C0165" w:rsidP="003365A5">
            <w:pPr>
              <w:pStyle w:val="Tabletextprimarysource"/>
            </w:pPr>
            <w:r>
              <w:t>Insufficient evidence to establish a MAK</w:t>
            </w:r>
            <w:r w:rsidR="00514990">
              <w:t>.</w:t>
            </w:r>
          </w:p>
          <w:p w14:paraId="350C47C2" w14:textId="77777777" w:rsidR="004C0165" w:rsidRDefault="004C0165" w:rsidP="003365A5">
            <w:pPr>
              <w:pStyle w:val="Tabletextprimarysource"/>
            </w:pPr>
            <w:r>
              <w:t>Summary of additional data:</w:t>
            </w:r>
          </w:p>
          <w:p w14:paraId="300AC49D" w14:textId="77777777" w:rsidR="004C0165" w:rsidRDefault="004C0165" w:rsidP="004C0165">
            <w:pPr>
              <w:pStyle w:val="ListBullet"/>
              <w:ind w:left="1080"/>
            </w:pPr>
            <w:r w:rsidRPr="004C0165">
              <w:t>Results from</w:t>
            </w:r>
            <w:r>
              <w:rPr>
                <w:i/>
              </w:rPr>
              <w:t xml:space="preserve"> in vivo </w:t>
            </w:r>
            <w:r>
              <w:t xml:space="preserve">and </w:t>
            </w:r>
            <w:r>
              <w:rPr>
                <w:i/>
              </w:rPr>
              <w:t>in vitro</w:t>
            </w:r>
            <w:r>
              <w:t xml:space="preserve"> tests suggest some genotoxic potential</w:t>
            </w:r>
          </w:p>
          <w:p w14:paraId="26FC7830" w14:textId="0B5CEEB2" w:rsidR="00843FA7" w:rsidRDefault="00843FA7" w:rsidP="004C0165">
            <w:pPr>
              <w:pStyle w:val="ListBullet"/>
              <w:ind w:left="1080"/>
            </w:pPr>
            <w:r>
              <w:t>Dermal LD</w:t>
            </w:r>
            <w:r>
              <w:rPr>
                <w:vertAlign w:val="subscript"/>
              </w:rPr>
              <w:t>50</w:t>
            </w:r>
            <w:r w:rsidR="00D61BFF">
              <w:t>:</w:t>
            </w:r>
            <w:r>
              <w:t xml:space="preserve"> </w:t>
            </w:r>
            <w:r w:rsidR="00FA409F">
              <w:t>&gt;</w:t>
            </w:r>
            <w:r>
              <w:t>1,000 mg/kg</w:t>
            </w:r>
          </w:p>
          <w:p w14:paraId="2C51A0C2" w14:textId="77777777" w:rsidR="00B961D1" w:rsidRDefault="00B961D1" w:rsidP="00B961D1">
            <w:pPr>
              <w:pStyle w:val="ListBullet"/>
              <w:ind w:left="1080"/>
            </w:pPr>
            <w:r>
              <w:t>Carcinogen category 3B: animal studies have yielded evidence of carcinogenic effects that is not sufficient for classification of the substance in one of the other categories</w:t>
            </w:r>
            <w:r w:rsidR="00514990">
              <w:t>.</w:t>
            </w:r>
          </w:p>
          <w:p w14:paraId="1AFEDAD7" w14:textId="4BB9A73D" w:rsidR="00643D63" w:rsidRPr="00DA352E" w:rsidRDefault="00643D63" w:rsidP="00D07B5A">
            <w:pPr>
              <w:pStyle w:val="ListBullet"/>
              <w:numPr>
                <w:ilvl w:val="0"/>
                <w:numId w:val="0"/>
              </w:numPr>
              <w:ind w:left="1080"/>
            </w:pPr>
          </w:p>
        </w:tc>
      </w:tr>
      <w:tr w:rsidR="00C978F0" w:rsidRPr="00DA352E" w14:paraId="5481C90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40E528E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1A6462">
                  <w:t>NA</w:t>
                </w:r>
              </w:sdtContent>
            </w:sdt>
            <w:r w:rsidR="00916EC0" w:rsidRPr="003365A5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1A6462">
                  <w:t>NA</w:t>
                </w:r>
                <w:proofErr w:type="spellEnd"/>
              </w:sdtContent>
            </w:sdt>
          </w:p>
        </w:tc>
      </w:tr>
      <w:tr w:rsidR="00C978F0" w:rsidRPr="00DA352E" w14:paraId="29B902A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20A21A2" w14:textId="22923AAD" w:rsidR="00C978F0" w:rsidRPr="00DA352E" w:rsidRDefault="001A6462" w:rsidP="003365A5">
            <w:pPr>
              <w:pStyle w:val="Tabletextprimarysource"/>
            </w:pPr>
            <w:r>
              <w:t>No report</w:t>
            </w:r>
            <w:r w:rsidR="00897DBB">
              <w:t>.</w:t>
            </w:r>
          </w:p>
        </w:tc>
      </w:tr>
      <w:tr w:rsidR="00DA352E" w:rsidRPr="00DA352E" w14:paraId="5DDC375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9A72FA9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334282">
                  <w:t>NA</w:t>
                </w:r>
              </w:sdtContent>
            </w:sdt>
            <w:r w:rsidR="00916EC0" w:rsidRPr="003365A5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334282">
                  <w:t>NA</w:t>
                </w:r>
                <w:proofErr w:type="spellEnd"/>
              </w:sdtContent>
            </w:sdt>
          </w:p>
        </w:tc>
      </w:tr>
      <w:tr w:rsidR="00DA352E" w:rsidRPr="00DA352E" w14:paraId="79380EF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442FEDB" w14:textId="27226991" w:rsidR="00DA352E" w:rsidRPr="00DA352E" w:rsidRDefault="00334282" w:rsidP="003365A5">
            <w:pPr>
              <w:pStyle w:val="Tabletextprimarysource"/>
            </w:pPr>
            <w:r>
              <w:t>No report</w:t>
            </w:r>
            <w:r w:rsidR="00897DBB">
              <w:t>.</w:t>
            </w:r>
          </w:p>
        </w:tc>
      </w:tr>
      <w:tr w:rsidR="00DA352E" w:rsidRPr="00DA352E" w14:paraId="0FB8C6D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6A414A4" w14:textId="7FAEE4D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EC6648">
                  <w:t>NA</w:t>
                </w:r>
              </w:sdtContent>
            </w:sdt>
            <w:r w:rsidR="00916EC0" w:rsidRPr="003365A5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EC6648">
                  <w:t>NA</w:t>
                </w:r>
                <w:proofErr w:type="spellEnd"/>
              </w:sdtContent>
            </w:sdt>
          </w:p>
        </w:tc>
      </w:tr>
      <w:tr w:rsidR="00DA352E" w:rsidRPr="00DA352E" w14:paraId="3156057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EB142A2" w14:textId="1F97C68E" w:rsidR="00DA352E" w:rsidRPr="00DA352E" w:rsidRDefault="00EC6648" w:rsidP="003365A5">
            <w:pPr>
              <w:pStyle w:val="Tabletextprimarysource"/>
            </w:pPr>
            <w:r>
              <w:t>No report</w:t>
            </w:r>
            <w:r w:rsidR="00897DBB">
              <w:t>.</w:t>
            </w:r>
          </w:p>
        </w:tc>
      </w:tr>
    </w:tbl>
    <w:p w14:paraId="4C1D4E92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4"/>
        <w:gridCol w:w="423"/>
        <w:gridCol w:w="661"/>
        <w:gridCol w:w="6448"/>
      </w:tblGrid>
      <w:tr w:rsidR="004966BF" w:rsidRPr="00263255" w14:paraId="4CF007E5" w14:textId="77777777" w:rsidTr="0045409A">
        <w:trPr>
          <w:cantSplit/>
          <w:trHeight w:val="393"/>
          <w:tblHeader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14:paraId="1B5C1FCB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83C5FAD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F2F3AC6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8" w:type="dxa"/>
            <w:shd w:val="clear" w:color="auto" w:fill="BFBFBF" w:themeFill="background1" w:themeFillShade="BF"/>
            <w:vAlign w:val="center"/>
          </w:tcPr>
          <w:p w14:paraId="51EEB058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0EE5DDEA" w14:textId="77777777" w:rsidTr="0045409A">
        <w:trPr>
          <w:cantSplit/>
        </w:trPr>
        <w:tc>
          <w:tcPr>
            <w:tcW w:w="1494" w:type="dxa"/>
          </w:tcPr>
          <w:p w14:paraId="4BFF1E8F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15442CD1" w14:textId="2DA81C79" w:rsidR="004966BF" w:rsidRPr="00CE617F" w:rsidRDefault="00A9430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F43F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37811BC" w14:textId="154386FF" w:rsidR="004966BF" w:rsidRPr="004C23F4" w:rsidRDefault="002F43F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1987</w:t>
            </w:r>
          </w:p>
        </w:tc>
        <w:tc>
          <w:tcPr>
            <w:tcW w:w="6448" w:type="dxa"/>
          </w:tcPr>
          <w:p w14:paraId="577203BD" w14:textId="369C64D2" w:rsidR="004966BF" w:rsidRDefault="002F43F2" w:rsidP="002F43F2">
            <w:pPr>
              <w:pStyle w:val="ListBullet"/>
              <w:rPr>
                <w:rStyle w:val="checkbox"/>
                <w:rFonts w:ascii="Arial" w:hAnsi="Arial" w:cs="Arial"/>
              </w:rPr>
            </w:pPr>
            <w:r w:rsidRPr="002F43F2">
              <w:rPr>
                <w:rStyle w:val="checkbox"/>
                <w:rFonts w:ascii="Arial" w:hAnsi="Arial" w:cs="Arial"/>
              </w:rPr>
              <w:t>Based on inadequate human data and sufficient evidence of carcinogenicity in animals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2F43F2">
              <w:rPr>
                <w:rStyle w:val="checkbox"/>
                <w:rFonts w:ascii="Arial" w:hAnsi="Arial" w:cs="Arial"/>
              </w:rPr>
              <w:t xml:space="preserve">Classification </w:t>
            </w:r>
            <w:r w:rsidR="00643D63">
              <w:rPr>
                <w:rStyle w:val="checkbox"/>
                <w:rFonts w:ascii="Arial" w:hAnsi="Arial" w:cs="Arial"/>
              </w:rPr>
              <w:t>–</w:t>
            </w:r>
            <w:r w:rsidR="00643D63" w:rsidRPr="002F43F2">
              <w:rPr>
                <w:rStyle w:val="checkbox"/>
                <w:rFonts w:ascii="Arial" w:hAnsi="Arial" w:cs="Arial"/>
              </w:rPr>
              <w:t xml:space="preserve"> </w:t>
            </w:r>
            <w:r w:rsidRPr="002F43F2">
              <w:rPr>
                <w:rStyle w:val="checkbox"/>
                <w:rFonts w:ascii="Arial" w:hAnsi="Arial" w:cs="Arial"/>
              </w:rPr>
              <w:t>B2; probable human carcinogen</w:t>
            </w:r>
          </w:p>
          <w:p w14:paraId="1C4240F1" w14:textId="77777777" w:rsidR="002F43F2" w:rsidRPr="002F43F2" w:rsidRDefault="002F43F2" w:rsidP="002F43F2">
            <w:pPr>
              <w:pStyle w:val="ListBullet"/>
              <w:rPr>
                <w:rFonts w:cs="Arial"/>
              </w:rPr>
            </w:pPr>
            <w:r>
              <w:t>Genotoxic in several assay systems</w:t>
            </w:r>
          </w:p>
          <w:p w14:paraId="604D41E5" w14:textId="664F4484" w:rsidR="002F43F2" w:rsidRPr="004C23F4" w:rsidRDefault="002F43F2" w:rsidP="002F43F2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t xml:space="preserve">Structurally related to other </w:t>
            </w:r>
            <w:proofErr w:type="spellStart"/>
            <w:r>
              <w:t>trihalomethanes</w:t>
            </w:r>
            <w:proofErr w:type="spellEnd"/>
            <w:r>
              <w:t xml:space="preserve"> which have been verified as either probable or possible carcinogens</w:t>
            </w:r>
            <w:r w:rsidR="00514990">
              <w:t>.</w:t>
            </w:r>
          </w:p>
        </w:tc>
      </w:tr>
    </w:tbl>
    <w:bookmarkEnd w:id="1"/>
    <w:p w14:paraId="00D28212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063D273" w14:textId="77777777" w:rsidTr="004C0165">
        <w:trPr>
          <w:trHeight w:val="454"/>
          <w:tblHeader/>
        </w:trPr>
        <w:tc>
          <w:tcPr>
            <w:tcW w:w="6597" w:type="dxa"/>
            <w:vAlign w:val="center"/>
          </w:tcPr>
          <w:p w14:paraId="26D49886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4EC180F" w14:textId="49B6407F" w:rsidR="002E0D61" w:rsidRDefault="004C0165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65E23222" w14:textId="77777777" w:rsidTr="004C0165">
        <w:trPr>
          <w:trHeight w:val="454"/>
        </w:trPr>
        <w:tc>
          <w:tcPr>
            <w:tcW w:w="6597" w:type="dxa"/>
            <w:vAlign w:val="center"/>
          </w:tcPr>
          <w:p w14:paraId="008D6397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B325B37" w14:textId="2385D1C3" w:rsidR="008A36CF" w:rsidRDefault="004C0165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D07B5A" w14:paraId="331AA598" w14:textId="77777777" w:rsidTr="00C252C0">
        <w:trPr>
          <w:trHeight w:val="454"/>
        </w:trPr>
        <w:sdt>
          <w:sdtPr>
            <w:rPr>
              <w:b/>
            </w:rPr>
            <w:id w:val="1830936485"/>
            <w:placeholder>
              <w:docPart w:val="E2840EA2F6704E9582DA6F2D4A825C57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68FC5375" w14:textId="4B1A85FF" w:rsidR="00D07B5A" w:rsidRDefault="00D07B5A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14:paraId="26A1458B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5DF1F08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3F5B4A0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41F0A68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1B5E000" w14:textId="77777777" w:rsidTr="00812887">
        <w:trPr>
          <w:cantSplit/>
        </w:trPr>
        <w:tc>
          <w:tcPr>
            <w:tcW w:w="3227" w:type="dxa"/>
          </w:tcPr>
          <w:p w14:paraId="1BB65B49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DD8D025" w14:textId="77777777" w:rsidR="00687890" w:rsidRPr="00DD2F9B" w:rsidRDefault="005A0D96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280A4C7F" w14:textId="77777777" w:rsidTr="00812887">
        <w:trPr>
          <w:cantSplit/>
        </w:trPr>
        <w:tc>
          <w:tcPr>
            <w:tcW w:w="3227" w:type="dxa"/>
          </w:tcPr>
          <w:p w14:paraId="795F418E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662D175" w14:textId="77777777" w:rsidR="007925F0" w:rsidRPr="00DD2F9B" w:rsidRDefault="005A0D96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3491A09D" w14:textId="77777777" w:rsidTr="00812887">
        <w:trPr>
          <w:cantSplit/>
        </w:trPr>
        <w:tc>
          <w:tcPr>
            <w:tcW w:w="3227" w:type="dxa"/>
          </w:tcPr>
          <w:p w14:paraId="2E25798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EB5191F" w14:textId="77777777" w:rsidR="00AF483F" w:rsidRPr="00DD2F9B" w:rsidRDefault="00BC3E2E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657C95C0" w14:textId="77777777" w:rsidTr="00812887">
        <w:trPr>
          <w:cantSplit/>
        </w:trPr>
        <w:tc>
          <w:tcPr>
            <w:tcW w:w="3227" w:type="dxa"/>
          </w:tcPr>
          <w:p w14:paraId="51CB85AB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7D3DAC6" w14:textId="77777777" w:rsidR="00687890" w:rsidRPr="00DD2F9B" w:rsidRDefault="00410AAD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1B377E78" w14:textId="77777777" w:rsidTr="00812887">
        <w:trPr>
          <w:cantSplit/>
        </w:trPr>
        <w:tc>
          <w:tcPr>
            <w:tcW w:w="3227" w:type="dxa"/>
          </w:tcPr>
          <w:p w14:paraId="7789CCF3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C887D2F" w14:textId="77777777" w:rsidR="00E41A26" w:rsidRPr="00DD2F9B" w:rsidRDefault="00410AA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A6FFE75" w14:textId="77777777" w:rsidTr="00812887">
        <w:trPr>
          <w:cantSplit/>
        </w:trPr>
        <w:tc>
          <w:tcPr>
            <w:tcW w:w="3227" w:type="dxa"/>
          </w:tcPr>
          <w:p w14:paraId="3AFB87F4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E9B649F" w14:textId="77777777" w:rsidR="002E0D61" w:rsidRPr="00DD2F9B" w:rsidRDefault="00043958" w:rsidP="00DD2F9B">
            <w:pPr>
              <w:pStyle w:val="Tablefont"/>
            </w:pPr>
            <w:r>
              <w:t>Carcinogenicity – A3</w:t>
            </w:r>
          </w:p>
        </w:tc>
      </w:tr>
      <w:tr w:rsidR="002E0D61" w:rsidRPr="004C23F4" w14:paraId="0B066B18" w14:textId="77777777" w:rsidTr="00812887">
        <w:trPr>
          <w:cantSplit/>
        </w:trPr>
        <w:tc>
          <w:tcPr>
            <w:tcW w:w="3227" w:type="dxa"/>
          </w:tcPr>
          <w:p w14:paraId="0581880D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554D2161" w14:textId="77777777" w:rsidR="002E0D61" w:rsidRPr="00DD2F9B" w:rsidRDefault="00043958" w:rsidP="00DD2F9B">
            <w:pPr>
              <w:pStyle w:val="Tablefont"/>
            </w:pPr>
            <w:r>
              <w:t>Carcinogenicity – 3B</w:t>
            </w:r>
          </w:p>
        </w:tc>
      </w:tr>
      <w:tr w:rsidR="002E0D61" w:rsidRPr="004C23F4" w14:paraId="0DAAC9CD" w14:textId="77777777" w:rsidTr="00812887">
        <w:trPr>
          <w:cantSplit/>
        </w:trPr>
        <w:tc>
          <w:tcPr>
            <w:tcW w:w="3227" w:type="dxa"/>
          </w:tcPr>
          <w:p w14:paraId="10473DEE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81F8E82" w14:textId="77777777" w:rsidR="002E0D61" w:rsidRPr="00DD2F9B" w:rsidRDefault="0004395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4D100FA" w14:textId="77777777" w:rsidTr="00812887">
        <w:trPr>
          <w:cantSplit/>
        </w:trPr>
        <w:tc>
          <w:tcPr>
            <w:tcW w:w="3227" w:type="dxa"/>
          </w:tcPr>
          <w:p w14:paraId="6C0C764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52202C5" w14:textId="77777777" w:rsidR="002E0D61" w:rsidRPr="00DD2F9B" w:rsidRDefault="0004395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7A5D888" w14:textId="77777777" w:rsidTr="00812887">
        <w:trPr>
          <w:cantSplit/>
        </w:trPr>
        <w:tc>
          <w:tcPr>
            <w:tcW w:w="3227" w:type="dxa"/>
          </w:tcPr>
          <w:p w14:paraId="111F669E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CB06F2C" w14:textId="77777777" w:rsidR="00386093" w:rsidRPr="00DD2F9B" w:rsidRDefault="00561C09" w:rsidP="00DD2F9B">
            <w:pPr>
              <w:pStyle w:val="Tablefont"/>
            </w:pPr>
            <w:r w:rsidRPr="00561C09">
              <w:t>Carcinogenicity – Group 3</w:t>
            </w:r>
          </w:p>
        </w:tc>
      </w:tr>
      <w:tr w:rsidR="00386093" w:rsidRPr="004C23F4" w14:paraId="2C0B24D5" w14:textId="77777777" w:rsidTr="00812887">
        <w:trPr>
          <w:cantSplit/>
        </w:trPr>
        <w:tc>
          <w:tcPr>
            <w:tcW w:w="3227" w:type="dxa"/>
          </w:tcPr>
          <w:p w14:paraId="5070A2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C156688" w14:textId="77777777" w:rsidR="00386093" w:rsidRPr="00DD2F9B" w:rsidRDefault="007D1232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4290C669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7188B7A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A0A96CD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3AB9F4A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CC69455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81" w:type="dxa"/>
              <w:tblLook w:val="04A0" w:firstRow="1" w:lastRow="0" w:firstColumn="1" w:lastColumn="0" w:noHBand="0" w:noVBand="1"/>
            </w:tblPr>
            <w:tblGrid>
              <w:gridCol w:w="3664"/>
              <w:gridCol w:w="1080"/>
              <w:gridCol w:w="1080"/>
              <w:gridCol w:w="1493"/>
              <w:gridCol w:w="1493"/>
            </w:tblGrid>
            <w:tr w:rsidR="008C061C" w:rsidRPr="008C061C" w14:paraId="563DA760" w14:textId="77777777" w:rsidTr="0045409A">
              <w:trPr>
                <w:trHeight w:val="356"/>
              </w:trPr>
              <w:tc>
                <w:tcPr>
                  <w:tcW w:w="3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3BB705" w14:textId="77777777" w:rsidR="008C061C" w:rsidRPr="008C061C" w:rsidRDefault="008C061C" w:rsidP="008C061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E90392" w14:textId="77777777" w:rsidR="008C061C" w:rsidRPr="008C061C" w:rsidRDefault="008C061C" w:rsidP="008C061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3AE030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B77DDC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643478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C061C" w:rsidRPr="008C061C" w14:paraId="2AA66EF0" w14:textId="77777777" w:rsidTr="0045409A">
              <w:trPr>
                <w:trHeight w:val="356"/>
              </w:trPr>
              <w:tc>
                <w:tcPr>
                  <w:tcW w:w="3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4AE82B" w14:textId="77777777" w:rsidR="008C061C" w:rsidRPr="008C061C" w:rsidRDefault="008C061C" w:rsidP="008C061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B96860" w14:textId="77777777" w:rsidR="008C061C" w:rsidRPr="008C061C" w:rsidRDefault="008C061C" w:rsidP="008C061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E611E7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499B63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DB2851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C061C" w:rsidRPr="008C061C" w14:paraId="488C7DBA" w14:textId="77777777" w:rsidTr="0045409A">
              <w:trPr>
                <w:trHeight w:val="356"/>
              </w:trPr>
              <w:tc>
                <w:tcPr>
                  <w:tcW w:w="3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FAB9EA" w14:textId="77777777" w:rsidR="008C061C" w:rsidRPr="008C061C" w:rsidRDefault="008C061C" w:rsidP="008C061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BB1FD9" w14:textId="77777777" w:rsidR="008C061C" w:rsidRPr="008C061C" w:rsidRDefault="008C061C" w:rsidP="008C061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C19980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2AC340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9162EA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C061C" w:rsidRPr="008C061C" w14:paraId="1FCF4C87" w14:textId="77777777" w:rsidTr="0045409A">
              <w:trPr>
                <w:trHeight w:val="356"/>
              </w:trPr>
              <w:tc>
                <w:tcPr>
                  <w:tcW w:w="3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C036CA" w14:textId="5E7E33E2" w:rsidR="008C061C" w:rsidRPr="008C061C" w:rsidRDefault="008C061C" w:rsidP="008C061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02C4A3" w14:textId="77777777" w:rsidR="008C061C" w:rsidRPr="008C061C" w:rsidRDefault="008C061C" w:rsidP="008C061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3E9893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7026E1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9059BC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C061C" w:rsidRPr="008C061C" w14:paraId="4418A0F3" w14:textId="77777777" w:rsidTr="0045409A">
              <w:trPr>
                <w:trHeight w:val="356"/>
              </w:trPr>
              <w:tc>
                <w:tcPr>
                  <w:tcW w:w="3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B7989A" w14:textId="77777777" w:rsidR="008C061C" w:rsidRPr="008C061C" w:rsidRDefault="008C061C" w:rsidP="008C061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6649AE" w14:textId="77777777" w:rsidR="008C061C" w:rsidRPr="008C061C" w:rsidRDefault="008C061C" w:rsidP="008C061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2543E5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AA7E0F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B2E56F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C061C" w:rsidRPr="008C061C" w14:paraId="76225893" w14:textId="77777777" w:rsidTr="0045409A">
              <w:trPr>
                <w:trHeight w:val="356"/>
              </w:trPr>
              <w:tc>
                <w:tcPr>
                  <w:tcW w:w="3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E36B02" w14:textId="77777777" w:rsidR="008C061C" w:rsidRPr="008C061C" w:rsidRDefault="008C061C" w:rsidP="008C061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8D18AC" w14:textId="77777777" w:rsidR="008C061C" w:rsidRPr="008C061C" w:rsidRDefault="008C061C" w:rsidP="008C061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F85C86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023296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5B56EC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C061C" w:rsidRPr="008C061C" w14:paraId="573FAD3F" w14:textId="77777777" w:rsidTr="0045409A">
              <w:trPr>
                <w:trHeight w:val="356"/>
              </w:trPr>
              <w:tc>
                <w:tcPr>
                  <w:tcW w:w="3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ACEC20" w14:textId="77777777" w:rsidR="008C061C" w:rsidRPr="008C061C" w:rsidRDefault="008C061C" w:rsidP="008C061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EB50AE" w14:textId="77777777" w:rsidR="008C061C" w:rsidRPr="008C061C" w:rsidRDefault="008C061C" w:rsidP="008C061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8300DF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C546F4" w14:textId="77777777" w:rsidR="008C061C" w:rsidRPr="008C061C" w:rsidRDefault="008C061C" w:rsidP="008C061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061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434803C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293557F3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3EB829B1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E7BBB4C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BCD5163" w14:textId="77777777" w:rsidR="00EB3D1B" w:rsidRDefault="00F071F9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3A244657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3057B88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CAB45AF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19D0863" w14:textId="77777777" w:rsidR="001B79E5" w:rsidRDefault="00807EC9" w:rsidP="001B79E5">
                <w:pPr>
                  <w:pStyle w:val="Tablefont"/>
                </w:pPr>
                <w:r>
                  <w:t>252.75</w:t>
                </w:r>
              </w:p>
            </w:tc>
          </w:sdtContent>
        </w:sdt>
      </w:tr>
      <w:tr w:rsidR="00A31D99" w:rsidRPr="004C23F4" w14:paraId="1E8B0B3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04FB2FE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7C9295D5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E70A8C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73AC434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485DCB4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7FA12ED" w14:textId="77777777" w:rsidTr="00EA6243">
        <w:trPr>
          <w:cantSplit/>
        </w:trPr>
        <w:tc>
          <w:tcPr>
            <w:tcW w:w="4077" w:type="dxa"/>
            <w:vAlign w:val="center"/>
          </w:tcPr>
          <w:p w14:paraId="6306B2E7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30A2A0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18B76AB" w14:textId="77777777" w:rsidTr="00EA6243">
        <w:trPr>
          <w:cantSplit/>
        </w:trPr>
        <w:tc>
          <w:tcPr>
            <w:tcW w:w="4077" w:type="dxa"/>
            <w:vAlign w:val="center"/>
          </w:tcPr>
          <w:p w14:paraId="1FB4C82B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56FEAB1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C3287C1" w14:textId="77777777" w:rsidTr="00EA6243">
        <w:trPr>
          <w:cantSplit/>
        </w:trPr>
        <w:tc>
          <w:tcPr>
            <w:tcW w:w="4077" w:type="dxa"/>
            <w:vAlign w:val="center"/>
          </w:tcPr>
          <w:p w14:paraId="3E546D64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7F5650D" w14:textId="77777777" w:rsidR="00E06F40" w:rsidRPr="00A006A0" w:rsidRDefault="00A94300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98EBD66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5842B73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404B411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37CCAF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727C7C3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A837E98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19C6050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5C27507D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B47C4A4" w14:textId="72EB5683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962E304" w14:textId="4CA888D2" w:rsidR="00773970" w:rsidRDefault="00773970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9B2377">
        <w:t>1996</w:t>
      </w:r>
      <w:r>
        <w:t xml:space="preserve">) </w:t>
      </w:r>
      <w:proofErr w:type="spellStart"/>
      <w:r w:rsidR="00587FB8">
        <w:t>Tribromomethane</w:t>
      </w:r>
      <w:proofErr w:type="spellEnd"/>
      <w:r>
        <w:t xml:space="preserve"> – MAK value documentation.</w:t>
      </w:r>
    </w:p>
    <w:p w14:paraId="66B9B585" w14:textId="7CBB709A" w:rsidR="00773970" w:rsidRDefault="003F08A1" w:rsidP="00084859">
      <w:r w:rsidRPr="002022B6">
        <w:t>International Agency for Research on Cancer</w:t>
      </w:r>
      <w:r>
        <w:t xml:space="preserve"> (IARC) (</w:t>
      </w:r>
      <w:r w:rsidR="00587FB8">
        <w:t>1999</w:t>
      </w:r>
      <w:r>
        <w:t xml:space="preserve">) </w:t>
      </w:r>
      <w:r w:rsidR="00587FB8">
        <w:t>Volume 71 re-evaluation of some organic chemicals, hydrazine and hydrogen peroxide</w:t>
      </w:r>
      <w:r>
        <w:t>. IARC Monographs on the evaluation of the carcinogenic risk to humans.</w:t>
      </w:r>
    </w:p>
    <w:p w14:paraId="4519B90E" w14:textId="40357121" w:rsidR="00D61BFF" w:rsidRDefault="00D61BFF" w:rsidP="00D61BFF">
      <w:r>
        <w:t xml:space="preserve">US Environmental Protection Authority (US EPA) (1993) </w:t>
      </w:r>
      <w:r w:rsidRPr="003448DD">
        <w:t>Integrated R</w:t>
      </w:r>
      <w:r>
        <w:t xml:space="preserve">isk Information System (IRIS) </w:t>
      </w:r>
      <w:r w:rsidRPr="003448DD">
        <w:t>Chemical Assessment Summary</w:t>
      </w:r>
      <w:r>
        <w:t xml:space="preserve"> – </w:t>
      </w:r>
      <w:proofErr w:type="spellStart"/>
      <w:r>
        <w:t>Bromoform</w:t>
      </w:r>
      <w:proofErr w:type="spellEnd"/>
      <w:r>
        <w:t>.</w:t>
      </w:r>
    </w:p>
    <w:p w14:paraId="3DDBCA5E" w14:textId="77777777" w:rsidR="00D61BFF" w:rsidRPr="00351FE0" w:rsidRDefault="00D61BFF" w:rsidP="00084859"/>
    <w:sectPr w:rsidR="00D61BF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CCDFBE" w16cid:durableId="20F5E657"/>
  <w16cid:commentId w16cid:paraId="7B296964" w16cid:durableId="20F5E658"/>
  <w16cid:commentId w16cid:paraId="3243BD18" w16cid:durableId="20F81397"/>
  <w16cid:commentId w16cid:paraId="3F13F26E" w16cid:durableId="20F815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66130" w14:textId="77777777" w:rsidR="009B30AF" w:rsidRDefault="009B30AF" w:rsidP="00F43AD5">
      <w:pPr>
        <w:spacing w:after="0" w:line="240" w:lineRule="auto"/>
      </w:pPr>
      <w:r>
        <w:separator/>
      </w:r>
    </w:p>
  </w:endnote>
  <w:endnote w:type="continuationSeparator" w:id="0">
    <w:p w14:paraId="3E71243F" w14:textId="77777777" w:rsidR="009B30AF" w:rsidRDefault="009B30AF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9AC8" w14:textId="77777777" w:rsidR="006A0FAD" w:rsidRDefault="006A0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1ECF5CD" w14:textId="77777777" w:rsidR="008A36CF" w:rsidRDefault="002C122C" w:rsidP="0034744C">
        <w:pPr>
          <w:pStyle w:val="Footer"/>
          <w:rPr>
            <w:sz w:val="18"/>
            <w:szCs w:val="18"/>
          </w:rPr>
        </w:pPr>
        <w:proofErr w:type="spellStart"/>
        <w:r>
          <w:rPr>
            <w:b/>
            <w:sz w:val="18"/>
            <w:szCs w:val="18"/>
          </w:rPr>
          <w:t>Bromoform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75-25-2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A9E94BD" w14:textId="5217E68E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A94300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F6735" w14:textId="77777777" w:rsidR="006A0FAD" w:rsidRDefault="006A0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A4B6A" w14:textId="77777777" w:rsidR="009B30AF" w:rsidRDefault="009B30AF" w:rsidP="00F43AD5">
      <w:pPr>
        <w:spacing w:after="0" w:line="240" w:lineRule="auto"/>
      </w:pPr>
      <w:r>
        <w:separator/>
      </w:r>
    </w:p>
  </w:footnote>
  <w:footnote w:type="continuationSeparator" w:id="0">
    <w:p w14:paraId="78CE9F98" w14:textId="77777777" w:rsidR="009B30AF" w:rsidRDefault="009B30AF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60DCF" w14:textId="77777777" w:rsidR="006A0FAD" w:rsidRDefault="006A0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64972" w14:textId="489FFDFF" w:rsidR="008A36CF" w:rsidRDefault="00A94300" w:rsidP="00F43AD5">
    <w:pPr>
      <w:pStyle w:val="Header"/>
      <w:jc w:val="right"/>
    </w:pPr>
    <w:sdt>
      <w:sdtPr>
        <w:id w:val="-1523775719"/>
        <w:docPartObj>
          <w:docPartGallery w:val="Watermarks"/>
          <w:docPartUnique/>
        </w:docPartObj>
      </w:sdtPr>
      <w:sdtContent>
        <w:r>
          <w:pict w14:anchorId="6384B7B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2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4A40F" w14:textId="19CD696F" w:rsidR="006A0FAD" w:rsidRDefault="00A94300" w:rsidP="006A0FAD">
    <w:pPr>
      <w:pStyle w:val="Header"/>
      <w:jc w:val="right"/>
    </w:pPr>
    <w:sdt>
      <w:sdtPr>
        <w:id w:val="-1144662092"/>
        <w:docPartObj>
          <w:docPartGallery w:val="Watermarks"/>
          <w:docPartUnique/>
        </w:docPartObj>
      </w:sdtPr>
      <w:sdtContent>
        <w:r>
          <w:pict w14:anchorId="51E002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A0FAD">
      <w:rPr>
        <w:noProof/>
        <w:lang w:eastAsia="en-AU"/>
      </w:rPr>
      <w:drawing>
        <wp:inline distT="0" distB="0" distL="0" distR="0" wp14:anchorId="6BBE3047" wp14:editId="7A4F023C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2229B" w14:textId="7B20C1A6" w:rsidR="008A36CF" w:rsidRPr="00A471CF" w:rsidRDefault="00A94300" w:rsidP="00A471CF">
    <w:pPr>
      <w:pStyle w:val="Header"/>
    </w:pPr>
    <w:sdt>
      <w:sdtPr>
        <w:id w:val="-1974358559"/>
        <w:docPartObj>
          <w:docPartGallery w:val="Watermarks"/>
          <w:docPartUnique/>
        </w:docPartObj>
      </w:sdtPr>
      <w:sdtContent>
        <w:r>
          <w:pict w14:anchorId="0454D2D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3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bookmarkStart w:id="6" w:name="_GoBack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8A2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C44A2E"/>
    <w:multiLevelType w:val="hybridMultilevel"/>
    <w:tmpl w:val="F8128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022A7"/>
    <w:multiLevelType w:val="hybridMultilevel"/>
    <w:tmpl w:val="36A6D9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60A5"/>
    <w:rsid w:val="00007B80"/>
    <w:rsid w:val="00013A22"/>
    <w:rsid w:val="00014C3F"/>
    <w:rsid w:val="00017C82"/>
    <w:rsid w:val="00032B88"/>
    <w:rsid w:val="0004395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6AFB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5E05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A6462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1F775C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122C"/>
    <w:rsid w:val="002C34F2"/>
    <w:rsid w:val="002C4724"/>
    <w:rsid w:val="002C58FF"/>
    <w:rsid w:val="002C7AFE"/>
    <w:rsid w:val="002D05D2"/>
    <w:rsid w:val="002E0D61"/>
    <w:rsid w:val="002E4C7B"/>
    <w:rsid w:val="002F43F2"/>
    <w:rsid w:val="0030740C"/>
    <w:rsid w:val="00315833"/>
    <w:rsid w:val="003215EE"/>
    <w:rsid w:val="003224BF"/>
    <w:rsid w:val="003241A8"/>
    <w:rsid w:val="003253F0"/>
    <w:rsid w:val="003337DA"/>
    <w:rsid w:val="00334282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62CF8"/>
    <w:rsid w:val="00370DBF"/>
    <w:rsid w:val="003730A4"/>
    <w:rsid w:val="00386093"/>
    <w:rsid w:val="003904A4"/>
    <w:rsid w:val="00391841"/>
    <w:rsid w:val="00391B6D"/>
    <w:rsid w:val="00394922"/>
    <w:rsid w:val="003A0E32"/>
    <w:rsid w:val="003A1AC3"/>
    <w:rsid w:val="003A2B94"/>
    <w:rsid w:val="003A5B44"/>
    <w:rsid w:val="003B387D"/>
    <w:rsid w:val="003C0D58"/>
    <w:rsid w:val="003D4FA3"/>
    <w:rsid w:val="003E0807"/>
    <w:rsid w:val="003E51FB"/>
    <w:rsid w:val="003E6B39"/>
    <w:rsid w:val="003F07E1"/>
    <w:rsid w:val="003F08A1"/>
    <w:rsid w:val="004030BC"/>
    <w:rsid w:val="00403F7D"/>
    <w:rsid w:val="00406785"/>
    <w:rsid w:val="004067AA"/>
    <w:rsid w:val="004079B4"/>
    <w:rsid w:val="00410AAD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409A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4346"/>
    <w:rsid w:val="004C0165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0F1A"/>
    <w:rsid w:val="005142C4"/>
    <w:rsid w:val="00514990"/>
    <w:rsid w:val="0051509C"/>
    <w:rsid w:val="005272E2"/>
    <w:rsid w:val="0053108F"/>
    <w:rsid w:val="00532B56"/>
    <w:rsid w:val="005336DF"/>
    <w:rsid w:val="00534B10"/>
    <w:rsid w:val="005446A2"/>
    <w:rsid w:val="00544D2F"/>
    <w:rsid w:val="00551BD8"/>
    <w:rsid w:val="00561C09"/>
    <w:rsid w:val="00581055"/>
    <w:rsid w:val="0058360D"/>
    <w:rsid w:val="00587FB8"/>
    <w:rsid w:val="00591E38"/>
    <w:rsid w:val="005A0D96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14236"/>
    <w:rsid w:val="00624C4E"/>
    <w:rsid w:val="00625200"/>
    <w:rsid w:val="00633A5F"/>
    <w:rsid w:val="006363A8"/>
    <w:rsid w:val="00636DB7"/>
    <w:rsid w:val="00641BE3"/>
    <w:rsid w:val="00643D63"/>
    <w:rsid w:val="00650905"/>
    <w:rsid w:val="006532ED"/>
    <w:rsid w:val="006549F2"/>
    <w:rsid w:val="006553F1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0FAD"/>
    <w:rsid w:val="006A1666"/>
    <w:rsid w:val="006B160A"/>
    <w:rsid w:val="006B4E6C"/>
    <w:rsid w:val="006B50B6"/>
    <w:rsid w:val="006C54C3"/>
    <w:rsid w:val="006D79EA"/>
    <w:rsid w:val="006E5D05"/>
    <w:rsid w:val="00701053"/>
    <w:rsid w:val="00701507"/>
    <w:rsid w:val="00704E19"/>
    <w:rsid w:val="00714021"/>
    <w:rsid w:val="00716A0F"/>
    <w:rsid w:val="00717D45"/>
    <w:rsid w:val="007208F7"/>
    <w:rsid w:val="007218AF"/>
    <w:rsid w:val="00732B13"/>
    <w:rsid w:val="007365D1"/>
    <w:rsid w:val="00740E0E"/>
    <w:rsid w:val="00750212"/>
    <w:rsid w:val="00754779"/>
    <w:rsid w:val="0075716D"/>
    <w:rsid w:val="00765F14"/>
    <w:rsid w:val="007661B7"/>
    <w:rsid w:val="00770E31"/>
    <w:rsid w:val="00773970"/>
    <w:rsid w:val="007770F1"/>
    <w:rsid w:val="00783FB1"/>
    <w:rsid w:val="00785CDD"/>
    <w:rsid w:val="00791847"/>
    <w:rsid w:val="007925F0"/>
    <w:rsid w:val="007939B3"/>
    <w:rsid w:val="0079509C"/>
    <w:rsid w:val="00796708"/>
    <w:rsid w:val="007B0A5B"/>
    <w:rsid w:val="007B1B42"/>
    <w:rsid w:val="007C30EB"/>
    <w:rsid w:val="007D1232"/>
    <w:rsid w:val="007E063C"/>
    <w:rsid w:val="007E2A4B"/>
    <w:rsid w:val="007E307D"/>
    <w:rsid w:val="007E66A2"/>
    <w:rsid w:val="007E6A4E"/>
    <w:rsid w:val="007E6C94"/>
    <w:rsid w:val="007F1005"/>
    <w:rsid w:val="007F24E1"/>
    <w:rsid w:val="007F25E0"/>
    <w:rsid w:val="007F5328"/>
    <w:rsid w:val="00804F5A"/>
    <w:rsid w:val="00807EC9"/>
    <w:rsid w:val="00810C6D"/>
    <w:rsid w:val="00812887"/>
    <w:rsid w:val="00826F21"/>
    <w:rsid w:val="00834CC8"/>
    <w:rsid w:val="00835E00"/>
    <w:rsid w:val="00837113"/>
    <w:rsid w:val="008414E4"/>
    <w:rsid w:val="00843E21"/>
    <w:rsid w:val="00843FA7"/>
    <w:rsid w:val="0084508E"/>
    <w:rsid w:val="00851261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97DBB"/>
    <w:rsid w:val="008A36CF"/>
    <w:rsid w:val="008A3BC4"/>
    <w:rsid w:val="008B403C"/>
    <w:rsid w:val="008B7983"/>
    <w:rsid w:val="008C061C"/>
    <w:rsid w:val="008C2511"/>
    <w:rsid w:val="008C6734"/>
    <w:rsid w:val="008D026D"/>
    <w:rsid w:val="008D23AB"/>
    <w:rsid w:val="008D4B8B"/>
    <w:rsid w:val="008D5A78"/>
    <w:rsid w:val="008E7B64"/>
    <w:rsid w:val="008F575A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377"/>
    <w:rsid w:val="009B2FF2"/>
    <w:rsid w:val="009B30AF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3D7B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71CF"/>
    <w:rsid w:val="00A53681"/>
    <w:rsid w:val="00A633D4"/>
    <w:rsid w:val="00A6461A"/>
    <w:rsid w:val="00A84504"/>
    <w:rsid w:val="00A8672F"/>
    <w:rsid w:val="00A93057"/>
    <w:rsid w:val="00A94300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3D1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961D1"/>
    <w:rsid w:val="00BA0B38"/>
    <w:rsid w:val="00BA1DBB"/>
    <w:rsid w:val="00BA4510"/>
    <w:rsid w:val="00BA529A"/>
    <w:rsid w:val="00BB612A"/>
    <w:rsid w:val="00BC3E2E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3170"/>
    <w:rsid w:val="00CB6BC1"/>
    <w:rsid w:val="00CB6CB8"/>
    <w:rsid w:val="00CC1A68"/>
    <w:rsid w:val="00CC2123"/>
    <w:rsid w:val="00CD2BFD"/>
    <w:rsid w:val="00CE5AD6"/>
    <w:rsid w:val="00CE617F"/>
    <w:rsid w:val="00CE78EF"/>
    <w:rsid w:val="00D01BF1"/>
    <w:rsid w:val="00D048F7"/>
    <w:rsid w:val="00D0517E"/>
    <w:rsid w:val="00D062DF"/>
    <w:rsid w:val="00D07B5A"/>
    <w:rsid w:val="00D140FC"/>
    <w:rsid w:val="00D14230"/>
    <w:rsid w:val="00D21D8C"/>
    <w:rsid w:val="00D31357"/>
    <w:rsid w:val="00D33220"/>
    <w:rsid w:val="00D334D1"/>
    <w:rsid w:val="00D37824"/>
    <w:rsid w:val="00D44C89"/>
    <w:rsid w:val="00D516CD"/>
    <w:rsid w:val="00D563AB"/>
    <w:rsid w:val="00D61BFF"/>
    <w:rsid w:val="00D668E6"/>
    <w:rsid w:val="00D7040B"/>
    <w:rsid w:val="00D70670"/>
    <w:rsid w:val="00D74D80"/>
    <w:rsid w:val="00D76624"/>
    <w:rsid w:val="00D87570"/>
    <w:rsid w:val="00D91CB9"/>
    <w:rsid w:val="00D96C20"/>
    <w:rsid w:val="00D97989"/>
    <w:rsid w:val="00D97D8D"/>
    <w:rsid w:val="00DA352E"/>
    <w:rsid w:val="00DA3CD9"/>
    <w:rsid w:val="00DC6C5D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5B6E"/>
    <w:rsid w:val="00E26A07"/>
    <w:rsid w:val="00E32595"/>
    <w:rsid w:val="00E37CFD"/>
    <w:rsid w:val="00E41A26"/>
    <w:rsid w:val="00E46BCB"/>
    <w:rsid w:val="00E50930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97AD2"/>
    <w:rsid w:val="00EA0A06"/>
    <w:rsid w:val="00EA6243"/>
    <w:rsid w:val="00EA74AB"/>
    <w:rsid w:val="00EB3D1B"/>
    <w:rsid w:val="00EC6648"/>
    <w:rsid w:val="00ED1D89"/>
    <w:rsid w:val="00ED66BC"/>
    <w:rsid w:val="00EF233A"/>
    <w:rsid w:val="00EF303E"/>
    <w:rsid w:val="00EF3A40"/>
    <w:rsid w:val="00EF4C60"/>
    <w:rsid w:val="00EF7F78"/>
    <w:rsid w:val="00F01B08"/>
    <w:rsid w:val="00F01C4D"/>
    <w:rsid w:val="00F053FA"/>
    <w:rsid w:val="00F071F9"/>
    <w:rsid w:val="00F07835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5460"/>
    <w:rsid w:val="00F87D92"/>
    <w:rsid w:val="00F90AA7"/>
    <w:rsid w:val="00F92498"/>
    <w:rsid w:val="00F9496B"/>
    <w:rsid w:val="00F970C9"/>
    <w:rsid w:val="00FA06A8"/>
    <w:rsid w:val="00FA3DF5"/>
    <w:rsid w:val="00FA409F"/>
    <w:rsid w:val="00FA4D9F"/>
    <w:rsid w:val="00FA741F"/>
    <w:rsid w:val="00FA7823"/>
    <w:rsid w:val="00FB4E07"/>
    <w:rsid w:val="00FB755A"/>
    <w:rsid w:val="00FC485E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13E98F3A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8F5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7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7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75A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D3782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E2840EA2F6704E9582DA6F2D4A825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B11-C515-4E3A-8B1E-FD71B0407394}"/>
      </w:docPartPr>
      <w:docPartBody>
        <w:p w:rsidR="00F21E2C" w:rsidRDefault="00965C79" w:rsidP="00965C79">
          <w:pPr>
            <w:pStyle w:val="E2840EA2F6704E9582DA6F2D4A825C57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426616"/>
    <w:rsid w:val="00965C79"/>
    <w:rsid w:val="00C32B39"/>
    <w:rsid w:val="00D21A9F"/>
    <w:rsid w:val="00E534A8"/>
    <w:rsid w:val="00F2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C79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FB0556DE5FC94AC8861647B71716FC8F">
    <w:name w:val="FB0556DE5FC94AC8861647B71716FC8F"/>
    <w:rsid w:val="00C32B39"/>
    <w:rPr>
      <w:lang w:val="en-US" w:eastAsia="en-US"/>
    </w:rPr>
  </w:style>
  <w:style w:type="paragraph" w:customStyle="1" w:styleId="63E4AE42039247CD926BD67374B6812F">
    <w:name w:val="63E4AE42039247CD926BD67374B6812F"/>
    <w:rsid w:val="00C32B39"/>
    <w:rPr>
      <w:lang w:val="en-US" w:eastAsia="en-US"/>
    </w:rPr>
  </w:style>
  <w:style w:type="paragraph" w:customStyle="1" w:styleId="A0B969A3A46643C098672B0C3B9B131C">
    <w:name w:val="A0B969A3A46643C098672B0C3B9B131C"/>
    <w:rsid w:val="00C32B39"/>
    <w:rPr>
      <w:lang w:val="en-US" w:eastAsia="en-US"/>
    </w:rPr>
  </w:style>
  <w:style w:type="paragraph" w:customStyle="1" w:styleId="4A116518719342F9BC11E8C99A3553CD">
    <w:name w:val="4A116518719342F9BC11E8C99A3553CD"/>
    <w:rsid w:val="00C32B39"/>
    <w:rPr>
      <w:lang w:val="en-US" w:eastAsia="en-US"/>
    </w:rPr>
  </w:style>
  <w:style w:type="paragraph" w:customStyle="1" w:styleId="E2840EA2F6704E9582DA6F2D4A825C57">
    <w:name w:val="E2840EA2F6704E9582DA6F2D4A825C57"/>
    <w:rsid w:val="00965C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DA691-EAAC-4CA7-9E51-77F8FB6CA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1FDF1C-79F7-4FF1-94D9-07063092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2840EDAB.dotm</Template>
  <TotalTime>654</TotalTime>
  <Pages>6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60</cp:revision>
  <cp:lastPrinted>2018-10-22T22:41:00Z</cp:lastPrinted>
  <dcterms:created xsi:type="dcterms:W3CDTF">2019-04-14T23:55:00Z</dcterms:created>
  <dcterms:modified xsi:type="dcterms:W3CDTF">2019-09-13T06:28:00Z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