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BDE15C7" w14:textId="77777777" w:rsidR="00BD499F" w:rsidRPr="004C23F4" w:rsidRDefault="00D57EA5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Butyl mercaptan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091E015F" w14:textId="77777777" w:rsidTr="008476F3">
        <w:trPr>
          <w:cantSplit/>
          <w:tblHeader/>
        </w:trPr>
        <w:tc>
          <w:tcPr>
            <w:tcW w:w="3987" w:type="dxa"/>
          </w:tcPr>
          <w:p w14:paraId="41F6743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14:paraId="26D65F98" w14:textId="2A5A2157" w:rsidR="00F43AD5" w:rsidRPr="00717D45" w:rsidRDefault="00794823" w:rsidP="00B76A41">
            <w:pPr>
              <w:pStyle w:val="Tablefont"/>
            </w:pPr>
            <w:r>
              <w:t>109-79-5</w:t>
            </w:r>
          </w:p>
        </w:tc>
      </w:tr>
      <w:tr w:rsidR="00F43AD5" w:rsidRPr="004C23F4" w14:paraId="05479A04" w14:textId="77777777" w:rsidTr="008476F3">
        <w:trPr>
          <w:cantSplit/>
        </w:trPr>
        <w:tc>
          <w:tcPr>
            <w:tcW w:w="3987" w:type="dxa"/>
          </w:tcPr>
          <w:p w14:paraId="5F2740F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14:paraId="7FF56C45" w14:textId="7575E122" w:rsidR="00F43AD5" w:rsidRPr="00717D45" w:rsidRDefault="00794823" w:rsidP="00B76A41">
            <w:pPr>
              <w:pStyle w:val="Tablefont"/>
            </w:pPr>
            <w:r>
              <w:t>n-</w:t>
            </w:r>
            <w:proofErr w:type="spellStart"/>
            <w:r>
              <w:t>Butanethiol</w:t>
            </w:r>
            <w:proofErr w:type="spellEnd"/>
            <w:r>
              <w:t>, 1-butanethiol, butane-1-thiol</w:t>
            </w:r>
          </w:p>
        </w:tc>
      </w:tr>
      <w:tr w:rsidR="00F43AD5" w:rsidRPr="004C23F4" w14:paraId="109AA017" w14:textId="77777777" w:rsidTr="008476F3">
        <w:trPr>
          <w:cantSplit/>
        </w:trPr>
        <w:tc>
          <w:tcPr>
            <w:tcW w:w="3987" w:type="dxa"/>
          </w:tcPr>
          <w:p w14:paraId="26EC442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9" w:type="dxa"/>
          </w:tcPr>
          <w:p w14:paraId="51003914" w14:textId="7C176900" w:rsidR="00F43AD5" w:rsidRPr="00FE4E67" w:rsidRDefault="00FE4E67" w:rsidP="00B76A41">
            <w:pPr>
              <w:pStyle w:val="Tablefont"/>
            </w:pPr>
            <w:r>
              <w:t>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9</w:t>
            </w:r>
            <w:r>
              <w:t>SH</w:t>
            </w:r>
          </w:p>
        </w:tc>
      </w:tr>
    </w:tbl>
    <w:p w14:paraId="6D59184C" w14:textId="1220FB0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23F8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27B007E9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0E06118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19DBFE1B" w14:textId="4CD1993F" w:rsidR="002C7AFE" w:rsidRPr="00EB3D1B" w:rsidRDefault="00980770" w:rsidP="00017C82">
            <w:pPr>
              <w:pStyle w:val="Tablefont"/>
              <w:rPr>
                <w:b/>
              </w:rPr>
            </w:pPr>
            <w:r w:rsidRPr="00980770">
              <w:rPr>
                <w:b/>
              </w:rPr>
              <w:t>0.5 ppm (1.8 mg/m</w:t>
            </w:r>
            <w:r w:rsidRPr="00980770">
              <w:rPr>
                <w:b/>
                <w:vertAlign w:val="superscript"/>
              </w:rPr>
              <w:t>3</w:t>
            </w:r>
            <w:r w:rsidRPr="00980770">
              <w:rPr>
                <w:b/>
              </w:rPr>
              <w:t>)</w:t>
            </w:r>
          </w:p>
        </w:tc>
      </w:tr>
      <w:tr w:rsidR="002C7AFE" w:rsidRPr="004C23F4" w14:paraId="5B58551F" w14:textId="77777777" w:rsidTr="00921DE7">
        <w:trPr>
          <w:cantSplit/>
        </w:trPr>
        <w:tc>
          <w:tcPr>
            <w:tcW w:w="4077" w:type="dxa"/>
            <w:vAlign w:val="center"/>
          </w:tcPr>
          <w:p w14:paraId="272C2EA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507125D" w14:textId="117EAEFB" w:rsidR="002C7AFE" w:rsidRPr="00EB3D1B" w:rsidRDefault="0098077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F1221C8" w14:textId="77777777" w:rsidTr="00921DE7">
        <w:trPr>
          <w:cantSplit/>
        </w:trPr>
        <w:tc>
          <w:tcPr>
            <w:tcW w:w="4077" w:type="dxa"/>
            <w:vAlign w:val="center"/>
          </w:tcPr>
          <w:p w14:paraId="66C6703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65CB9B4F" w14:textId="00C954C1" w:rsidR="002C7AFE" w:rsidRPr="00EB3D1B" w:rsidRDefault="0098077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B2435F5" w14:textId="77777777" w:rsidTr="00A2073D">
        <w:trPr>
          <w:cantSplit/>
        </w:trPr>
        <w:tc>
          <w:tcPr>
            <w:tcW w:w="4077" w:type="dxa"/>
          </w:tcPr>
          <w:p w14:paraId="05A6C7B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6A481A42" w14:textId="77A38002" w:rsidR="002C7AFE" w:rsidRPr="00EB3D1B" w:rsidRDefault="0098077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42416B96" w14:textId="77777777" w:rsidTr="00921DE7">
        <w:trPr>
          <w:cantSplit/>
        </w:trPr>
        <w:tc>
          <w:tcPr>
            <w:tcW w:w="4077" w:type="dxa"/>
            <w:vAlign w:val="center"/>
          </w:tcPr>
          <w:p w14:paraId="41085002" w14:textId="66C12C0F" w:rsidR="00F10C97" w:rsidRPr="002C58FF" w:rsidRDefault="00921DE7" w:rsidP="009E2578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76F2234E" w14:textId="220966C1" w:rsidR="002C7AFE" w:rsidRPr="00980770" w:rsidRDefault="0079482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  <w:r w:rsidR="00980770">
              <w:rPr>
                <w:b/>
              </w:rPr>
              <w:t xml:space="preserve"> (1</w:t>
            </w:r>
            <w:r w:rsidR="00DC640E">
              <w:rPr>
                <w:b/>
              </w:rPr>
              <w:t>,</w:t>
            </w:r>
            <w:r w:rsidR="00980770">
              <w:rPr>
                <w:b/>
              </w:rPr>
              <w:t>844 mg/m</w:t>
            </w:r>
            <w:r w:rsidR="00980770">
              <w:rPr>
                <w:b/>
                <w:vertAlign w:val="superscript"/>
              </w:rPr>
              <w:t>3</w:t>
            </w:r>
            <w:r w:rsidR="00980770">
              <w:rPr>
                <w:b/>
              </w:rPr>
              <w:t>)</w:t>
            </w:r>
          </w:p>
        </w:tc>
      </w:tr>
      <w:tr w:rsidR="009E2578" w:rsidRPr="004C23F4" w14:paraId="53D9987C" w14:textId="77777777" w:rsidTr="00921DE7">
        <w:trPr>
          <w:cantSplit/>
        </w:trPr>
        <w:tc>
          <w:tcPr>
            <w:tcW w:w="4077" w:type="dxa"/>
            <w:vAlign w:val="center"/>
          </w:tcPr>
          <w:p w14:paraId="5B34D7F3" w14:textId="447F767B" w:rsidR="009E2578" w:rsidRPr="009E2578" w:rsidRDefault="009E2578" w:rsidP="00921DE7">
            <w:pPr>
              <w:pStyle w:val="Tablerowright"/>
              <w:rPr>
                <w:b w:val="0"/>
              </w:rPr>
            </w:pPr>
            <w:r>
              <w:t>Sampling and analysis:</w:t>
            </w:r>
          </w:p>
        </w:tc>
        <w:tc>
          <w:tcPr>
            <w:tcW w:w="5165" w:type="dxa"/>
          </w:tcPr>
          <w:p w14:paraId="154D5C46" w14:textId="233E133B" w:rsidR="009E2578" w:rsidRPr="009E2578" w:rsidRDefault="009E2578" w:rsidP="00017C82">
            <w:pPr>
              <w:pStyle w:val="Tablefont"/>
            </w:pPr>
            <w:r w:rsidRPr="009E2578">
              <w:rPr>
                <w:rFonts w:cs="Arial"/>
                <w:iCs/>
              </w:rPr>
              <w:t>The recommended value is readily quantifiable through currently available sampling and analysis techniques.</w:t>
            </w:r>
          </w:p>
        </w:tc>
      </w:tr>
    </w:tbl>
    <w:p w14:paraId="62C923E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0BB316A" w14:textId="4ECDD1D3" w:rsidR="004B2F0C" w:rsidRDefault="00980770" w:rsidP="000C139A">
      <w:r>
        <w:rPr>
          <w:rFonts w:cs="Arial"/>
        </w:rPr>
        <w:t>A TWA of 0.5 ppm (1.8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</w:t>
      </w:r>
      <w:r w:rsidR="00306FF2">
        <w:rPr>
          <w:rFonts w:cs="Arial"/>
        </w:rPr>
        <w:t>recommended</w:t>
      </w:r>
      <w:r>
        <w:rPr>
          <w:rFonts w:cs="Arial"/>
        </w:rPr>
        <w:t xml:space="preserve"> to</w:t>
      </w:r>
      <w:r w:rsidR="00306FF2">
        <w:rPr>
          <w:rFonts w:cs="Arial"/>
        </w:rPr>
        <w:t xml:space="preserve"> protect for</w:t>
      </w:r>
      <w:r>
        <w:rPr>
          <w:rFonts w:cs="Arial"/>
        </w:rPr>
        <w:t xml:space="preserve"> </w:t>
      </w:r>
      <w:r w:rsidR="00CD4447">
        <w:rPr>
          <w:rFonts w:cs="Arial"/>
        </w:rPr>
        <w:t xml:space="preserve">irritation of </w:t>
      </w:r>
      <w:r>
        <w:t>mucous membranes</w:t>
      </w:r>
      <w:r w:rsidR="00097799">
        <w:t xml:space="preserve"> </w:t>
      </w:r>
      <w:r>
        <w:t xml:space="preserve">in </w:t>
      </w:r>
      <w:r w:rsidR="00306FF2">
        <w:t>exposed</w:t>
      </w:r>
      <w:r w:rsidR="004B2F0C">
        <w:t xml:space="preserve"> </w:t>
      </w:r>
      <w:r>
        <w:t xml:space="preserve">workers. </w:t>
      </w:r>
    </w:p>
    <w:p w14:paraId="29756623" w14:textId="55B377FF" w:rsidR="00C7155E" w:rsidRPr="004C23F4" w:rsidRDefault="00F10C97" w:rsidP="003365A5">
      <w:pPr>
        <w:pStyle w:val="Heading2"/>
      </w:pPr>
      <w:r>
        <w:t>Discussion and conclusions</w:t>
      </w:r>
    </w:p>
    <w:p w14:paraId="154AA16E" w14:textId="59AB24DF" w:rsidR="00CD4447" w:rsidRDefault="00697B82" w:rsidP="006639B4">
      <w:pPr>
        <w:rPr>
          <w:rFonts w:cs="Arial"/>
        </w:rPr>
      </w:pPr>
      <w:r>
        <w:rPr>
          <w:rFonts w:cs="Arial"/>
        </w:rPr>
        <w:t xml:space="preserve">Butyl </w:t>
      </w:r>
      <w:proofErr w:type="spellStart"/>
      <w:r>
        <w:rPr>
          <w:rFonts w:cs="Arial"/>
        </w:rPr>
        <w:t>mercaptan</w:t>
      </w:r>
      <w:proofErr w:type="spellEnd"/>
      <w:r>
        <w:rPr>
          <w:rFonts w:cs="Arial"/>
        </w:rPr>
        <w:t xml:space="preserve"> is typically used as a solvent</w:t>
      </w:r>
      <w:r w:rsidR="00FF7773">
        <w:rPr>
          <w:rFonts w:cs="Arial"/>
        </w:rPr>
        <w:t xml:space="preserve"> and</w:t>
      </w:r>
      <w:r>
        <w:rPr>
          <w:rFonts w:cs="Arial"/>
        </w:rPr>
        <w:t xml:space="preserve"> an intermediate in pesticide production</w:t>
      </w:r>
      <w:r w:rsidR="00FF7773">
        <w:rPr>
          <w:rFonts w:cs="Arial"/>
        </w:rPr>
        <w:t>. It is used as a</w:t>
      </w:r>
      <w:r>
        <w:rPr>
          <w:rFonts w:cs="Arial"/>
        </w:rPr>
        <w:t xml:space="preserve">n </w:t>
      </w:r>
      <w:proofErr w:type="spellStart"/>
      <w:r>
        <w:rPr>
          <w:rFonts w:cs="Arial"/>
        </w:rPr>
        <w:t>odourant</w:t>
      </w:r>
      <w:proofErr w:type="spellEnd"/>
      <w:r>
        <w:rPr>
          <w:rFonts w:cs="Arial"/>
        </w:rPr>
        <w:t xml:space="preserve"> for natural gas due to its </w:t>
      </w:r>
      <w:r w:rsidR="00FE4E67">
        <w:rPr>
          <w:rFonts w:cs="Arial"/>
        </w:rPr>
        <w:t xml:space="preserve">recognisably </w:t>
      </w:r>
      <w:r>
        <w:rPr>
          <w:rFonts w:cs="Arial"/>
        </w:rPr>
        <w:t xml:space="preserve">disagreeable odour </w:t>
      </w:r>
      <w:r w:rsidR="00FE4E67">
        <w:rPr>
          <w:rFonts w:cs="Arial"/>
        </w:rPr>
        <w:t>at</w:t>
      </w:r>
      <w:r>
        <w:rPr>
          <w:rFonts w:cs="Arial"/>
        </w:rPr>
        <w:t xml:space="preserve"> extremely low </w:t>
      </w:r>
      <w:r w:rsidR="00FE4E67">
        <w:rPr>
          <w:rFonts w:cs="Arial"/>
        </w:rPr>
        <w:t>concentrations</w:t>
      </w:r>
      <w:r>
        <w:rPr>
          <w:rFonts w:cs="Arial"/>
        </w:rPr>
        <w:t xml:space="preserve"> (0.0001</w:t>
      </w:r>
      <w:r w:rsidR="002D2F2A">
        <w:t>–</w:t>
      </w:r>
      <w:r>
        <w:rPr>
          <w:rFonts w:cs="Arial"/>
        </w:rPr>
        <w:t xml:space="preserve">0.001 ppm). </w:t>
      </w:r>
      <w:r w:rsidR="008476F3">
        <w:rPr>
          <w:rFonts w:cs="Arial"/>
        </w:rPr>
        <w:t xml:space="preserve">Ethyl </w:t>
      </w:r>
      <w:proofErr w:type="spellStart"/>
      <w:r w:rsidR="008476F3">
        <w:rPr>
          <w:rFonts w:cs="Arial"/>
        </w:rPr>
        <w:t>mercaptan</w:t>
      </w:r>
      <w:proofErr w:type="spellEnd"/>
      <w:r w:rsidR="008476F3">
        <w:rPr>
          <w:rFonts w:cs="Arial"/>
        </w:rPr>
        <w:t xml:space="preserve"> is structurally similar, </w:t>
      </w:r>
      <w:r w:rsidR="00CD4447">
        <w:rPr>
          <w:rFonts w:cs="Arial"/>
        </w:rPr>
        <w:t>exhibits a comparable toxicological profile</w:t>
      </w:r>
      <w:r w:rsidR="00FF7773">
        <w:rPr>
          <w:rFonts w:cs="Arial"/>
        </w:rPr>
        <w:t xml:space="preserve"> and</w:t>
      </w:r>
      <w:r w:rsidR="00CD4447">
        <w:rPr>
          <w:rFonts w:cs="Arial"/>
        </w:rPr>
        <w:t xml:space="preserve"> is more thoroughly investigated than the butyl homologue (ACGIH, 2018).</w:t>
      </w:r>
    </w:p>
    <w:p w14:paraId="2DFD255E" w14:textId="27D2C749" w:rsidR="00197F67" w:rsidRDefault="00697B82" w:rsidP="006639B4">
      <w:pPr>
        <w:rPr>
          <w:rFonts w:cs="Arial"/>
        </w:rPr>
      </w:pPr>
      <w:r>
        <w:rPr>
          <w:rFonts w:cs="Arial"/>
        </w:rPr>
        <w:t xml:space="preserve">Critical effects of exposure are irritation </w:t>
      </w:r>
      <w:r w:rsidR="00CD4447">
        <w:rPr>
          <w:rFonts w:cs="Arial"/>
        </w:rPr>
        <w:t>of</w:t>
      </w:r>
      <w:r>
        <w:rPr>
          <w:rFonts w:cs="Arial"/>
        </w:rPr>
        <w:t xml:space="preserve"> mucous membranes</w:t>
      </w:r>
      <w:r w:rsidR="00C82546">
        <w:rPr>
          <w:rFonts w:cs="Arial"/>
        </w:rPr>
        <w:t xml:space="preserve"> </w:t>
      </w:r>
      <w:r>
        <w:rPr>
          <w:rFonts w:cs="Arial"/>
        </w:rPr>
        <w:t>and at higher concentrations</w:t>
      </w:r>
      <w:r w:rsidR="00CD4447">
        <w:rPr>
          <w:rFonts w:cs="Arial"/>
        </w:rPr>
        <w:t>,</w:t>
      </w:r>
      <w:r>
        <w:rPr>
          <w:rFonts w:cs="Arial"/>
        </w:rPr>
        <w:t xml:space="preserve"> central nervous system effects including sweating, nausea, headache and </w:t>
      </w:r>
      <w:r w:rsidR="0078368D">
        <w:rPr>
          <w:rFonts w:cs="Arial"/>
        </w:rPr>
        <w:t xml:space="preserve">muscular </w:t>
      </w:r>
      <w:r>
        <w:rPr>
          <w:rFonts w:cs="Arial"/>
        </w:rPr>
        <w:t>weakness</w:t>
      </w:r>
      <w:r w:rsidR="00FE4E67">
        <w:rPr>
          <w:rFonts w:cs="Arial"/>
        </w:rPr>
        <w:t xml:space="preserve"> (ACGIH,</w:t>
      </w:r>
      <w:r w:rsidR="00D90683">
        <w:rPr>
          <w:rFonts w:cs="Arial"/>
        </w:rPr>
        <w:t> </w:t>
      </w:r>
      <w:r w:rsidR="006502C7">
        <w:rPr>
          <w:rFonts w:cs="Arial"/>
        </w:rPr>
        <w:t>2018</w:t>
      </w:r>
      <w:r w:rsidR="00FE4E67">
        <w:rPr>
          <w:rFonts w:cs="Arial"/>
        </w:rPr>
        <w:t>)</w:t>
      </w:r>
      <w:r>
        <w:rPr>
          <w:rFonts w:cs="Arial"/>
        </w:rPr>
        <w:t>.</w:t>
      </w:r>
      <w:r w:rsidR="00FE4E67">
        <w:rPr>
          <w:rFonts w:cs="Arial"/>
        </w:rPr>
        <w:t xml:space="preserve"> </w:t>
      </w:r>
      <w:r w:rsidR="00CD4447">
        <w:rPr>
          <w:rFonts w:cs="Arial"/>
        </w:rPr>
        <w:t xml:space="preserve">A NOAEL of 10 ppm for maternal toxicity is reported in a developmental study with rats exposed to n-butyl </w:t>
      </w:r>
      <w:proofErr w:type="spellStart"/>
      <w:r w:rsidR="00CD4447">
        <w:rPr>
          <w:rFonts w:cs="Arial"/>
        </w:rPr>
        <w:t>mercaptan</w:t>
      </w:r>
      <w:proofErr w:type="spellEnd"/>
      <w:r w:rsidR="00CD4447">
        <w:rPr>
          <w:rFonts w:cs="Arial"/>
        </w:rPr>
        <w:t xml:space="preserve"> (</w:t>
      </w:r>
      <w:r w:rsidR="00CD4447">
        <w:t xml:space="preserve">six hours per day for 14 days). A NOAEL </w:t>
      </w:r>
      <w:r w:rsidR="00CD4447">
        <w:rPr>
          <w:rFonts w:cs="Arial"/>
        </w:rPr>
        <w:t xml:space="preserve">in mice could not be established for the same concentration ranges </w:t>
      </w:r>
      <w:r w:rsidR="00CD4447" w:rsidRPr="00DA1814">
        <w:rPr>
          <w:rFonts w:cs="Arial"/>
        </w:rPr>
        <w:t xml:space="preserve">due to maternal and developmental toxicity at 10 ppm </w:t>
      </w:r>
      <w:r w:rsidR="00CD4447">
        <w:rPr>
          <w:rFonts w:cs="Arial"/>
        </w:rPr>
        <w:t>(HCOTN, 2005).</w:t>
      </w:r>
      <w:r w:rsidR="00FF7773">
        <w:rPr>
          <w:rFonts w:cs="Arial"/>
        </w:rPr>
        <w:t xml:space="preserve"> </w:t>
      </w:r>
    </w:p>
    <w:p w14:paraId="17DC1A7E" w14:textId="10DC0300" w:rsidR="006639B4" w:rsidRPr="004C23F4" w:rsidRDefault="00FE4E67">
      <w:pPr>
        <w:rPr>
          <w:rFonts w:cs="Arial"/>
        </w:rPr>
      </w:pPr>
      <w:r>
        <w:rPr>
          <w:rFonts w:cs="Arial"/>
        </w:rPr>
        <w:t xml:space="preserve">The </w:t>
      </w:r>
      <w:r w:rsidR="00A02BCB">
        <w:rPr>
          <w:rFonts w:cs="Arial"/>
        </w:rPr>
        <w:t xml:space="preserve">recommended </w:t>
      </w:r>
      <w:r>
        <w:rPr>
          <w:rFonts w:cs="Arial"/>
        </w:rPr>
        <w:t xml:space="preserve">TWA </w:t>
      </w:r>
      <w:r w:rsidR="00A02BCB">
        <w:rPr>
          <w:rFonts w:cs="Arial"/>
        </w:rPr>
        <w:t>of 0.5 ppm (1.8 mg/m</w:t>
      </w:r>
      <w:r w:rsidR="00A02BCB">
        <w:rPr>
          <w:rFonts w:cs="Arial"/>
          <w:vertAlign w:val="superscript"/>
        </w:rPr>
        <w:t>3</w:t>
      </w:r>
      <w:r w:rsidR="00A02BCB">
        <w:rPr>
          <w:rFonts w:cs="Arial"/>
        </w:rPr>
        <w:t xml:space="preserve">) </w:t>
      </w:r>
      <w:r>
        <w:rPr>
          <w:rFonts w:cs="Arial"/>
        </w:rPr>
        <w:t xml:space="preserve">is based on </w:t>
      </w:r>
      <w:r w:rsidR="00FB4DFE">
        <w:rPr>
          <w:rFonts w:cs="Arial"/>
        </w:rPr>
        <w:t xml:space="preserve">a </w:t>
      </w:r>
      <w:r w:rsidR="00FB4DFE">
        <w:t xml:space="preserve">NOAEL of 0.5 ppm for </w:t>
      </w:r>
      <w:r w:rsidR="00FF7773">
        <w:t xml:space="preserve">the analogous ethyl </w:t>
      </w:r>
      <w:proofErr w:type="spellStart"/>
      <w:r w:rsidR="00FF7773">
        <w:t>mercaptan</w:t>
      </w:r>
      <w:proofErr w:type="spellEnd"/>
      <w:r w:rsidR="00FF7773">
        <w:t xml:space="preserve"> for </w:t>
      </w:r>
      <w:r w:rsidR="00FB4DFE">
        <w:t xml:space="preserve">mucous membrane irritation and altered taste perception in humans </w:t>
      </w:r>
      <w:r w:rsidR="00A02BCB">
        <w:t>(</w:t>
      </w:r>
      <w:r w:rsidR="006C4BEB">
        <w:t>ACGIH, 2018)</w:t>
      </w:r>
      <w:r w:rsidR="00C82546">
        <w:t>.</w:t>
      </w:r>
      <w:r w:rsidR="00AF0E1E">
        <w:rPr>
          <w:rFonts w:cs="Arial"/>
        </w:rPr>
        <w:t xml:space="preserve"> </w:t>
      </w:r>
      <w:r w:rsidR="00A02BCB">
        <w:rPr>
          <w:rFonts w:cs="Arial"/>
        </w:rPr>
        <w:t xml:space="preserve">This </w:t>
      </w:r>
      <w:r w:rsidR="00FF7773">
        <w:rPr>
          <w:rFonts w:cs="Arial"/>
        </w:rPr>
        <w:t>TWA is expected to be sufficiently protect</w:t>
      </w:r>
      <w:r w:rsidR="00A02BCB">
        <w:rPr>
          <w:rFonts w:cs="Arial"/>
        </w:rPr>
        <w:t>ive</w:t>
      </w:r>
      <w:r w:rsidR="00FF7773">
        <w:rPr>
          <w:rFonts w:cs="Arial"/>
        </w:rPr>
        <w:t xml:space="preserve"> for </w:t>
      </w:r>
      <w:r w:rsidR="00A02BCB">
        <w:rPr>
          <w:rFonts w:cs="Arial"/>
        </w:rPr>
        <w:t>irritation and reproductive adverse effects</w:t>
      </w:r>
      <w:r w:rsidR="00FF7773">
        <w:rPr>
          <w:rFonts w:cs="Arial"/>
        </w:rPr>
        <w:t>.</w:t>
      </w:r>
    </w:p>
    <w:p w14:paraId="71F11C1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489BB13" w14:textId="340639C2" w:rsidR="00075B94" w:rsidRDefault="00075B94">
      <w:pPr>
        <w:rPr>
          <w:rFonts w:cs="Arial"/>
        </w:rPr>
      </w:pPr>
      <w:r w:rsidRPr="00075B94">
        <w:rPr>
          <w:rFonts w:cs="Arial"/>
        </w:rPr>
        <w:t>Not classified as a carcinogen according to the Globally Harmonized System of Classification and La</w:t>
      </w:r>
      <w:r>
        <w:rPr>
          <w:rFonts w:cs="Arial"/>
        </w:rPr>
        <w:t>belling of Chemicals (GHS).</w:t>
      </w:r>
    </w:p>
    <w:p w14:paraId="6DE29A0C" w14:textId="33E57E4F" w:rsidR="00075B94" w:rsidRDefault="00075B94">
      <w:pPr>
        <w:rPr>
          <w:rFonts w:cs="Arial"/>
        </w:rPr>
      </w:pPr>
      <w:r w:rsidRPr="00075B94">
        <w:rPr>
          <w:rFonts w:cs="Arial"/>
        </w:rPr>
        <w:t>Not classified as a skin</w:t>
      </w:r>
      <w:r w:rsidR="00997B6A">
        <w:rPr>
          <w:rFonts w:cs="Arial"/>
        </w:rPr>
        <w:t xml:space="preserve"> sensitiser</w:t>
      </w:r>
      <w:r w:rsidRPr="00075B94">
        <w:rPr>
          <w:rFonts w:cs="Arial"/>
        </w:rPr>
        <w:t xml:space="preserve"> or respiratory sensitiser according to the GHS.</w:t>
      </w:r>
    </w:p>
    <w:p w14:paraId="1D32705B" w14:textId="5E93ABF5" w:rsidR="00EF5715" w:rsidRPr="004C23F4" w:rsidRDefault="009E2578">
      <w:pPr>
        <w:rPr>
          <w:rFonts w:cs="Arial"/>
        </w:rPr>
        <w:sectPr w:rsidR="00EF5715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insufficient data to recommend a skin notation.</w:t>
      </w:r>
    </w:p>
    <w:p w14:paraId="5AAFDA87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75F5352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37" w:type="pct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11"/>
        <w:gridCol w:w="9062"/>
      </w:tblGrid>
      <w:tr w:rsidR="00C978F0" w:rsidRPr="00DA352E" w14:paraId="653EB82B" w14:textId="77777777" w:rsidTr="009F7EB0">
        <w:trPr>
          <w:gridBefore w:val="1"/>
          <w:wBefore w:w="6" w:type="pct"/>
          <w:cantSplit/>
          <w:trHeight w:val="393"/>
          <w:tblHeader/>
        </w:trPr>
        <w:tc>
          <w:tcPr>
            <w:tcW w:w="4994" w:type="pct"/>
            <w:shd w:val="clear" w:color="auto" w:fill="BFBFBF" w:themeFill="background1" w:themeFillShade="BF"/>
            <w:vAlign w:val="center"/>
          </w:tcPr>
          <w:p w14:paraId="0F0C484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42DC275" w14:textId="77777777" w:rsidTr="009F7EB0">
        <w:trPr>
          <w:gridBefore w:val="1"/>
          <w:wBefore w:w="6" w:type="pct"/>
          <w:cantSplit/>
        </w:trPr>
        <w:tc>
          <w:tcPr>
            <w:tcW w:w="4994" w:type="pct"/>
            <w:shd w:val="clear" w:color="auto" w:fill="F2F2F2" w:themeFill="background1" w:themeFillShade="F2"/>
          </w:tcPr>
          <w:p w14:paraId="322C2FAD" w14:textId="3AADE796" w:rsidR="00DE26E8" w:rsidRPr="003365A5" w:rsidRDefault="00DE26E8" w:rsidP="00304C7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04C73">
                  <w:t>1995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sdt>
                  <w:sdtPr>
                    <w:alias w:val="ACGIH WES equivalent"/>
                    <w:tag w:val="ACGIH WES equivalent"/>
                    <w:id w:val="217559543"/>
                    <w:placeholder>
                      <w:docPart w:val="4465C4FC99444BB09A0021199479600C"/>
                    </w:placeholder>
                  </w:sdtPr>
                  <w:sdtEndPr/>
                  <w:sdtContent>
                    <w:r w:rsidR="00980770">
                      <w:t>TWA: 0.5 ppm (1.8 mg/m</w:t>
                    </w:r>
                    <w:r w:rsidR="00980770">
                      <w:rPr>
                        <w:vertAlign w:val="superscript"/>
                      </w:rPr>
                      <w:t>3</w:t>
                    </w:r>
                    <w:r w:rsidR="00980770">
                      <w:t>)</w:t>
                    </w:r>
                  </w:sdtContent>
                </w:sdt>
              </w:sdtContent>
            </w:sdt>
          </w:p>
        </w:tc>
      </w:tr>
      <w:tr w:rsidR="00C978F0" w:rsidRPr="00DA352E" w14:paraId="28972DF5" w14:textId="77777777" w:rsidTr="009F7EB0">
        <w:trPr>
          <w:gridBefore w:val="1"/>
          <w:wBefore w:w="6" w:type="pct"/>
          <w:cantSplit/>
        </w:trPr>
        <w:tc>
          <w:tcPr>
            <w:tcW w:w="4994" w:type="pct"/>
          </w:tcPr>
          <w:p w14:paraId="4A89EEB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3940AFF" w14:textId="77777777" w:rsidTr="009F7EB0">
        <w:trPr>
          <w:gridBefore w:val="1"/>
          <w:wBefore w:w="6" w:type="pct"/>
          <w:cantSplit/>
        </w:trPr>
        <w:tc>
          <w:tcPr>
            <w:tcW w:w="4994" w:type="pct"/>
            <w:shd w:val="clear" w:color="auto" w:fill="F2F2F2" w:themeFill="background1" w:themeFillShade="F2"/>
          </w:tcPr>
          <w:p w14:paraId="4ACADD2E" w14:textId="2379AC1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F5C8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57EA5">
                  <w:t>TLV-TWA: 0.5 ppm (1.8 mg/m</w:t>
                </w:r>
                <w:r w:rsidR="00D57EA5">
                  <w:rPr>
                    <w:vertAlign w:val="superscript"/>
                  </w:rPr>
                  <w:t>3</w:t>
                </w:r>
                <w:r w:rsidR="00D57EA5">
                  <w:t>)</w:t>
                </w:r>
              </w:sdtContent>
            </w:sdt>
          </w:p>
        </w:tc>
      </w:tr>
      <w:tr w:rsidR="00C978F0" w:rsidRPr="00DA352E" w14:paraId="7811C0AC" w14:textId="77777777" w:rsidTr="009F7EB0">
        <w:trPr>
          <w:gridBefore w:val="1"/>
          <w:wBefore w:w="6" w:type="pct"/>
          <w:cantSplit/>
          <w:trHeight w:val="1996"/>
        </w:trPr>
        <w:tc>
          <w:tcPr>
            <w:tcW w:w="4994" w:type="pct"/>
          </w:tcPr>
          <w:p w14:paraId="196BDD00" w14:textId="1790A4FA" w:rsidR="00FF7773" w:rsidRDefault="00D57EA5" w:rsidP="00AE5BA7">
            <w:pPr>
              <w:pStyle w:val="Tabletextprimarysource"/>
            </w:pPr>
            <w:r>
              <w:t xml:space="preserve">TLV-TWA intended to minimise potential for irritation to mucous membranes and, at higher concentrations, adverse </w:t>
            </w:r>
            <w:r w:rsidR="00617DDE">
              <w:t>CNS</w:t>
            </w:r>
            <w:r>
              <w:t xml:space="preserve"> effects, such as sweating, nause</w:t>
            </w:r>
            <w:r w:rsidR="00D5501D">
              <w:t>a, vomiting, headache, weakness</w:t>
            </w:r>
            <w:r>
              <w:t xml:space="preserve"> and malaise. </w:t>
            </w:r>
          </w:p>
          <w:p w14:paraId="24A986E1" w14:textId="77777777" w:rsidR="00FF7773" w:rsidRDefault="00CD4447" w:rsidP="00AE5BA7">
            <w:pPr>
              <w:pStyle w:val="Tabletextprimarysource"/>
            </w:pPr>
            <w:r>
              <w:t xml:space="preserve">NOAEL of 0.5 ppm for mucous membrane irritation and altered taste perception with the analogous ethyl </w:t>
            </w:r>
            <w:proofErr w:type="spellStart"/>
            <w:r>
              <w:t>mercaptan</w:t>
            </w:r>
            <w:proofErr w:type="spellEnd"/>
            <w:r>
              <w:t xml:space="preserve"> in humans (3 h/d, 5–10 d) is used to derive the TLV-TWA due to lack of substance-specific exposure data. </w:t>
            </w:r>
          </w:p>
          <w:p w14:paraId="63218606" w14:textId="41563E87" w:rsidR="00CD4447" w:rsidRDefault="00CD4447" w:rsidP="00AE5BA7">
            <w:pPr>
              <w:pStyle w:val="Tabletextprimarysource"/>
            </w:pPr>
            <w:r>
              <w:t xml:space="preserve">Ethyl </w:t>
            </w:r>
            <w:proofErr w:type="spellStart"/>
            <w:r>
              <w:t>mercaptan</w:t>
            </w:r>
            <w:proofErr w:type="spellEnd"/>
            <w:r>
              <w:t xml:space="preserve"> is more thoroughly investigated and has the same critical effects and comparable odour threshold.</w:t>
            </w:r>
          </w:p>
          <w:p w14:paraId="4176B7F2" w14:textId="10F6A8A5" w:rsidR="00C978F0" w:rsidRDefault="00D57EA5" w:rsidP="003365A5">
            <w:pPr>
              <w:pStyle w:val="Tabletextprimarysource"/>
            </w:pPr>
            <w:r>
              <w:t>Insufficient data to recommend a TLV-STEL or notations for skin, sensitisation or carcinogenicity.</w:t>
            </w:r>
          </w:p>
          <w:p w14:paraId="027B9A8E" w14:textId="77777777" w:rsidR="00D57EA5" w:rsidRDefault="00D57EA5" w:rsidP="003365A5">
            <w:pPr>
              <w:pStyle w:val="Tabletextprimarysource"/>
            </w:pPr>
            <w:r>
              <w:t>Summary of data:</w:t>
            </w:r>
          </w:p>
          <w:p w14:paraId="359E3B86" w14:textId="7A3DC104" w:rsidR="00F71A59" w:rsidRDefault="00F71A59" w:rsidP="00CD6D33">
            <w:pPr>
              <w:pStyle w:val="Tabletextprimarysource"/>
              <w:spacing w:before="0" w:after="0"/>
            </w:pPr>
            <w:r>
              <w:t>Human data:</w:t>
            </w:r>
          </w:p>
          <w:p w14:paraId="62B792FA" w14:textId="5839AFE0" w:rsidR="00F71A59" w:rsidRDefault="00F71A59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Accidental release in a laboratory caused exposure </w:t>
            </w:r>
            <w:r w:rsidR="0063790E">
              <w:t xml:space="preserve">of </w:t>
            </w:r>
            <w:r>
              <w:t>7 workers at 50</w:t>
            </w:r>
            <w:r w:rsidR="00947DB2">
              <w:t>–</w:t>
            </w:r>
            <w:r>
              <w:t>500 ppm for 1 h:</w:t>
            </w:r>
          </w:p>
          <w:p w14:paraId="7FF81455" w14:textId="61B083F4" w:rsidR="00F71A59" w:rsidRDefault="00525EA0" w:rsidP="00617DDE">
            <w:pPr>
              <w:pStyle w:val="ListBullet"/>
              <w:numPr>
                <w:ilvl w:val="0"/>
                <w:numId w:val="2"/>
              </w:numPr>
              <w:spacing w:before="0" w:after="0"/>
              <w:ind w:left="1080"/>
            </w:pPr>
            <w:r>
              <w:t>a</w:t>
            </w:r>
            <w:r w:rsidR="00F71A59">
              <w:t>ll presented muscular weakness, malaise, flushing of the face, increased breathing and dilated pupils</w:t>
            </w:r>
          </w:p>
          <w:p w14:paraId="509C313F" w14:textId="4BC30274" w:rsidR="00F71A59" w:rsidRDefault="00F71A59" w:rsidP="00617DDE">
            <w:pPr>
              <w:pStyle w:val="ListBullet"/>
              <w:numPr>
                <w:ilvl w:val="0"/>
                <w:numId w:val="2"/>
              </w:numPr>
              <w:spacing w:before="0" w:after="0"/>
              <w:ind w:left="1080"/>
            </w:pPr>
            <w:r>
              <w:t>6 presented sweating, nausea, vomiting and headache</w:t>
            </w:r>
          </w:p>
          <w:p w14:paraId="03929AB4" w14:textId="24DECA84" w:rsidR="00F71A59" w:rsidRDefault="00F71A59" w:rsidP="00617DDE">
            <w:pPr>
              <w:pStyle w:val="ListBullet"/>
              <w:numPr>
                <w:ilvl w:val="0"/>
                <w:numId w:val="2"/>
              </w:numPr>
              <w:spacing w:before="0" w:after="0"/>
              <w:ind w:left="1080"/>
            </w:pPr>
            <w:r>
              <w:t xml:space="preserve">3 presented confusion </w:t>
            </w:r>
          </w:p>
          <w:p w14:paraId="078A0592" w14:textId="196D80D0" w:rsidR="00F71A59" w:rsidRDefault="00F71A59" w:rsidP="00617DDE">
            <w:pPr>
              <w:pStyle w:val="ListBullet"/>
              <w:numPr>
                <w:ilvl w:val="0"/>
                <w:numId w:val="2"/>
              </w:numPr>
              <w:spacing w:before="0" w:after="0"/>
              <w:ind w:left="1080"/>
            </w:pPr>
            <w:r>
              <w:t>1 lost consciousness for 20 min</w:t>
            </w:r>
          </w:p>
          <w:p w14:paraId="18F361BD" w14:textId="471B3FB5" w:rsidR="00F71A59" w:rsidRDefault="00CD6D33" w:rsidP="00617DDE">
            <w:pPr>
              <w:pStyle w:val="ListBullet"/>
              <w:numPr>
                <w:ilvl w:val="0"/>
                <w:numId w:val="2"/>
              </w:numPr>
              <w:spacing w:before="0" w:after="0"/>
              <w:ind w:left="1080"/>
            </w:pPr>
            <w:r>
              <w:t>6 of the workers recovered after 1 d</w:t>
            </w:r>
            <w:r w:rsidR="00DC640E">
              <w:t>.</w:t>
            </w:r>
          </w:p>
          <w:p w14:paraId="2CD61585" w14:textId="77777777" w:rsidR="00572C4F" w:rsidRDefault="00572C4F" w:rsidP="00AE5BA7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</w:pPr>
          </w:p>
          <w:p w14:paraId="1C3EE6CA" w14:textId="77777777" w:rsidR="00AC40AD" w:rsidRDefault="00AC40AD" w:rsidP="00CD6D33">
            <w:pPr>
              <w:pStyle w:val="Tabletextprimarysource"/>
              <w:spacing w:before="0" w:after="0"/>
            </w:pPr>
            <w:r>
              <w:t>Animal data:</w:t>
            </w:r>
          </w:p>
          <w:p w14:paraId="60086AFF" w14:textId="1B568D2E" w:rsidR="00410206" w:rsidRDefault="00AC40AD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2</w:t>
            </w:r>
            <w:r w:rsidR="0063790E">
              <w:t>,</w:t>
            </w:r>
            <w:r>
              <w:t>500 ppm (mice, 4 h), 4</w:t>
            </w:r>
            <w:r w:rsidR="0063790E">
              <w:t>,</w:t>
            </w:r>
            <w:r>
              <w:t>020 ppm (rats, 4 h)</w:t>
            </w:r>
            <w:r w:rsidR="00D90683">
              <w:t>:</w:t>
            </w:r>
          </w:p>
          <w:p w14:paraId="34289B3D" w14:textId="4D193963" w:rsidR="00AC40AD" w:rsidRDefault="00D90683" w:rsidP="00AE5BA7">
            <w:pPr>
              <w:pStyle w:val="ListBullet"/>
              <w:numPr>
                <w:ilvl w:val="0"/>
                <w:numId w:val="2"/>
              </w:numPr>
              <w:spacing w:before="0" w:after="0"/>
              <w:ind w:left="1080"/>
            </w:pPr>
            <w:r>
              <w:t>e</w:t>
            </w:r>
            <w:r w:rsidR="00AC40AD">
              <w:t xml:space="preserve">ffects included mucous membrane irritation, increased respiration and </w:t>
            </w:r>
            <w:r w:rsidR="00617DDE">
              <w:t>CNS</w:t>
            </w:r>
            <w:r w:rsidR="00AC40AD">
              <w:t xml:space="preserve"> depression, e.g. staggering, weakne</w:t>
            </w:r>
            <w:r w:rsidR="00D5501D">
              <w:t>ss, partial paralysis, cyanosis</w:t>
            </w:r>
            <w:r w:rsidR="00AC40AD">
              <w:t xml:space="preserve"> and sedation</w:t>
            </w:r>
          </w:p>
          <w:p w14:paraId="14D8546C" w14:textId="6560E606" w:rsidR="00AC40AD" w:rsidRDefault="00F5619D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Liver and kidney damage caused at n</w:t>
            </w:r>
            <w:r w:rsidR="00AC40AD">
              <w:t xml:space="preserve">ear-lethal doses (not specified) </w:t>
            </w:r>
            <w:r>
              <w:t xml:space="preserve">in surviving animals </w:t>
            </w:r>
            <w:r w:rsidR="00AC40AD" w:rsidRPr="00AE5BA7">
              <w:rPr>
                <w:i/>
              </w:rPr>
              <w:t>via</w:t>
            </w:r>
            <w:r w:rsidR="00AC40AD">
              <w:t xml:space="preserve"> oral or</w:t>
            </w:r>
            <w:r w:rsidR="00AC40AD" w:rsidRPr="009E2578">
              <w:rPr>
                <w:i/>
                <w:iCs/>
              </w:rPr>
              <w:t xml:space="preserve"> </w:t>
            </w:r>
            <w:proofErr w:type="spellStart"/>
            <w:r w:rsidR="00FF7773" w:rsidRPr="009E2578">
              <w:rPr>
                <w:i/>
                <w:iCs/>
              </w:rPr>
              <w:t>ip</w:t>
            </w:r>
            <w:proofErr w:type="spellEnd"/>
            <w:r w:rsidR="00FF7773">
              <w:t xml:space="preserve"> </w:t>
            </w:r>
            <w:r w:rsidR="00AC40AD">
              <w:t>administration, observed up to 20 d post-administration (rats and mice, no further information provided)</w:t>
            </w:r>
          </w:p>
          <w:p w14:paraId="4A2B5DDE" w14:textId="77777777" w:rsidR="00AC40AD" w:rsidRDefault="00AC40AD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Slight to moderate eye irritation in rabbits (no further information provided)</w:t>
            </w:r>
          </w:p>
          <w:p w14:paraId="7D78810A" w14:textId="77777777" w:rsidR="00AC40AD" w:rsidRDefault="00617DDE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 dermal changes at 0.2 mL</w:t>
            </w:r>
            <w:r w:rsidR="006C32AA">
              <w:t xml:space="preserve"> dose on </w:t>
            </w:r>
            <w:r w:rsidR="00984667">
              <w:t>shaved</w:t>
            </w:r>
            <w:r w:rsidR="006C32AA">
              <w:t xml:space="preserve"> skin (guinea pigs, 20% solvent and concentration expression not specified, 10 d)</w:t>
            </w:r>
            <w:r w:rsidR="00947DB2">
              <w:t>.</w:t>
            </w:r>
          </w:p>
          <w:p w14:paraId="7CBCF50C" w14:textId="7F2D0728" w:rsidR="00DC640E" w:rsidRPr="00AC40AD" w:rsidRDefault="00DC640E" w:rsidP="008476F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57B5FDB0" w14:textId="77777777" w:rsidTr="009F7EB0">
        <w:trPr>
          <w:gridBefore w:val="1"/>
          <w:wBefore w:w="6" w:type="pct"/>
        </w:trPr>
        <w:tc>
          <w:tcPr>
            <w:tcW w:w="4994" w:type="pct"/>
            <w:shd w:val="clear" w:color="auto" w:fill="F2F2F2" w:themeFill="background1" w:themeFillShade="F2"/>
          </w:tcPr>
          <w:p w14:paraId="5C19754D" w14:textId="3A8D28B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F5C80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F5C80">
                  <w:t>MAK: 0.5 ppm (1.8 mg/m</w:t>
                </w:r>
                <w:r w:rsidR="006F5C80">
                  <w:rPr>
                    <w:vertAlign w:val="superscript"/>
                  </w:rPr>
                  <w:t>3</w:t>
                </w:r>
                <w:r w:rsidR="006F5C80">
                  <w:t>)</w:t>
                </w:r>
              </w:sdtContent>
            </w:sdt>
          </w:p>
        </w:tc>
      </w:tr>
      <w:tr w:rsidR="00C978F0" w:rsidRPr="00DA352E" w14:paraId="481417E3" w14:textId="77777777" w:rsidTr="009F7EB0">
        <w:tc>
          <w:tcPr>
            <w:tcW w:w="5000" w:type="pct"/>
            <w:gridSpan w:val="2"/>
          </w:tcPr>
          <w:p w14:paraId="058759A5" w14:textId="242C72F0" w:rsidR="000E3B74" w:rsidRDefault="000E3B74" w:rsidP="003365A5">
            <w:pPr>
              <w:pStyle w:val="Tabletextprimarysource"/>
            </w:pPr>
            <w:r>
              <w:t>Summary of additional information:</w:t>
            </w:r>
          </w:p>
          <w:p w14:paraId="2B8D2C1D" w14:textId="77777777" w:rsidR="00FF7773" w:rsidRDefault="006F5C80" w:rsidP="003365A5">
            <w:pPr>
              <w:pStyle w:val="Tabletextprimarysource"/>
            </w:pPr>
            <w:r>
              <w:t xml:space="preserve">MAK established in 1969 in analogy to the TLV at the time. </w:t>
            </w:r>
          </w:p>
          <w:p w14:paraId="4E0751BC" w14:textId="77777777" w:rsidR="00FF7773" w:rsidRDefault="006F5C80" w:rsidP="003365A5">
            <w:pPr>
              <w:pStyle w:val="Tabletextprimarysource"/>
            </w:pPr>
            <w:r>
              <w:t xml:space="preserve">No evidence to support sensitising effects. </w:t>
            </w:r>
          </w:p>
          <w:p w14:paraId="4C4319E0" w14:textId="45A46018" w:rsidR="00BF194C" w:rsidRDefault="00BF194C" w:rsidP="003365A5">
            <w:pPr>
              <w:pStyle w:val="Tabletextprimarysource"/>
            </w:pPr>
            <w:r>
              <w:t xml:space="preserve">Metabolic oxidation to </w:t>
            </w:r>
            <w:proofErr w:type="spellStart"/>
            <w:r>
              <w:t>disulfides</w:t>
            </w:r>
            <w:proofErr w:type="spellEnd"/>
            <w:r>
              <w:t xml:space="preserve"> yields </w:t>
            </w:r>
            <w:r w:rsidR="00410206">
              <w:t>ROS</w:t>
            </w:r>
            <w:r>
              <w:t xml:space="preserve"> as co-products, which may lead to oxidative stress</w:t>
            </w:r>
            <w:r w:rsidR="00A74BF5">
              <w:t>.</w:t>
            </w:r>
          </w:p>
          <w:p w14:paraId="65D57F7F" w14:textId="2B7C6497" w:rsidR="00BF194C" w:rsidRDefault="00BF194C" w:rsidP="003365A5">
            <w:pPr>
              <w:pStyle w:val="Tabletextprimarysource"/>
            </w:pPr>
            <w:r>
              <w:t>Human data:</w:t>
            </w:r>
          </w:p>
          <w:p w14:paraId="092C01B7" w14:textId="71888D78" w:rsidR="00E24EC7" w:rsidRDefault="00BF194C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Elaboration of human case study presented in ACGIH:</w:t>
            </w:r>
          </w:p>
          <w:p w14:paraId="2D476621" w14:textId="5C5890E4" w:rsidR="00D90683" w:rsidRDefault="00525EA0" w:rsidP="008476F3">
            <w:pPr>
              <w:pStyle w:val="ListBullet"/>
              <w:numPr>
                <w:ilvl w:val="1"/>
                <w:numId w:val="5"/>
              </w:numPr>
              <w:ind w:left="1134"/>
            </w:pPr>
            <w:proofErr w:type="gramStart"/>
            <w:r>
              <w:t>c</w:t>
            </w:r>
            <w:r w:rsidR="00A74BF5">
              <w:t>linical</w:t>
            </w:r>
            <w:proofErr w:type="gramEnd"/>
            <w:r w:rsidR="00A74BF5">
              <w:t xml:space="preserve"> and biochemical examinations of exposed workers were in normal ranges </w:t>
            </w:r>
            <w:r w:rsidR="00D90683">
              <w:br/>
            </w:r>
            <w:r w:rsidR="00A74BF5">
              <w:t>30</w:t>
            </w:r>
            <w:r w:rsidR="00947DB2">
              <w:t>–</w:t>
            </w:r>
            <w:r w:rsidR="00A74BF5">
              <w:t>40 d post-exposure</w:t>
            </w:r>
            <w:r w:rsidR="00DC640E">
              <w:t>.</w:t>
            </w:r>
          </w:p>
          <w:p w14:paraId="07523321" w14:textId="221F7E92" w:rsidR="00BF194C" w:rsidRDefault="00BF194C" w:rsidP="003365A5">
            <w:pPr>
              <w:pStyle w:val="Tabletextprimarysource"/>
            </w:pPr>
            <w:r>
              <w:t>Animal data:</w:t>
            </w:r>
          </w:p>
          <w:p w14:paraId="6BCE6C0B" w14:textId="4B5D1B2C" w:rsidR="00BF194C" w:rsidRDefault="00BF194C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lastRenderedPageBreak/>
              <w:t>Blood plasma half-life: 8 d (</w:t>
            </w:r>
            <w:r w:rsidR="00A74BF5">
              <w:t>chickens</w:t>
            </w:r>
            <w:r>
              <w:t>)</w:t>
            </w:r>
          </w:p>
          <w:p w14:paraId="51F9F93C" w14:textId="3561A4ED" w:rsidR="00A74BF5" w:rsidRDefault="00617DDE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CNS</w:t>
            </w:r>
            <w:r w:rsidR="00A74BF5">
              <w:t xml:space="preserve"> suppression and death by respiratory arrest caused at high doses (not specified) occur irrespective of administration route in rodents</w:t>
            </w:r>
          </w:p>
          <w:p w14:paraId="65548DA2" w14:textId="646EF795" w:rsidR="00A74BF5" w:rsidRDefault="00A74BF5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4</w:t>
            </w:r>
            <w:r w:rsidR="0063790E">
              <w:t>,</w:t>
            </w:r>
            <w:r>
              <w:t>020</w:t>
            </w:r>
            <w:r w:rsidR="0063790E">
              <w:t>–</w:t>
            </w:r>
            <w:r>
              <w:t>6</w:t>
            </w:r>
            <w:r w:rsidR="0063790E">
              <w:t>,</w:t>
            </w:r>
            <w:r>
              <w:t>060 ppm (rats, 4 h)</w:t>
            </w:r>
          </w:p>
          <w:p w14:paraId="5C557182" w14:textId="3682413D" w:rsidR="00A74BF5" w:rsidRDefault="00A74BF5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</w:t>
            </w:r>
            <w:r w:rsidR="0063790E">
              <w:t>,</w:t>
            </w:r>
            <w:r>
              <w:t>500</w:t>
            </w:r>
            <w:r w:rsidR="0063790E">
              <w:t>–</w:t>
            </w:r>
            <w:r>
              <w:t>1</w:t>
            </w:r>
            <w:r w:rsidR="0063790E">
              <w:t>,</w:t>
            </w:r>
            <w:r>
              <w:t>800 mg/kg (rats</w:t>
            </w:r>
            <w:r w:rsidR="00617DDE">
              <w:t>, oral</w:t>
            </w:r>
            <w:r>
              <w:t>)</w:t>
            </w:r>
          </w:p>
          <w:p w14:paraId="6AD0A07A" w14:textId="4CBB6274" w:rsidR="00A74BF5" w:rsidRDefault="00A74BF5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399 mg/kg (rats</w:t>
            </w:r>
            <w:r w:rsidR="00617DDE">
              <w:t xml:space="preserve">, </w:t>
            </w:r>
            <w:proofErr w:type="spellStart"/>
            <w:r w:rsidR="00617DDE" w:rsidRPr="009E2578">
              <w:rPr>
                <w:i/>
                <w:iCs/>
              </w:rPr>
              <w:t>i</w:t>
            </w:r>
            <w:r w:rsidR="00FF7773" w:rsidRPr="009E2578">
              <w:rPr>
                <w:i/>
                <w:iCs/>
              </w:rPr>
              <w:t>p</w:t>
            </w:r>
            <w:proofErr w:type="spellEnd"/>
            <w:r>
              <w:t>)</w:t>
            </w:r>
          </w:p>
          <w:p w14:paraId="40D80DCC" w14:textId="0F58F03F" w:rsidR="00F461C4" w:rsidRDefault="00A74BF5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617DDE">
              <w:rPr>
                <w:vertAlign w:val="subscript"/>
              </w:rPr>
              <w:t>:</w:t>
            </w:r>
            <w:r>
              <w:t xml:space="preserve"> &gt;34,600 mg/kg (rabbits</w:t>
            </w:r>
            <w:r w:rsidR="00617DDE">
              <w:t>, dermal</w:t>
            </w:r>
            <w:r>
              <w:t>)</w:t>
            </w:r>
          </w:p>
          <w:p w14:paraId="4A46960F" w14:textId="72BFFC34" w:rsidR="00F461C4" w:rsidRDefault="00F461C4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Increased relative organ weights in repeat inhalation dose-ranging chamber study with </w:t>
            </w:r>
            <w:r w:rsidR="00D90683">
              <w:br/>
            </w:r>
            <w:r>
              <w:t>200</w:t>
            </w:r>
            <w:r w:rsidR="00947DB2">
              <w:t>–</w:t>
            </w:r>
            <w:r>
              <w:t>1</w:t>
            </w:r>
            <w:r w:rsidR="0063790E">
              <w:t>,</w:t>
            </w:r>
            <w:r>
              <w:t>900</w:t>
            </w:r>
            <w:r w:rsidR="00947DB2">
              <w:t xml:space="preserve"> </w:t>
            </w:r>
            <w:r>
              <w:t>ppm exposures (rats, n=20, 6 h/d, 14 d)</w:t>
            </w:r>
            <w:r w:rsidR="00D90683">
              <w:t>:</w:t>
            </w:r>
          </w:p>
          <w:p w14:paraId="4DE84911" w14:textId="660BC961" w:rsidR="00A74BF5" w:rsidRDefault="00F461C4" w:rsidP="00617DDE">
            <w:pPr>
              <w:pStyle w:val="ListBullet"/>
              <w:numPr>
                <w:ilvl w:val="0"/>
                <w:numId w:val="7"/>
              </w:numPr>
              <w:ind w:left="1080"/>
            </w:pPr>
            <w:r>
              <w:t>200 ppm; increased kidney weights (and lung and trachea weights only in males)</w:t>
            </w:r>
          </w:p>
          <w:p w14:paraId="6F708B1A" w14:textId="6D415F43" w:rsidR="00AC4FAA" w:rsidRDefault="00525EA0" w:rsidP="00617DDE">
            <w:pPr>
              <w:pStyle w:val="ListBullet"/>
              <w:numPr>
                <w:ilvl w:val="0"/>
                <w:numId w:val="7"/>
              </w:numPr>
              <w:ind w:left="1080"/>
            </w:pPr>
            <w:r>
              <w:t>h</w:t>
            </w:r>
            <w:r w:rsidR="00AC4FAA">
              <w:t>istological examination of kidneys only carried out on dead animals and control group</w:t>
            </w:r>
          </w:p>
          <w:p w14:paraId="4F71DD8C" w14:textId="7893CA76" w:rsidR="00410206" w:rsidRDefault="00CF4293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NOAEL: 9 ppm for haematological changes in f</w:t>
            </w:r>
            <w:r w:rsidR="00AC4FAA">
              <w:t>ollow-up inhalation study reported (rats, n=30, 6</w:t>
            </w:r>
            <w:r w:rsidR="00947DB2">
              <w:t xml:space="preserve"> </w:t>
            </w:r>
            <w:r w:rsidR="00AC4FAA">
              <w:t>h/d, 5 d/</w:t>
            </w:r>
            <w:proofErr w:type="spellStart"/>
            <w:r w:rsidR="00AC4FAA">
              <w:t>wk</w:t>
            </w:r>
            <w:proofErr w:type="spellEnd"/>
            <w:r w:rsidR="00AC4FAA">
              <w:t xml:space="preserve">, 13 </w:t>
            </w:r>
            <w:proofErr w:type="spellStart"/>
            <w:r w:rsidR="00AC4FAA">
              <w:t>wk</w:t>
            </w:r>
            <w:proofErr w:type="spellEnd"/>
            <w:r w:rsidR="00AC4FAA">
              <w:t>)</w:t>
            </w:r>
            <w:r w:rsidR="00D90683">
              <w:t>:</w:t>
            </w:r>
          </w:p>
          <w:p w14:paraId="73576289" w14:textId="7394538D" w:rsidR="00F461C4" w:rsidRDefault="00CF4293" w:rsidP="00AE5BA7">
            <w:pPr>
              <w:pStyle w:val="ListBullet"/>
              <w:numPr>
                <w:ilvl w:val="0"/>
                <w:numId w:val="7"/>
              </w:numPr>
              <w:ind w:left="1080"/>
            </w:pPr>
            <w:r>
              <w:t xml:space="preserve">LOAEL: </w:t>
            </w:r>
            <w:r w:rsidR="00AC4FAA">
              <w:t>70 ppm, 150 ppm caused slight to moderate fibrosis in lungs</w:t>
            </w:r>
          </w:p>
          <w:p w14:paraId="6F6C6796" w14:textId="2485A883" w:rsidR="00AC4FAA" w:rsidRDefault="00525EA0" w:rsidP="00617DDE">
            <w:pPr>
              <w:pStyle w:val="ListBullet"/>
              <w:numPr>
                <w:ilvl w:val="0"/>
                <w:numId w:val="8"/>
              </w:numPr>
              <w:ind w:left="1080"/>
            </w:pPr>
            <w:r>
              <w:t>o</w:t>
            </w:r>
            <w:r w:rsidR="00AC4FAA">
              <w:t xml:space="preserve">nly animals from 150 ppm exposure group were examined </w:t>
            </w:r>
            <w:proofErr w:type="spellStart"/>
            <w:r w:rsidR="00AC4FAA">
              <w:t>histopath</w:t>
            </w:r>
            <w:r w:rsidR="009E2578">
              <w:t>o</w:t>
            </w:r>
            <w:r w:rsidR="00AC4FAA">
              <w:t>logically</w:t>
            </w:r>
            <w:proofErr w:type="spellEnd"/>
          </w:p>
          <w:p w14:paraId="03524387" w14:textId="0C4018CD" w:rsidR="00CF4293" w:rsidRDefault="00CF4293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NOAEL: 152</w:t>
            </w:r>
            <w:r w:rsidR="00947DB2">
              <w:t>–</w:t>
            </w:r>
            <w:r>
              <w:t>200 ppm for developmental effects from separate studies (rats, 6 h/d, 14 d)</w:t>
            </w:r>
            <w:r w:rsidR="00D90683">
              <w:t>:</w:t>
            </w:r>
          </w:p>
          <w:p w14:paraId="6A744851" w14:textId="1C8E944D" w:rsidR="00984667" w:rsidRDefault="00984667" w:rsidP="00617DDE">
            <w:pPr>
              <w:pStyle w:val="ListBullet"/>
              <w:numPr>
                <w:ilvl w:val="0"/>
                <w:numId w:val="9"/>
              </w:numPr>
              <w:ind w:left="1080"/>
            </w:pPr>
            <w:r>
              <w:t>100</w:t>
            </w:r>
            <w:r w:rsidR="00CF4293">
              <w:t>% foetal resorption at 1</w:t>
            </w:r>
            <w:r w:rsidR="0063790E">
              <w:t>,</w:t>
            </w:r>
            <w:r w:rsidR="00CF4293">
              <w:t>100 ppm</w:t>
            </w:r>
            <w:r>
              <w:t xml:space="preserve"> </w:t>
            </w:r>
          </w:p>
          <w:p w14:paraId="6B093FDF" w14:textId="42FC59E0" w:rsidR="00BF194C" w:rsidRDefault="00BF194C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Bacterial and mouse cell </w:t>
            </w:r>
            <w:r>
              <w:rPr>
                <w:i/>
              </w:rPr>
              <w:t xml:space="preserve">in vitro </w:t>
            </w:r>
            <w:r>
              <w:t xml:space="preserve">mutagenicity studies reported inconclusive evidence of </w:t>
            </w:r>
            <w:proofErr w:type="spellStart"/>
            <w:r>
              <w:t>genotoxicity</w:t>
            </w:r>
            <w:proofErr w:type="spellEnd"/>
            <w:r w:rsidR="00CF4293">
              <w:t xml:space="preserve"> due to unknown substance purity:</w:t>
            </w:r>
          </w:p>
          <w:p w14:paraId="6610BC17" w14:textId="1C13A4F9" w:rsidR="00CF4293" w:rsidRDefault="00525EA0" w:rsidP="00617DDE">
            <w:pPr>
              <w:pStyle w:val="ListBullet"/>
              <w:numPr>
                <w:ilvl w:val="0"/>
                <w:numId w:val="10"/>
              </w:numPr>
              <w:ind w:left="1080"/>
            </w:pPr>
            <w:r>
              <w:t>n</w:t>
            </w:r>
            <w:r w:rsidR="00CF4293">
              <w:t>on-mutagenic from bacterial experiments</w:t>
            </w:r>
          </w:p>
          <w:p w14:paraId="499D9E86" w14:textId="016BD9A5" w:rsidR="00CF4293" w:rsidRDefault="00525EA0" w:rsidP="00617DDE">
            <w:pPr>
              <w:pStyle w:val="ListBullet"/>
              <w:numPr>
                <w:ilvl w:val="0"/>
                <w:numId w:val="10"/>
              </w:numPr>
              <w:ind w:left="1080"/>
            </w:pPr>
            <w:r>
              <w:t>s</w:t>
            </w:r>
            <w:r w:rsidR="00CF4293">
              <w:t>lightly mutagenic from sister chromatid exchange experiment with Chinese hamster ovary cells</w:t>
            </w:r>
          </w:p>
          <w:p w14:paraId="3915F003" w14:textId="56C81FF5" w:rsidR="00CF4293" w:rsidRDefault="00525EA0" w:rsidP="00617DDE">
            <w:pPr>
              <w:pStyle w:val="ListBullet"/>
              <w:numPr>
                <w:ilvl w:val="0"/>
                <w:numId w:val="10"/>
              </w:numPr>
              <w:ind w:left="1080"/>
            </w:pPr>
            <w:r>
              <w:t>i</w:t>
            </w:r>
            <w:r w:rsidR="00CF4293">
              <w:t>nconclusive positive results in mouse lymphoma mutation test</w:t>
            </w:r>
            <w:r w:rsidR="004A6BC1">
              <w:t xml:space="preserve"> due to non-concentration-dependent effects</w:t>
            </w:r>
          </w:p>
          <w:p w14:paraId="3CDE5249" w14:textId="73D2D7A4" w:rsidR="004A6BC1" w:rsidRDefault="006C4BEB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Neuropathological</w:t>
            </w:r>
            <w:r w:rsidR="004A6BC1">
              <w:t xml:space="preserve"> effects in two repeat oral dose studies with chickens</w:t>
            </w:r>
            <w:r w:rsidR="00410206">
              <w:t xml:space="preserve"> </w:t>
            </w:r>
            <w:r w:rsidR="00EF5715">
              <w:t>at 50 mg/kg/d (90</w:t>
            </w:r>
            <w:r w:rsidR="00947DB2">
              <w:t xml:space="preserve"> </w:t>
            </w:r>
            <w:r w:rsidR="004A6BC1">
              <w:t xml:space="preserve">d) and 200 mg/kg/d (28 d) </w:t>
            </w:r>
          </w:p>
          <w:p w14:paraId="2AFAD7DB" w14:textId="3CA0A5CA" w:rsidR="00BF194C" w:rsidRDefault="004A6BC1" w:rsidP="00617DDE">
            <w:pPr>
              <w:pStyle w:val="ListBullet"/>
              <w:ind w:left="720"/>
            </w:pPr>
            <w:r>
              <w:t>No data available for carcinogenic</w:t>
            </w:r>
            <w:r w:rsidR="00410206">
              <w:t>ity</w:t>
            </w:r>
            <w:r>
              <w:t>.</w:t>
            </w:r>
          </w:p>
          <w:p w14:paraId="7BD2264B" w14:textId="43478D0C" w:rsidR="00DC640E" w:rsidRPr="00BF194C" w:rsidRDefault="00DC640E" w:rsidP="008476F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57DFAE4" w14:textId="77777777" w:rsidTr="009F7EB0">
        <w:trPr>
          <w:gridBefore w:val="1"/>
          <w:wBefore w:w="6" w:type="pct"/>
          <w:cantSplit/>
        </w:trPr>
        <w:tc>
          <w:tcPr>
            <w:tcW w:w="4994" w:type="pct"/>
            <w:shd w:val="clear" w:color="auto" w:fill="F2F2F2" w:themeFill="background1" w:themeFillShade="F2"/>
          </w:tcPr>
          <w:p w14:paraId="45E5370E" w14:textId="6998CBB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0E3B7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0E3B74">
                  <w:t>NA</w:t>
                </w:r>
                <w:proofErr w:type="spellEnd"/>
              </w:sdtContent>
            </w:sdt>
          </w:p>
        </w:tc>
      </w:tr>
      <w:tr w:rsidR="00C978F0" w:rsidRPr="00DA352E" w14:paraId="48C4E40A" w14:textId="77777777" w:rsidTr="009F7EB0">
        <w:trPr>
          <w:gridBefore w:val="1"/>
          <w:wBefore w:w="6" w:type="pct"/>
          <w:cantSplit/>
        </w:trPr>
        <w:tc>
          <w:tcPr>
            <w:tcW w:w="4994" w:type="pct"/>
          </w:tcPr>
          <w:p w14:paraId="4D0EB865" w14:textId="3FC81A13" w:rsidR="00C978F0" w:rsidRPr="00DA352E" w:rsidRDefault="000E3B74" w:rsidP="003365A5">
            <w:pPr>
              <w:pStyle w:val="Tabletextprimarysource"/>
            </w:pPr>
            <w:r>
              <w:t>No report</w:t>
            </w:r>
            <w:r w:rsidR="00BB71F8">
              <w:t>.</w:t>
            </w:r>
          </w:p>
        </w:tc>
      </w:tr>
      <w:tr w:rsidR="00DA352E" w:rsidRPr="00DA352E" w14:paraId="2DAF7306" w14:textId="77777777" w:rsidTr="009F7EB0">
        <w:trPr>
          <w:gridBefore w:val="1"/>
          <w:wBefore w:w="6" w:type="pct"/>
          <w:cantSplit/>
        </w:trPr>
        <w:tc>
          <w:tcPr>
            <w:tcW w:w="4994" w:type="pct"/>
            <w:shd w:val="clear" w:color="auto" w:fill="F2F2F2" w:themeFill="background1" w:themeFillShade="F2"/>
          </w:tcPr>
          <w:p w14:paraId="446D3C4F" w14:textId="5AAA011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0E3B7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0E3B74">
                  <w:t>NA</w:t>
                </w:r>
                <w:proofErr w:type="spellEnd"/>
              </w:sdtContent>
            </w:sdt>
          </w:p>
        </w:tc>
      </w:tr>
      <w:tr w:rsidR="00DA352E" w:rsidRPr="00DA352E" w14:paraId="2B96AF1D" w14:textId="77777777" w:rsidTr="009F7EB0">
        <w:trPr>
          <w:gridBefore w:val="1"/>
          <w:wBefore w:w="6" w:type="pct"/>
          <w:cantSplit/>
        </w:trPr>
        <w:tc>
          <w:tcPr>
            <w:tcW w:w="4994" w:type="pct"/>
          </w:tcPr>
          <w:p w14:paraId="3EDC7C3B" w14:textId="5150B755" w:rsidR="00DA352E" w:rsidRPr="00DA352E" w:rsidRDefault="000E3B74" w:rsidP="003365A5">
            <w:pPr>
              <w:pStyle w:val="Tabletextprimarysource"/>
            </w:pPr>
            <w:r>
              <w:t>No report</w:t>
            </w:r>
            <w:r w:rsidR="00BB71F8">
              <w:t>.</w:t>
            </w:r>
          </w:p>
        </w:tc>
      </w:tr>
      <w:tr w:rsidR="00DA352E" w:rsidRPr="00DA352E" w14:paraId="0429A981" w14:textId="77777777" w:rsidTr="009F7EB0">
        <w:trPr>
          <w:gridBefore w:val="1"/>
          <w:wBefore w:w="6" w:type="pct"/>
          <w:cantSplit/>
        </w:trPr>
        <w:tc>
          <w:tcPr>
            <w:tcW w:w="4994" w:type="pct"/>
            <w:shd w:val="clear" w:color="auto" w:fill="F2F2F2" w:themeFill="background1" w:themeFillShade="F2"/>
          </w:tcPr>
          <w:p w14:paraId="4EC8B08B" w14:textId="2619DBB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04C3E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316B9C">
                  <w:t>8-hour TWA: 0.5 ppm (1.5 mg/m</w:t>
                </w:r>
                <w:r w:rsidR="00316B9C">
                  <w:rPr>
                    <w:vertAlign w:val="superscript"/>
                  </w:rPr>
                  <w:t>3</w:t>
                </w:r>
                <w:r w:rsidR="00316B9C">
                  <w:t>)</w:t>
                </w:r>
              </w:sdtContent>
            </w:sdt>
          </w:p>
        </w:tc>
      </w:tr>
      <w:tr w:rsidR="00DA352E" w:rsidRPr="00DA352E" w14:paraId="538CFE1B" w14:textId="77777777" w:rsidTr="009E2578">
        <w:trPr>
          <w:gridBefore w:val="1"/>
          <w:wBefore w:w="6" w:type="pct"/>
        </w:trPr>
        <w:tc>
          <w:tcPr>
            <w:tcW w:w="4994" w:type="pct"/>
          </w:tcPr>
          <w:p w14:paraId="3878AAA9" w14:textId="1B178A18" w:rsidR="00DA352E" w:rsidRDefault="00895D85" w:rsidP="003365A5">
            <w:pPr>
              <w:pStyle w:val="Tabletextprimarysource"/>
            </w:pPr>
            <w:r>
              <w:t>Summary of additional data:</w:t>
            </w:r>
          </w:p>
          <w:p w14:paraId="33BF4C15" w14:textId="77777777" w:rsidR="00410206" w:rsidRDefault="00316B9C" w:rsidP="003365A5">
            <w:pPr>
              <w:pStyle w:val="Tabletextprimarysource"/>
            </w:pPr>
            <w:r>
              <w:t xml:space="preserve">Available toxicological data insufficient to recommend health-based </w:t>
            </w:r>
            <w:r w:rsidR="00617DDE">
              <w:t>OEL</w:t>
            </w:r>
            <w:r w:rsidR="00E04C3E">
              <w:t xml:space="preserve">. </w:t>
            </w:r>
          </w:p>
          <w:p w14:paraId="71197E74" w14:textId="3CCB7D63" w:rsidR="00107359" w:rsidRDefault="00107359" w:rsidP="003365A5">
            <w:pPr>
              <w:pStyle w:val="Tabletextprimarysource"/>
            </w:pPr>
            <w:r>
              <w:t xml:space="preserve">Current TWA </w:t>
            </w:r>
            <w:r w:rsidR="00316B9C">
              <w:t xml:space="preserve">is considered too high based on </w:t>
            </w:r>
            <w:r w:rsidR="00E04C3E">
              <w:t>maternal and developmental toxicity reported at 10 ppm in mice.</w:t>
            </w:r>
          </w:p>
          <w:p w14:paraId="6B1761E5" w14:textId="77777777" w:rsidR="00895D85" w:rsidRDefault="00895D85" w:rsidP="003365A5">
            <w:pPr>
              <w:pStyle w:val="Tabletextprimarysource"/>
            </w:pPr>
            <w:r>
              <w:t>Animal data:</w:t>
            </w:r>
          </w:p>
          <w:p w14:paraId="25FFD69A" w14:textId="77777777" w:rsidR="00895D85" w:rsidRDefault="00895D85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770 ppm (dogs, 30 min)</w:t>
            </w:r>
          </w:p>
          <w:p w14:paraId="4AC449B6" w14:textId="1D51E45D" w:rsidR="00895D85" w:rsidRDefault="00895D85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3</w:t>
            </w:r>
            <w:r w:rsidR="0063790E">
              <w:t>,</w:t>
            </w:r>
            <w:r>
              <w:t>000 mg/kg (mice)</w:t>
            </w:r>
          </w:p>
          <w:p w14:paraId="6F7F467B" w14:textId="77777777" w:rsidR="00107359" w:rsidRDefault="00107359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Single oral dose NOAEL: 100 mg/kg for histological and behavioural changes (chickens)</w:t>
            </w:r>
          </w:p>
          <w:p w14:paraId="7776899B" w14:textId="5CCD3269" w:rsidR="00107359" w:rsidRDefault="00107359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 xml:space="preserve">Inhalational NOAEL of 9 ppm for haematological effect in repeat inhalation chamber study with rats cited in DFG, 2005 </w:t>
            </w:r>
            <w:r w:rsidR="00ED1728">
              <w:t xml:space="preserve">is </w:t>
            </w:r>
            <w:r>
              <w:t xml:space="preserve">not considered a NOAEL due to lack of </w:t>
            </w:r>
            <w:r w:rsidR="00617DDE">
              <w:t>histopathological</w:t>
            </w:r>
            <w:r>
              <w:t xml:space="preserve"> examination of the lower exposure groups</w:t>
            </w:r>
          </w:p>
          <w:p w14:paraId="46BA489A" w14:textId="556E742E" w:rsidR="00316B9C" w:rsidRDefault="00316B9C" w:rsidP="009E2578">
            <w:pPr>
              <w:pStyle w:val="ListBullet"/>
              <w:spacing w:before="0" w:after="80"/>
              <w:ind w:left="714" w:hanging="357"/>
              <w:contextualSpacing w:val="0"/>
            </w:pPr>
            <w:r>
              <w:t>No changes in developmental endpoints at 10</w:t>
            </w:r>
            <w:r w:rsidR="0063790E">
              <w:t>–</w:t>
            </w:r>
            <w:r>
              <w:t>152 ppm exposures (rats, 6 h/d, 14 d) (same study cited in DFG, 2005)</w:t>
            </w:r>
          </w:p>
          <w:p w14:paraId="480A3F80" w14:textId="77777777" w:rsidR="00316B9C" w:rsidRDefault="00316B9C" w:rsidP="00AE5BA7">
            <w:pPr>
              <w:pStyle w:val="ListBullet"/>
              <w:numPr>
                <w:ilvl w:val="0"/>
                <w:numId w:val="10"/>
              </w:numPr>
              <w:ind w:left="1080"/>
            </w:pPr>
            <w:r>
              <w:t>NOAEL: 10 ppm for maternal toxicity</w:t>
            </w:r>
          </w:p>
          <w:p w14:paraId="0E4E3F73" w14:textId="0082CEAA" w:rsidR="00316B9C" w:rsidRDefault="00525EA0" w:rsidP="00AE5BA7">
            <w:pPr>
              <w:pStyle w:val="ListBullet"/>
              <w:numPr>
                <w:ilvl w:val="0"/>
                <w:numId w:val="10"/>
              </w:numPr>
              <w:ind w:left="1080"/>
            </w:pPr>
            <w:proofErr w:type="gramStart"/>
            <w:r>
              <w:lastRenderedPageBreak/>
              <w:t>a</w:t>
            </w:r>
            <w:proofErr w:type="gramEnd"/>
            <w:r w:rsidR="00AE273C">
              <w:t xml:space="preserve"> NOAEL </w:t>
            </w:r>
            <w:r w:rsidR="00DA1814">
              <w:t>could not be</w:t>
            </w:r>
            <w:r w:rsidR="00AE273C">
              <w:t xml:space="preserve"> established in m</w:t>
            </w:r>
            <w:r w:rsidR="00316B9C">
              <w:t xml:space="preserve">ice (11 d) </w:t>
            </w:r>
            <w:r w:rsidR="00AE273C">
              <w:t xml:space="preserve">due to </w:t>
            </w:r>
            <w:r w:rsidR="00316B9C">
              <w:t xml:space="preserve">both maternal </w:t>
            </w:r>
            <w:r w:rsidR="006E70DE">
              <w:t xml:space="preserve">(reduced </w:t>
            </w:r>
            <w:proofErr w:type="spellStart"/>
            <w:r w:rsidR="00410206">
              <w:t>bw</w:t>
            </w:r>
            <w:proofErr w:type="spellEnd"/>
            <w:r w:rsidR="006E70DE">
              <w:t xml:space="preserve"> gains) </w:t>
            </w:r>
            <w:r w:rsidR="00316B9C">
              <w:t>and developmental toxicity</w:t>
            </w:r>
            <w:r w:rsidR="006E70DE">
              <w:t xml:space="preserve"> </w:t>
            </w:r>
            <w:r w:rsidR="00AE273C">
              <w:t>at 10 ppm</w:t>
            </w:r>
            <w:r w:rsidR="00410206">
              <w:t xml:space="preserve"> (increased incidence of cleft palate, not statistically significant because of high incidence in control group)</w:t>
            </w:r>
            <w:r w:rsidR="00C82546">
              <w:t>.</w:t>
            </w:r>
          </w:p>
          <w:p w14:paraId="4D5867A5" w14:textId="63DF7311" w:rsidR="00CF4B97" w:rsidRPr="00895D85" w:rsidRDefault="00CF4B97" w:rsidP="008476F3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2FD317D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9"/>
        <w:gridCol w:w="422"/>
        <w:gridCol w:w="661"/>
        <w:gridCol w:w="6454"/>
      </w:tblGrid>
      <w:tr w:rsidR="004966BF" w:rsidRPr="00263255" w14:paraId="4DC7A863" w14:textId="77777777" w:rsidTr="00617DDE">
        <w:trPr>
          <w:cantSplit/>
          <w:trHeight w:val="393"/>
          <w:tblHeader/>
        </w:trPr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266086E4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6023A3A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24B35A8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2A565A0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B9C26AD" w14:textId="77777777" w:rsidTr="00617DDE">
        <w:trPr>
          <w:cantSplit/>
        </w:trPr>
        <w:tc>
          <w:tcPr>
            <w:tcW w:w="1489" w:type="dxa"/>
          </w:tcPr>
          <w:p w14:paraId="28412287" w14:textId="77777777" w:rsidR="004966BF" w:rsidRPr="004C23F4" w:rsidRDefault="004966BF" w:rsidP="00224EE2">
            <w:pPr>
              <w:pStyle w:val="Tablefont"/>
            </w:pPr>
            <w:r>
              <w:t>OECD</w:t>
            </w:r>
          </w:p>
        </w:tc>
        <w:tc>
          <w:tcPr>
            <w:tcW w:w="422" w:type="dxa"/>
          </w:tcPr>
          <w:p w14:paraId="65D6692F" w14:textId="2DF2ED1D" w:rsidR="004966BF" w:rsidRPr="00CE617F" w:rsidRDefault="00772D7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64C5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D8E2F9A" w14:textId="1E002895" w:rsidR="004966BF" w:rsidRPr="004C23F4" w:rsidRDefault="00364C5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2010</w:t>
            </w:r>
          </w:p>
        </w:tc>
        <w:tc>
          <w:tcPr>
            <w:tcW w:w="6454" w:type="dxa"/>
          </w:tcPr>
          <w:p w14:paraId="02C506A2" w14:textId="2BDDB84E" w:rsidR="004966BF" w:rsidRPr="004C23F4" w:rsidRDefault="00364C5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Assessed with other butyl </w:t>
            </w:r>
            <w:proofErr w:type="spellStart"/>
            <w:r>
              <w:rPr>
                <w:rStyle w:val="checkbox"/>
                <w:rFonts w:ascii="Arial" w:hAnsi="Arial" w:cs="Arial"/>
              </w:rPr>
              <w:t>mercaptan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isomers due </w:t>
            </w:r>
            <w:r w:rsidR="00AF0E1E">
              <w:rPr>
                <w:rStyle w:val="checkbox"/>
                <w:rFonts w:ascii="Arial" w:hAnsi="Arial" w:cs="Arial"/>
              </w:rPr>
              <w:t xml:space="preserve">to </w:t>
            </w:r>
            <w:r>
              <w:rPr>
                <w:rStyle w:val="checkbox"/>
                <w:rFonts w:ascii="Arial" w:hAnsi="Arial" w:cs="Arial"/>
              </w:rPr>
              <w:t>similarities in structure and toxicological/environmental fate</w:t>
            </w:r>
            <w:r w:rsidR="00410206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535D6914" w14:textId="77777777" w:rsidTr="00617DDE">
        <w:trPr>
          <w:cantSplit/>
        </w:trPr>
        <w:tc>
          <w:tcPr>
            <w:tcW w:w="1489" w:type="dxa"/>
          </w:tcPr>
          <w:p w14:paraId="1084B30A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4DD5383C" w14:textId="22B20F59" w:rsidR="004966BF" w:rsidRDefault="00772D70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9482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7DB3915" w14:textId="46210758" w:rsidR="00794823" w:rsidRPr="004C23F4" w:rsidRDefault="0079482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54" w:type="dxa"/>
          </w:tcPr>
          <w:p w14:paraId="00298199" w14:textId="50E7FF31" w:rsidR="004966BF" w:rsidRPr="004C23F4" w:rsidRDefault="0079482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794823">
              <w:rPr>
                <w:rStyle w:val="checkbox"/>
                <w:rFonts w:ascii="Arial" w:hAnsi="Arial" w:cs="Arial"/>
              </w:rPr>
              <w:t xml:space="preserve">IDLH based on acute inhalation toxicity data in workers </w:t>
            </w:r>
            <w:r w:rsidR="00697B82">
              <w:rPr>
                <w:rStyle w:val="checkbox"/>
                <w:rFonts w:ascii="Arial" w:hAnsi="Arial" w:cs="Arial"/>
              </w:rPr>
              <w:t xml:space="preserve">and animals </w:t>
            </w:r>
            <w:r w:rsidRPr="00794823">
              <w:rPr>
                <w:rStyle w:val="checkbox"/>
                <w:rFonts w:ascii="Arial" w:hAnsi="Arial" w:cs="Arial"/>
              </w:rPr>
              <w:t xml:space="preserve">and to be </w:t>
            </w:r>
            <w:r w:rsidR="00697B82">
              <w:rPr>
                <w:rStyle w:val="checkbox"/>
                <w:rFonts w:ascii="Arial" w:hAnsi="Arial" w:cs="Arial"/>
              </w:rPr>
              <w:t xml:space="preserve">consistent with ethyl </w:t>
            </w:r>
            <w:proofErr w:type="spellStart"/>
            <w:r w:rsidR="00697B82">
              <w:rPr>
                <w:rStyle w:val="checkbox"/>
                <w:rFonts w:ascii="Arial" w:hAnsi="Arial" w:cs="Arial"/>
              </w:rPr>
              <w:t>mercaptan</w:t>
            </w:r>
            <w:proofErr w:type="spellEnd"/>
            <w:r w:rsidR="00410206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14:paraId="0B7AD6A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A11A605" w14:textId="77777777" w:rsidTr="007B3B60">
        <w:trPr>
          <w:trHeight w:val="454"/>
          <w:tblHeader/>
        </w:trPr>
        <w:tc>
          <w:tcPr>
            <w:tcW w:w="6597" w:type="dxa"/>
            <w:vAlign w:val="center"/>
          </w:tcPr>
          <w:p w14:paraId="0289984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3A41DA1" w14:textId="4ADC6178" w:rsidR="002E0D61" w:rsidRDefault="00DE3AE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BB71F8" w14:paraId="3911F984" w14:textId="77777777" w:rsidTr="004F235C">
        <w:trPr>
          <w:trHeight w:val="454"/>
        </w:trPr>
        <w:tc>
          <w:tcPr>
            <w:tcW w:w="9026" w:type="dxa"/>
            <w:gridSpan w:val="2"/>
            <w:vAlign w:val="center"/>
          </w:tcPr>
          <w:p w14:paraId="40DEA94E" w14:textId="60518062" w:rsidR="00BB71F8" w:rsidRDefault="00772D70" w:rsidP="008A36CF">
            <w:pPr>
              <w:pStyle w:val="Tablefont"/>
              <w:keepNext/>
              <w:keepLines/>
              <w:spacing w:before="40" w:after="40"/>
            </w:pPr>
            <w:sdt>
              <w:sdtPr>
                <w:rPr>
                  <w:b/>
                </w:rPr>
                <w:id w:val="1830936485"/>
                <w:placeholder>
                  <w:docPart w:val="AE28D389219B4943864E617FA34F5945"/>
                </w:placeholder>
                <w:dropDownList>
                  <w:listItem w:value="Choose an item."/>
                  <w:listItem w:displayText="The chemical is a non-threshold based genotoxic carcinogen." w:value="The chemical is a non-threshold based genotoxic carcinogen."/>
                  <w:listItem w:displayText="The chemical is not a non-threshold based genotoxic carcinogen." w:value="The chemical is not a non-threshold based genotoxic carcinogen."/>
    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    </w:dropDownList>
              </w:sdtPr>
              <w:sdtEndPr/>
              <w:sdtContent>
                <w:r w:rsidR="00BB71F8">
                  <w:rPr>
                    <w:b/>
                  </w:rPr>
                  <w:t>The chemical is a non-threshold based genotoxic carcinogen.</w:t>
                </w:r>
              </w:sdtContent>
            </w:sdt>
          </w:p>
        </w:tc>
      </w:tr>
    </w:tbl>
    <w:bookmarkEnd w:id="2"/>
    <w:p w14:paraId="53F6B24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AB3B35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A22717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666A423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67A90CD3" w14:textId="77777777" w:rsidTr="00812887">
        <w:trPr>
          <w:cantSplit/>
        </w:trPr>
        <w:tc>
          <w:tcPr>
            <w:tcW w:w="3227" w:type="dxa"/>
          </w:tcPr>
          <w:p w14:paraId="1AF5297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A45826B" w14:textId="7004FA29" w:rsidR="00687890" w:rsidRPr="00DD2F9B" w:rsidRDefault="00364C52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1B8902A" w14:textId="77777777" w:rsidTr="00812887">
        <w:trPr>
          <w:cantSplit/>
        </w:trPr>
        <w:tc>
          <w:tcPr>
            <w:tcW w:w="3227" w:type="dxa"/>
          </w:tcPr>
          <w:p w14:paraId="5B5DDF34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B48C4F4" w14:textId="0D19D164" w:rsidR="007925F0" w:rsidRPr="00DD2F9B" w:rsidRDefault="00364C52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80C7525" w14:textId="77777777" w:rsidTr="00812887">
        <w:trPr>
          <w:cantSplit/>
        </w:trPr>
        <w:tc>
          <w:tcPr>
            <w:tcW w:w="3227" w:type="dxa"/>
          </w:tcPr>
          <w:p w14:paraId="507F9F0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B05C968" w14:textId="7920098D" w:rsidR="00AF483F" w:rsidRPr="00DD2F9B" w:rsidRDefault="007B3B60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3AAEC20" w14:textId="77777777" w:rsidTr="00812887">
        <w:trPr>
          <w:cantSplit/>
        </w:trPr>
        <w:tc>
          <w:tcPr>
            <w:tcW w:w="3227" w:type="dxa"/>
          </w:tcPr>
          <w:p w14:paraId="50F6E88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B4365F3" w14:textId="33E93441" w:rsidR="00687890" w:rsidRPr="00DD2F9B" w:rsidRDefault="00364C52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BF7DCDA" w14:textId="77777777" w:rsidTr="00812887">
        <w:trPr>
          <w:cantSplit/>
        </w:trPr>
        <w:tc>
          <w:tcPr>
            <w:tcW w:w="3227" w:type="dxa"/>
          </w:tcPr>
          <w:p w14:paraId="5F316116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466848E" w14:textId="7C238BC0" w:rsidR="00E41A26" w:rsidRPr="00DD2F9B" w:rsidRDefault="007B3B6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D8C2583" w14:textId="77777777" w:rsidTr="00812887">
        <w:trPr>
          <w:cantSplit/>
        </w:trPr>
        <w:tc>
          <w:tcPr>
            <w:tcW w:w="3227" w:type="dxa"/>
          </w:tcPr>
          <w:p w14:paraId="1EE089EA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7178D15" w14:textId="6271C897" w:rsidR="002E0D61" w:rsidRPr="00DD2F9B" w:rsidRDefault="007B3B6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E84D2A5" w14:textId="77777777" w:rsidTr="00812887">
        <w:trPr>
          <w:cantSplit/>
        </w:trPr>
        <w:tc>
          <w:tcPr>
            <w:tcW w:w="3227" w:type="dxa"/>
          </w:tcPr>
          <w:p w14:paraId="1487E5F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C8ED4C1" w14:textId="66B2EA92" w:rsidR="002E0D61" w:rsidRPr="00DD2F9B" w:rsidRDefault="007B3B6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F3C24E2" w14:textId="77777777" w:rsidTr="00812887">
        <w:trPr>
          <w:cantSplit/>
        </w:trPr>
        <w:tc>
          <w:tcPr>
            <w:tcW w:w="3227" w:type="dxa"/>
          </w:tcPr>
          <w:p w14:paraId="5891D84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E243CC4" w14:textId="429ED7C2" w:rsidR="002E0D61" w:rsidRPr="00DD2F9B" w:rsidRDefault="007B3B60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C0EF2DC" w14:textId="77777777" w:rsidTr="00812887">
        <w:trPr>
          <w:cantSplit/>
        </w:trPr>
        <w:tc>
          <w:tcPr>
            <w:tcW w:w="3227" w:type="dxa"/>
          </w:tcPr>
          <w:p w14:paraId="415FF1B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8C86D1F" w14:textId="78DC6837" w:rsidR="002E0D61" w:rsidRPr="00DD2F9B" w:rsidRDefault="007B3B60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1B934F56" w14:textId="77777777" w:rsidTr="00812887">
        <w:trPr>
          <w:cantSplit/>
        </w:trPr>
        <w:tc>
          <w:tcPr>
            <w:tcW w:w="3227" w:type="dxa"/>
          </w:tcPr>
          <w:p w14:paraId="4487CF6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92C17A1" w14:textId="35EE74ED" w:rsidR="00386093" w:rsidRPr="00DD2F9B" w:rsidRDefault="007B3B60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71A7618" w14:textId="77777777" w:rsidTr="00812887">
        <w:trPr>
          <w:cantSplit/>
        </w:trPr>
        <w:tc>
          <w:tcPr>
            <w:tcW w:w="3227" w:type="dxa"/>
          </w:tcPr>
          <w:p w14:paraId="7D57538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2C7894" w14:textId="13D93F18" w:rsidR="00386093" w:rsidRPr="00DD2F9B" w:rsidRDefault="007B3B60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D3156A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8D5252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415E6D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3FEE14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3B9B8D0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E954C9B" w14:textId="73F37519" w:rsidR="00932DCE" w:rsidRPr="00794823" w:rsidRDefault="00075B94" w:rsidP="00794823">
            <w:r>
              <w:t>Insufficient data to assign a skin notation</w:t>
            </w:r>
            <w:r w:rsidR="00BB71F8">
              <w:t>.</w:t>
            </w:r>
          </w:p>
        </w:tc>
      </w:tr>
    </w:tbl>
    <w:bookmarkEnd w:id="4"/>
    <w:p w14:paraId="46F3E2B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7F84501" w14:textId="77777777" w:rsidTr="00794823">
        <w:trPr>
          <w:trHeight w:val="446"/>
          <w:tblHeader/>
        </w:trPr>
        <w:tc>
          <w:tcPr>
            <w:tcW w:w="4361" w:type="dxa"/>
            <w:vAlign w:val="center"/>
          </w:tcPr>
          <w:p w14:paraId="46751F29" w14:textId="7730F8E3" w:rsidR="00EB3D1B" w:rsidRPr="00794823" w:rsidRDefault="00EB3D1B" w:rsidP="00794823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E22CBFB" w14:textId="14B57431" w:rsidR="00EB3D1B" w:rsidRDefault="00794823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A7C3BFD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DA9E92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B161FD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AD16202" w14:textId="24957CD7" w:rsidR="001B79E5" w:rsidRDefault="00794823" w:rsidP="001B79E5">
                <w:pPr>
                  <w:pStyle w:val="Tablefont"/>
                </w:pPr>
                <w:r>
                  <w:t>90.19</w:t>
                </w:r>
              </w:p>
            </w:tc>
          </w:sdtContent>
        </w:sdt>
      </w:tr>
      <w:tr w:rsidR="00A31D99" w:rsidRPr="004C23F4" w14:paraId="664A7E3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A634655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1D8DDC56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386BD0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2D9264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F9E35E6" w14:textId="3264E7DA" w:rsidR="00687890" w:rsidRPr="004C23F4" w:rsidRDefault="00794823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640A42F3" w14:textId="77777777" w:rsidTr="00EA6243">
        <w:trPr>
          <w:cantSplit/>
        </w:trPr>
        <w:tc>
          <w:tcPr>
            <w:tcW w:w="4077" w:type="dxa"/>
            <w:vAlign w:val="center"/>
          </w:tcPr>
          <w:p w14:paraId="030E94C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16E6AF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4F27894" w14:textId="77777777" w:rsidTr="00EA6243">
        <w:trPr>
          <w:cantSplit/>
        </w:trPr>
        <w:tc>
          <w:tcPr>
            <w:tcW w:w="4077" w:type="dxa"/>
            <w:vAlign w:val="center"/>
          </w:tcPr>
          <w:p w14:paraId="78B73E1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8D6D69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D9B1F43" w14:textId="77777777" w:rsidTr="00EA6243">
        <w:trPr>
          <w:cantSplit/>
        </w:trPr>
        <w:tc>
          <w:tcPr>
            <w:tcW w:w="4077" w:type="dxa"/>
            <w:vAlign w:val="center"/>
          </w:tcPr>
          <w:p w14:paraId="7508A1E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738EAF8" w14:textId="77777777" w:rsidR="00E06F40" w:rsidRPr="00A006A0" w:rsidRDefault="00772D70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30B07C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903AA89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936779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995F5C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7AEBB06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CB24DA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F5980C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75498F8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214DACF" w14:textId="4924350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A958C11" w14:textId="74F1FD54" w:rsidR="00985367" w:rsidRDefault="00985367" w:rsidP="00985367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(2005) </w:t>
      </w:r>
      <w:proofErr w:type="spellStart"/>
      <w:r>
        <w:t>Butanethiol</w:t>
      </w:r>
      <w:proofErr w:type="spellEnd"/>
      <w:r>
        <w:t xml:space="preserve"> – MAK value documentation.</w:t>
      </w:r>
    </w:p>
    <w:p w14:paraId="20E94136" w14:textId="1A87AF9D" w:rsidR="00985367" w:rsidRDefault="00985367" w:rsidP="00985367">
      <w:r w:rsidRPr="002022B6">
        <w:t>Health Council of the Netherlands</w:t>
      </w:r>
      <w:r>
        <w:t xml:space="preserve"> (HCOTN) (2005) Butane-1-thiol</w:t>
      </w:r>
      <w:r w:rsidRPr="005F7416">
        <w:t xml:space="preserve">. </w:t>
      </w:r>
      <w:r w:rsidR="009B407A" w:rsidRPr="009B407A">
        <w:t>Health-based Reassessment of Administrative Occupational Exposure Limits</w:t>
      </w:r>
      <w:r w:rsidRPr="005F7416">
        <w:t xml:space="preserve">. The Hague: Health Council of the Netherlands; publication no. </w:t>
      </w:r>
      <w:r w:rsidR="009B407A" w:rsidRPr="009B407A">
        <w:t>2000/15OSH/144</w:t>
      </w:r>
      <w:r>
        <w:t>.</w:t>
      </w:r>
    </w:p>
    <w:p w14:paraId="6268E722" w14:textId="722968A5" w:rsidR="00EF5715" w:rsidRDefault="00EF5715" w:rsidP="00985367">
      <w:r w:rsidRPr="00D86E03">
        <w:t>Organisation for Economic Cooperation and Development (OECD)</w:t>
      </w:r>
      <w:r>
        <w:t xml:space="preserve"> (2012) SIAM agreed conclusions report – </w:t>
      </w:r>
      <w:r w:rsidRPr="00EF5715">
        <w:t>C2-C4 Aliphatic Thiols Category</w:t>
      </w:r>
      <w:r>
        <w:t>.</w:t>
      </w:r>
    </w:p>
    <w:p w14:paraId="39A0830B" w14:textId="0D714A58" w:rsidR="00EF5715" w:rsidRDefault="00EF5715" w:rsidP="00985367">
      <w:r w:rsidRPr="00D86E03">
        <w:t>US National Institute for Occupational Safety and Health (</w:t>
      </w:r>
      <w:r w:rsidRPr="00617DDE">
        <w:t>NIOSH) (</w:t>
      </w:r>
      <w:sdt>
        <w:sdtPr>
          <w:id w:val="791477839"/>
          <w:placeholder>
            <w:docPart w:val="3E2CB0C7EDE4437A9F6A194C3BAFD671"/>
          </w:placeholder>
          <w:temporary/>
          <w:showingPlcHdr/>
        </w:sdtPr>
        <w:sdtEndPr/>
        <w:sdtContent>
          <w:r w:rsidRPr="00617DDE">
            <w:t>1994</w:t>
          </w:r>
        </w:sdtContent>
      </w:sdt>
      <w:r w:rsidRPr="00617DDE">
        <w:t xml:space="preserve">) </w:t>
      </w:r>
      <w:proofErr w:type="gramStart"/>
      <w:r w:rsidRPr="00617DDE">
        <w:t>Immediately</w:t>
      </w:r>
      <w:proofErr w:type="gramEnd"/>
      <w:r w:rsidRPr="00617DDE">
        <w:t xml:space="preserve"> </w:t>
      </w:r>
      <w:r>
        <w:t xml:space="preserve">dangerous to life or health concentrations – n-butyl </w:t>
      </w:r>
      <w:proofErr w:type="spellStart"/>
      <w:r>
        <w:t>mercaptan</w:t>
      </w:r>
      <w:proofErr w:type="spellEnd"/>
      <w:r>
        <w:t>.</w:t>
      </w:r>
    </w:p>
    <w:p w14:paraId="02906379" w14:textId="77777777" w:rsidR="00985367" w:rsidRDefault="00985367" w:rsidP="00985367"/>
    <w:p w14:paraId="0D12A995" w14:textId="77777777" w:rsidR="00985367" w:rsidRPr="00351FE0" w:rsidRDefault="00985367" w:rsidP="00084859"/>
    <w:sectPr w:rsidR="0098536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ABD2C" w16cid:durableId="21250592"/>
  <w16cid:commentId w16cid:paraId="7746C0FA" w16cid:durableId="21250216"/>
  <w16cid:commentId w16cid:paraId="2F9E2564" w16cid:durableId="212502AA"/>
  <w16cid:commentId w16cid:paraId="36F20C83" w16cid:durableId="212502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B577D" w14:textId="77777777" w:rsidR="00A2748F" w:rsidRDefault="00A2748F" w:rsidP="00F43AD5">
      <w:pPr>
        <w:spacing w:after="0" w:line="240" w:lineRule="auto"/>
      </w:pPr>
      <w:r>
        <w:separator/>
      </w:r>
    </w:p>
  </w:endnote>
  <w:endnote w:type="continuationSeparator" w:id="0">
    <w:p w14:paraId="3A1667D0" w14:textId="77777777" w:rsidR="00A2748F" w:rsidRDefault="00A2748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90C8" w14:textId="77777777" w:rsidR="00772D70" w:rsidRDefault="00772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A7E699D" w14:textId="1E2AABB8" w:rsidR="008A36CF" w:rsidRDefault="0079482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Butyl </w:t>
        </w:r>
        <w:proofErr w:type="spellStart"/>
        <w:r>
          <w:rPr>
            <w:b/>
            <w:sz w:val="18"/>
            <w:szCs w:val="18"/>
          </w:rPr>
          <w:t>mercaptan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109-79-5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EA661AE" w14:textId="2537A61A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72D70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2F7A" w14:textId="77777777" w:rsidR="00772D70" w:rsidRDefault="00772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57C4" w14:textId="77777777" w:rsidR="00A2748F" w:rsidRDefault="00A2748F" w:rsidP="00F43AD5">
      <w:pPr>
        <w:spacing w:after="0" w:line="240" w:lineRule="auto"/>
      </w:pPr>
      <w:r>
        <w:separator/>
      </w:r>
    </w:p>
  </w:footnote>
  <w:footnote w:type="continuationSeparator" w:id="0">
    <w:p w14:paraId="0CD01310" w14:textId="77777777" w:rsidR="00A2748F" w:rsidRDefault="00A2748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8A07" w14:textId="77777777" w:rsidR="00772D70" w:rsidRDefault="00772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193639"/>
      <w:docPartObj>
        <w:docPartGallery w:val="Watermarks"/>
        <w:docPartUnique/>
      </w:docPartObj>
    </w:sdtPr>
    <w:sdtContent>
      <w:p w14:paraId="7C332B6B" w14:textId="77777777" w:rsidR="00772D70" w:rsidRDefault="00772D70" w:rsidP="00772D70">
        <w:pPr>
          <w:pStyle w:val="Header"/>
          <w:jc w:val="right"/>
        </w:pPr>
        <w:r>
          <w:rPr>
            <w:noProof/>
            <w:lang w:val="en-US"/>
          </w:rPr>
          <w:pict w14:anchorId="63B90A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F4260E7" w14:textId="5215AC32" w:rsidR="008A36CF" w:rsidRDefault="00772D70" w:rsidP="00772D70">
    <w:pPr>
      <w:pStyle w:val="Header"/>
      <w:jc w:val="right"/>
    </w:pPr>
    <w:r>
      <w:rPr>
        <w:noProof/>
        <w:lang w:eastAsia="en-AU"/>
      </w:rPr>
      <w:t xml:space="preserve"> </w:t>
    </w:r>
    <w:bookmarkStart w:id="0" w:name="_GoBack"/>
    <w:bookmarkEnd w:id="0"/>
    <w:r w:rsidR="008A36CF">
      <w:rPr>
        <w:noProof/>
        <w:lang w:eastAsia="en-AU"/>
      </w:rPr>
      <w:drawing>
        <wp:inline distT="0" distB="0" distL="0" distR="0" wp14:anchorId="307279C6" wp14:editId="32B667E3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E5ED" w14:textId="77777777" w:rsidR="00772D70" w:rsidRDefault="00772D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88357"/>
      <w:docPartObj>
        <w:docPartGallery w:val="Watermarks"/>
        <w:docPartUnique/>
      </w:docPartObj>
    </w:sdtPr>
    <w:sdtContent>
      <w:p w14:paraId="6AB040A2" w14:textId="2ED23656" w:rsidR="008A36CF" w:rsidRDefault="00772D70" w:rsidP="00F43AD5">
        <w:pPr>
          <w:pStyle w:val="Header"/>
          <w:jc w:val="right"/>
        </w:pPr>
        <w:r>
          <w:rPr>
            <w:noProof/>
            <w:lang w:val="en-US"/>
          </w:rPr>
          <w:pict w14:anchorId="30F3FC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54B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6D6723"/>
    <w:multiLevelType w:val="hybridMultilevel"/>
    <w:tmpl w:val="FC003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9D9"/>
    <w:multiLevelType w:val="hybridMultilevel"/>
    <w:tmpl w:val="4A40E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722"/>
    <w:multiLevelType w:val="hybridMultilevel"/>
    <w:tmpl w:val="B66CC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924CB"/>
    <w:multiLevelType w:val="hybridMultilevel"/>
    <w:tmpl w:val="868AF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95F0A"/>
    <w:multiLevelType w:val="hybridMultilevel"/>
    <w:tmpl w:val="B0A09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30ECD"/>
    <w:multiLevelType w:val="hybridMultilevel"/>
    <w:tmpl w:val="0D000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1AA1"/>
    <w:multiLevelType w:val="hybridMultilevel"/>
    <w:tmpl w:val="8A009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93D8D"/>
    <w:multiLevelType w:val="hybridMultilevel"/>
    <w:tmpl w:val="18B8C0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2DC1"/>
    <w:multiLevelType w:val="hybridMultilevel"/>
    <w:tmpl w:val="2648DC3E"/>
    <w:lvl w:ilvl="0" w:tplc="0C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69B04AFB"/>
    <w:multiLevelType w:val="hybridMultilevel"/>
    <w:tmpl w:val="79CAD0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183E"/>
    <w:rsid w:val="00032B88"/>
    <w:rsid w:val="00046DF5"/>
    <w:rsid w:val="000514DC"/>
    <w:rsid w:val="00052060"/>
    <w:rsid w:val="0005574A"/>
    <w:rsid w:val="00055FE1"/>
    <w:rsid w:val="00056EC2"/>
    <w:rsid w:val="00060B48"/>
    <w:rsid w:val="00067F32"/>
    <w:rsid w:val="00071807"/>
    <w:rsid w:val="00075B94"/>
    <w:rsid w:val="000803E1"/>
    <w:rsid w:val="00084513"/>
    <w:rsid w:val="00084859"/>
    <w:rsid w:val="00092D94"/>
    <w:rsid w:val="00097799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3B74"/>
    <w:rsid w:val="000E5A54"/>
    <w:rsid w:val="000E63D3"/>
    <w:rsid w:val="000E67CF"/>
    <w:rsid w:val="0010461E"/>
    <w:rsid w:val="00106FAA"/>
    <w:rsid w:val="00107359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7F67"/>
    <w:rsid w:val="001A009E"/>
    <w:rsid w:val="001A1287"/>
    <w:rsid w:val="001A3859"/>
    <w:rsid w:val="001A3C9D"/>
    <w:rsid w:val="001A43F8"/>
    <w:rsid w:val="001B79E5"/>
    <w:rsid w:val="001D56F0"/>
    <w:rsid w:val="001D5F78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0165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20D7"/>
    <w:rsid w:val="002D2F2A"/>
    <w:rsid w:val="002E0D61"/>
    <w:rsid w:val="002E4C7B"/>
    <w:rsid w:val="00304C73"/>
    <w:rsid w:val="00306FF2"/>
    <w:rsid w:val="0030740C"/>
    <w:rsid w:val="00307D3A"/>
    <w:rsid w:val="00315833"/>
    <w:rsid w:val="00316B9C"/>
    <w:rsid w:val="003215EE"/>
    <w:rsid w:val="003224BF"/>
    <w:rsid w:val="00323F83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4C52"/>
    <w:rsid w:val="00370DBF"/>
    <w:rsid w:val="00386093"/>
    <w:rsid w:val="003904A4"/>
    <w:rsid w:val="00391841"/>
    <w:rsid w:val="00391B6D"/>
    <w:rsid w:val="00394922"/>
    <w:rsid w:val="003A0E32"/>
    <w:rsid w:val="003A2B94"/>
    <w:rsid w:val="003B208A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0206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6BC1"/>
    <w:rsid w:val="004B2F0C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5EA0"/>
    <w:rsid w:val="005272E2"/>
    <w:rsid w:val="0053108F"/>
    <w:rsid w:val="00532B56"/>
    <w:rsid w:val="00534B10"/>
    <w:rsid w:val="005446A2"/>
    <w:rsid w:val="00544D2F"/>
    <w:rsid w:val="00551BD8"/>
    <w:rsid w:val="00572C4F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219"/>
    <w:rsid w:val="005E75CB"/>
    <w:rsid w:val="006013C1"/>
    <w:rsid w:val="0060669E"/>
    <w:rsid w:val="00607232"/>
    <w:rsid w:val="00610F2E"/>
    <w:rsid w:val="00611399"/>
    <w:rsid w:val="00617DDE"/>
    <w:rsid w:val="00624C4E"/>
    <w:rsid w:val="00625200"/>
    <w:rsid w:val="006363A8"/>
    <w:rsid w:val="00636DB7"/>
    <w:rsid w:val="0063790E"/>
    <w:rsid w:val="006502C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7B82"/>
    <w:rsid w:val="006B160A"/>
    <w:rsid w:val="006B4E6C"/>
    <w:rsid w:val="006B50B6"/>
    <w:rsid w:val="006C32AA"/>
    <w:rsid w:val="006C4BEB"/>
    <w:rsid w:val="006D79EA"/>
    <w:rsid w:val="006E1706"/>
    <w:rsid w:val="006E5D05"/>
    <w:rsid w:val="006E70DE"/>
    <w:rsid w:val="006F5C80"/>
    <w:rsid w:val="00701053"/>
    <w:rsid w:val="00701507"/>
    <w:rsid w:val="0070729C"/>
    <w:rsid w:val="00714021"/>
    <w:rsid w:val="00716A0F"/>
    <w:rsid w:val="00717BEF"/>
    <w:rsid w:val="00717D45"/>
    <w:rsid w:val="007208F7"/>
    <w:rsid w:val="007218AF"/>
    <w:rsid w:val="007365D1"/>
    <w:rsid w:val="00740E0E"/>
    <w:rsid w:val="00750212"/>
    <w:rsid w:val="00754779"/>
    <w:rsid w:val="00755DFE"/>
    <w:rsid w:val="00756721"/>
    <w:rsid w:val="0075716D"/>
    <w:rsid w:val="00765F14"/>
    <w:rsid w:val="0076787D"/>
    <w:rsid w:val="00770E31"/>
    <w:rsid w:val="00772D70"/>
    <w:rsid w:val="007770F1"/>
    <w:rsid w:val="0078368D"/>
    <w:rsid w:val="00783FB1"/>
    <w:rsid w:val="00785CDD"/>
    <w:rsid w:val="00786C58"/>
    <w:rsid w:val="00791847"/>
    <w:rsid w:val="007925F0"/>
    <w:rsid w:val="007939B3"/>
    <w:rsid w:val="00794823"/>
    <w:rsid w:val="0079509C"/>
    <w:rsid w:val="00796708"/>
    <w:rsid w:val="007B1B42"/>
    <w:rsid w:val="007B3B60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5745"/>
    <w:rsid w:val="00826F21"/>
    <w:rsid w:val="00834CC8"/>
    <w:rsid w:val="00835E00"/>
    <w:rsid w:val="00837113"/>
    <w:rsid w:val="008414E4"/>
    <w:rsid w:val="00843E21"/>
    <w:rsid w:val="0084508E"/>
    <w:rsid w:val="008476F3"/>
    <w:rsid w:val="008515E6"/>
    <w:rsid w:val="00857A8A"/>
    <w:rsid w:val="008630EE"/>
    <w:rsid w:val="00864D13"/>
    <w:rsid w:val="00871CD5"/>
    <w:rsid w:val="008745A2"/>
    <w:rsid w:val="008768A8"/>
    <w:rsid w:val="00884129"/>
    <w:rsid w:val="00885682"/>
    <w:rsid w:val="0088798F"/>
    <w:rsid w:val="00887E4B"/>
    <w:rsid w:val="008915C8"/>
    <w:rsid w:val="00895D85"/>
    <w:rsid w:val="008A220C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58EC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47DB2"/>
    <w:rsid w:val="0095260E"/>
    <w:rsid w:val="009578DD"/>
    <w:rsid w:val="00961124"/>
    <w:rsid w:val="009621B6"/>
    <w:rsid w:val="00974F2D"/>
    <w:rsid w:val="00977524"/>
    <w:rsid w:val="00977E88"/>
    <w:rsid w:val="00980770"/>
    <w:rsid w:val="00984667"/>
    <w:rsid w:val="00984920"/>
    <w:rsid w:val="00985367"/>
    <w:rsid w:val="0099303A"/>
    <w:rsid w:val="009971C2"/>
    <w:rsid w:val="00997B6A"/>
    <w:rsid w:val="009A1254"/>
    <w:rsid w:val="009B2FF2"/>
    <w:rsid w:val="009B380C"/>
    <w:rsid w:val="009B407A"/>
    <w:rsid w:val="009B4843"/>
    <w:rsid w:val="009B6543"/>
    <w:rsid w:val="009C199D"/>
    <w:rsid w:val="009C278F"/>
    <w:rsid w:val="009C2B94"/>
    <w:rsid w:val="009C5874"/>
    <w:rsid w:val="009D3B5A"/>
    <w:rsid w:val="009D768E"/>
    <w:rsid w:val="009E0C05"/>
    <w:rsid w:val="009E0D1C"/>
    <w:rsid w:val="009E2214"/>
    <w:rsid w:val="009E2578"/>
    <w:rsid w:val="009E355A"/>
    <w:rsid w:val="009E63E2"/>
    <w:rsid w:val="009E70D7"/>
    <w:rsid w:val="009F05CF"/>
    <w:rsid w:val="009F0F3A"/>
    <w:rsid w:val="009F7EB0"/>
    <w:rsid w:val="00A01D0C"/>
    <w:rsid w:val="00A02BCB"/>
    <w:rsid w:val="00A0643F"/>
    <w:rsid w:val="00A067EE"/>
    <w:rsid w:val="00A10FCE"/>
    <w:rsid w:val="00A16D91"/>
    <w:rsid w:val="00A174CC"/>
    <w:rsid w:val="00A2073D"/>
    <w:rsid w:val="00A20751"/>
    <w:rsid w:val="00A2748F"/>
    <w:rsid w:val="00A27E2D"/>
    <w:rsid w:val="00A31D99"/>
    <w:rsid w:val="00A357BA"/>
    <w:rsid w:val="00A35ADC"/>
    <w:rsid w:val="00A402A3"/>
    <w:rsid w:val="00A532BB"/>
    <w:rsid w:val="00A53681"/>
    <w:rsid w:val="00A633D4"/>
    <w:rsid w:val="00A6461A"/>
    <w:rsid w:val="00A65BA9"/>
    <w:rsid w:val="00A7339D"/>
    <w:rsid w:val="00A74BF5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40AD"/>
    <w:rsid w:val="00AC4FAA"/>
    <w:rsid w:val="00AC6D2F"/>
    <w:rsid w:val="00AE273C"/>
    <w:rsid w:val="00AE2745"/>
    <w:rsid w:val="00AE27E4"/>
    <w:rsid w:val="00AE2F64"/>
    <w:rsid w:val="00AE5BA7"/>
    <w:rsid w:val="00AF0E1E"/>
    <w:rsid w:val="00AF42CB"/>
    <w:rsid w:val="00AF483F"/>
    <w:rsid w:val="00AF5E07"/>
    <w:rsid w:val="00AF5F06"/>
    <w:rsid w:val="00B00A25"/>
    <w:rsid w:val="00B1422A"/>
    <w:rsid w:val="00B1765C"/>
    <w:rsid w:val="00B213C4"/>
    <w:rsid w:val="00B25308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B71F8"/>
    <w:rsid w:val="00BD25D0"/>
    <w:rsid w:val="00BD499F"/>
    <w:rsid w:val="00BD56DE"/>
    <w:rsid w:val="00BD5EBA"/>
    <w:rsid w:val="00BF194C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2546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4447"/>
    <w:rsid w:val="00CD6D33"/>
    <w:rsid w:val="00CE5AD6"/>
    <w:rsid w:val="00CE617F"/>
    <w:rsid w:val="00CE78EF"/>
    <w:rsid w:val="00CF4293"/>
    <w:rsid w:val="00CF4B97"/>
    <w:rsid w:val="00CF6C38"/>
    <w:rsid w:val="00D048F7"/>
    <w:rsid w:val="00D0517E"/>
    <w:rsid w:val="00D052C1"/>
    <w:rsid w:val="00D140FC"/>
    <w:rsid w:val="00D21D8C"/>
    <w:rsid w:val="00D31357"/>
    <w:rsid w:val="00D33220"/>
    <w:rsid w:val="00D334D1"/>
    <w:rsid w:val="00D44C89"/>
    <w:rsid w:val="00D516CD"/>
    <w:rsid w:val="00D5501D"/>
    <w:rsid w:val="00D57EA5"/>
    <w:rsid w:val="00D668E6"/>
    <w:rsid w:val="00D70670"/>
    <w:rsid w:val="00D74D80"/>
    <w:rsid w:val="00D76624"/>
    <w:rsid w:val="00D87570"/>
    <w:rsid w:val="00D90683"/>
    <w:rsid w:val="00D91CB9"/>
    <w:rsid w:val="00D97989"/>
    <w:rsid w:val="00D97D8D"/>
    <w:rsid w:val="00DA00C1"/>
    <w:rsid w:val="00DA1814"/>
    <w:rsid w:val="00DA352E"/>
    <w:rsid w:val="00DA4C1A"/>
    <w:rsid w:val="00DC640E"/>
    <w:rsid w:val="00DC7694"/>
    <w:rsid w:val="00DD1855"/>
    <w:rsid w:val="00DD1BF6"/>
    <w:rsid w:val="00DD2F9B"/>
    <w:rsid w:val="00DE2513"/>
    <w:rsid w:val="00DE26E8"/>
    <w:rsid w:val="00DE3AE0"/>
    <w:rsid w:val="00DE5A62"/>
    <w:rsid w:val="00DF6F36"/>
    <w:rsid w:val="00E0084C"/>
    <w:rsid w:val="00E025AB"/>
    <w:rsid w:val="00E02B23"/>
    <w:rsid w:val="00E04C3E"/>
    <w:rsid w:val="00E06F40"/>
    <w:rsid w:val="00E07CE8"/>
    <w:rsid w:val="00E24EC7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5F90"/>
    <w:rsid w:val="00E96077"/>
    <w:rsid w:val="00EA0A06"/>
    <w:rsid w:val="00EA6243"/>
    <w:rsid w:val="00EA74AB"/>
    <w:rsid w:val="00EB3D1B"/>
    <w:rsid w:val="00ED1728"/>
    <w:rsid w:val="00ED1D89"/>
    <w:rsid w:val="00ED66BC"/>
    <w:rsid w:val="00EF233A"/>
    <w:rsid w:val="00EF303E"/>
    <w:rsid w:val="00EF3A40"/>
    <w:rsid w:val="00EF5715"/>
    <w:rsid w:val="00EF749E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61C4"/>
    <w:rsid w:val="00F5619D"/>
    <w:rsid w:val="00F56DD0"/>
    <w:rsid w:val="00F6491C"/>
    <w:rsid w:val="00F67BBB"/>
    <w:rsid w:val="00F71A59"/>
    <w:rsid w:val="00F87D92"/>
    <w:rsid w:val="00F90AA7"/>
    <w:rsid w:val="00F92498"/>
    <w:rsid w:val="00F9496B"/>
    <w:rsid w:val="00F970C9"/>
    <w:rsid w:val="00FA06A8"/>
    <w:rsid w:val="00FA3DF5"/>
    <w:rsid w:val="00FA741F"/>
    <w:rsid w:val="00FB4DFE"/>
    <w:rsid w:val="00FB4E07"/>
    <w:rsid w:val="00FB755A"/>
    <w:rsid w:val="00FC60A2"/>
    <w:rsid w:val="00FD1871"/>
    <w:rsid w:val="00FD3110"/>
    <w:rsid w:val="00FE4E67"/>
    <w:rsid w:val="00FF5C3D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4C61707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C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0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0A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0AD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F5619D"/>
    <w:pPr>
      <w:numPr>
        <w:numId w:val="1"/>
      </w:numPr>
      <w:contextualSpacing/>
    </w:pPr>
  </w:style>
  <w:style w:type="paragraph" w:customStyle="1" w:styleId="Default">
    <w:name w:val="Default"/>
    <w:rsid w:val="00D052C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465C4FC99444BB09A0021199479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D912-1059-48FB-8E9C-1F7D7EF8C06E}"/>
      </w:docPartPr>
      <w:docPartBody>
        <w:p w:rsidR="000046B6" w:rsidRDefault="00AC0DEA" w:rsidP="00AC0DEA">
          <w:pPr>
            <w:pStyle w:val="4465C4FC99444BB09A0021199479600C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3E2CB0C7EDE4437A9F6A194C3BAF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AB36-9476-4CBD-A70D-06222E8D1EEB}"/>
      </w:docPartPr>
      <w:docPartBody>
        <w:p w:rsidR="00B0550F" w:rsidRDefault="000046B6" w:rsidP="000046B6">
          <w:pPr>
            <w:pStyle w:val="3E2CB0C7EDE4437A9F6A194C3BAFD671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AE28D389219B4943864E617FA34F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2D32-5FD2-4A94-8DE8-ED056C48933B}"/>
      </w:docPartPr>
      <w:docPartBody>
        <w:p w:rsidR="005E2265" w:rsidRDefault="000442B4" w:rsidP="000442B4">
          <w:pPr>
            <w:pStyle w:val="AE28D389219B4943864E617FA34F594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046B6"/>
    <w:rsid w:val="000442B4"/>
    <w:rsid w:val="005E2265"/>
    <w:rsid w:val="00AC0DEA"/>
    <w:rsid w:val="00B0550F"/>
    <w:rsid w:val="00B069EB"/>
    <w:rsid w:val="00D21A9F"/>
    <w:rsid w:val="00E23372"/>
    <w:rsid w:val="00F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2B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01203E743A784BD58425B6809AF16644">
    <w:name w:val="01203E743A784BD58425B6809AF16644"/>
    <w:rsid w:val="00AC0DEA"/>
  </w:style>
  <w:style w:type="paragraph" w:customStyle="1" w:styleId="4465C4FC99444BB09A0021199479600C">
    <w:name w:val="4465C4FC99444BB09A0021199479600C"/>
    <w:rsid w:val="00AC0DEA"/>
  </w:style>
  <w:style w:type="paragraph" w:customStyle="1" w:styleId="FF29ED2753BE406B88636B37F564958F">
    <w:name w:val="FF29ED2753BE406B88636B37F564958F"/>
    <w:rsid w:val="00AC0DEA"/>
  </w:style>
  <w:style w:type="paragraph" w:customStyle="1" w:styleId="FDAE8DCFBCEA4420B7AAC5E36CEB010B">
    <w:name w:val="FDAE8DCFBCEA4420B7AAC5E36CEB010B"/>
    <w:rsid w:val="000046B6"/>
  </w:style>
  <w:style w:type="paragraph" w:customStyle="1" w:styleId="F6E30212FFCC4BD786EEEC58696E78C8">
    <w:name w:val="F6E30212FFCC4BD786EEEC58696E78C8"/>
    <w:rsid w:val="000046B6"/>
  </w:style>
  <w:style w:type="paragraph" w:customStyle="1" w:styleId="3E2CB0C7EDE4437A9F6A194C3BAFD671">
    <w:name w:val="3E2CB0C7EDE4437A9F6A194C3BAFD671"/>
    <w:rsid w:val="000046B6"/>
  </w:style>
  <w:style w:type="paragraph" w:customStyle="1" w:styleId="BE127FAB1EA44249A949A05367B18A1E">
    <w:name w:val="BE127FAB1EA44249A949A05367B18A1E"/>
    <w:rsid w:val="00F42E75"/>
  </w:style>
  <w:style w:type="paragraph" w:customStyle="1" w:styleId="AE28D389219B4943864E617FA34F5945">
    <w:name w:val="AE28D389219B4943864E617FA34F5945"/>
    <w:rsid w:val="00044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F214-8E64-48C1-B758-B2EB6C4BC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9DCE0-8659-4775-BBEF-55538FD9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8E901A0.dotm</Template>
  <TotalTime>92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16</cp:revision>
  <cp:lastPrinted>2018-10-22T22:41:00Z</cp:lastPrinted>
  <dcterms:created xsi:type="dcterms:W3CDTF">2019-08-13T00:15:00Z</dcterms:created>
  <dcterms:modified xsi:type="dcterms:W3CDTF">2019-09-13T06:47:00Z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