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0B655A92" w14:textId="77777777" w:rsidR="00BD499F" w:rsidRPr="004C23F4" w:rsidRDefault="00B71ECD" w:rsidP="00B40C60">
          <w:pPr>
            <w:pStyle w:val="Heading1"/>
            <w:jc w:val="center"/>
            <w:rPr>
              <w:rFonts w:ascii="Arial" w:hAnsi="Arial" w:cs="Arial"/>
            </w:rPr>
          </w:pPr>
          <w:r w:rsidRPr="00B71ECD">
            <w:rPr>
              <w:rFonts w:ascii="Arial" w:hAnsi="Arial" w:cs="Arial"/>
            </w:rPr>
            <w:t>EPN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68"/>
        <w:gridCol w:w="5058"/>
      </w:tblGrid>
      <w:tr w:rsidR="00F43AD5" w:rsidRPr="004C23F4" w14:paraId="48E08BE7" w14:textId="77777777" w:rsidTr="00E71504">
        <w:trPr>
          <w:cantSplit/>
          <w:tblHeader/>
        </w:trPr>
        <w:tc>
          <w:tcPr>
            <w:tcW w:w="3968" w:type="dxa"/>
          </w:tcPr>
          <w:p w14:paraId="4A504431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058" w:type="dxa"/>
          </w:tcPr>
          <w:p w14:paraId="0454EBA3" w14:textId="77777777" w:rsidR="00F43AD5" w:rsidRPr="00717D45" w:rsidRDefault="00B71ECD" w:rsidP="00B76A41">
            <w:pPr>
              <w:pStyle w:val="Tablefont"/>
            </w:pPr>
            <w:r w:rsidRPr="00B71ECD">
              <w:t>2104-64-5</w:t>
            </w:r>
          </w:p>
        </w:tc>
      </w:tr>
      <w:tr w:rsidR="00F43AD5" w:rsidRPr="004C23F4" w14:paraId="4ACC131C" w14:textId="77777777" w:rsidTr="00E71504">
        <w:trPr>
          <w:cantSplit/>
        </w:trPr>
        <w:tc>
          <w:tcPr>
            <w:tcW w:w="3968" w:type="dxa"/>
          </w:tcPr>
          <w:p w14:paraId="696405E4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058" w:type="dxa"/>
          </w:tcPr>
          <w:p w14:paraId="3D42E806" w14:textId="77777777" w:rsidR="00F43AD5" w:rsidRPr="00717D45" w:rsidRDefault="0069779E" w:rsidP="00B76A41">
            <w:pPr>
              <w:pStyle w:val="Tablefont"/>
            </w:pPr>
            <w:r>
              <w:t>O-Ethyl O-p-</w:t>
            </w:r>
            <w:proofErr w:type="spellStart"/>
            <w:r>
              <w:t>nitrophenyl</w:t>
            </w:r>
            <w:proofErr w:type="spellEnd"/>
            <w:r>
              <w:t xml:space="preserve"> </w:t>
            </w:r>
            <w:proofErr w:type="spellStart"/>
            <w:r>
              <w:t>phenylphosphonothioate</w:t>
            </w:r>
            <w:proofErr w:type="spellEnd"/>
            <w:r>
              <w:t xml:space="preserve">, </w:t>
            </w:r>
            <w:r w:rsidR="006C2BB8">
              <w:br/>
            </w:r>
            <w:r>
              <w:t xml:space="preserve">O-Ethyl-O-(4-nitrophenyl) </w:t>
            </w:r>
            <w:proofErr w:type="spellStart"/>
            <w:r>
              <w:t>phenylthiophosphonate</w:t>
            </w:r>
            <w:proofErr w:type="spellEnd"/>
          </w:p>
        </w:tc>
      </w:tr>
      <w:tr w:rsidR="00F43AD5" w:rsidRPr="004C23F4" w14:paraId="72AAA9B4" w14:textId="77777777" w:rsidTr="00E71504">
        <w:trPr>
          <w:cantSplit/>
        </w:trPr>
        <w:tc>
          <w:tcPr>
            <w:tcW w:w="3968" w:type="dxa"/>
          </w:tcPr>
          <w:p w14:paraId="1205E65A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058" w:type="dxa"/>
          </w:tcPr>
          <w:p w14:paraId="0762C19F" w14:textId="77777777" w:rsidR="00F43AD5" w:rsidRPr="00717D45" w:rsidRDefault="0069779E" w:rsidP="00B76A41">
            <w:pPr>
              <w:pStyle w:val="Tablefont"/>
            </w:pPr>
            <w:r>
              <w:t>C</w:t>
            </w:r>
            <w:r w:rsidRPr="0069779E">
              <w:rPr>
                <w:vertAlign w:val="subscript"/>
              </w:rPr>
              <w:t>14</w:t>
            </w:r>
            <w:r>
              <w:t>H</w:t>
            </w:r>
            <w:r w:rsidRPr="0069779E">
              <w:rPr>
                <w:vertAlign w:val="subscript"/>
              </w:rPr>
              <w:t>14</w:t>
            </w:r>
            <w:r>
              <w:t>NO</w:t>
            </w:r>
            <w:r w:rsidRPr="0069779E">
              <w:rPr>
                <w:vertAlign w:val="subscript"/>
              </w:rPr>
              <w:t>4</w:t>
            </w:r>
            <w:r>
              <w:t>PS</w:t>
            </w:r>
          </w:p>
        </w:tc>
      </w:tr>
    </w:tbl>
    <w:p w14:paraId="183D6065" w14:textId="77777777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A402DA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15FCC354" w14:textId="77777777" w:rsidTr="00FA653D">
        <w:trPr>
          <w:cantSplit/>
          <w:tblHeader/>
        </w:trPr>
        <w:tc>
          <w:tcPr>
            <w:tcW w:w="4005" w:type="dxa"/>
            <w:vAlign w:val="center"/>
          </w:tcPr>
          <w:p w14:paraId="05A7BBDE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0EDED778" w14:textId="77777777" w:rsidR="002C7AFE" w:rsidRPr="0078304C" w:rsidRDefault="00983A04" w:rsidP="00017C82">
            <w:pPr>
              <w:pStyle w:val="Tablefont"/>
              <w:rPr>
                <w:b/>
              </w:rPr>
            </w:pPr>
            <w:r w:rsidRPr="0078304C">
              <w:rPr>
                <w:b/>
              </w:rPr>
              <w:t>0.</w:t>
            </w:r>
            <w:r w:rsidR="00A402DA" w:rsidRPr="0078304C">
              <w:rPr>
                <w:b/>
              </w:rPr>
              <w:t>1</w:t>
            </w:r>
            <w:r w:rsidRPr="0078304C">
              <w:rPr>
                <w:b/>
              </w:rPr>
              <w:t xml:space="preserve"> mg/m</w:t>
            </w:r>
            <w:r w:rsidRPr="0078304C">
              <w:rPr>
                <w:b/>
                <w:vertAlign w:val="superscript"/>
              </w:rPr>
              <w:t>3</w:t>
            </w:r>
          </w:p>
        </w:tc>
      </w:tr>
      <w:tr w:rsidR="002C7AFE" w:rsidRPr="004C23F4" w14:paraId="7DFD0BB3" w14:textId="77777777" w:rsidTr="00FA653D">
        <w:trPr>
          <w:cantSplit/>
        </w:trPr>
        <w:tc>
          <w:tcPr>
            <w:tcW w:w="4005" w:type="dxa"/>
            <w:vAlign w:val="center"/>
          </w:tcPr>
          <w:p w14:paraId="1CDE31DA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132B44DA" w14:textId="77777777" w:rsidR="002C7AFE" w:rsidRPr="00D94870" w:rsidRDefault="007920B2" w:rsidP="00017C82">
            <w:pPr>
              <w:pStyle w:val="Tablefont"/>
              <w:rPr>
                <w:b/>
              </w:rPr>
            </w:pPr>
            <w:r w:rsidRPr="00D94870">
              <w:rPr>
                <w:b/>
              </w:rPr>
              <w:t>—</w:t>
            </w:r>
            <w:bookmarkStart w:id="0" w:name="_GoBack"/>
            <w:bookmarkEnd w:id="0"/>
          </w:p>
        </w:tc>
      </w:tr>
      <w:tr w:rsidR="002C7AFE" w:rsidRPr="004C23F4" w14:paraId="43C2B60C" w14:textId="77777777" w:rsidTr="00FA653D">
        <w:trPr>
          <w:cantSplit/>
        </w:trPr>
        <w:tc>
          <w:tcPr>
            <w:tcW w:w="4005" w:type="dxa"/>
            <w:vAlign w:val="center"/>
          </w:tcPr>
          <w:p w14:paraId="6FB6CE2E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5310BA2A" w14:textId="77777777" w:rsidR="002C7AFE" w:rsidRPr="0078304C" w:rsidRDefault="007920B2" w:rsidP="00017C82">
            <w:pPr>
              <w:pStyle w:val="Tablefont"/>
              <w:rPr>
                <w:b/>
              </w:rPr>
            </w:pPr>
            <w:r w:rsidRPr="00D94870">
              <w:rPr>
                <w:b/>
              </w:rPr>
              <w:t>—</w:t>
            </w:r>
          </w:p>
        </w:tc>
      </w:tr>
      <w:tr w:rsidR="002C7AFE" w:rsidRPr="004C23F4" w14:paraId="2F74F440" w14:textId="77777777" w:rsidTr="00FA653D">
        <w:trPr>
          <w:cantSplit/>
        </w:trPr>
        <w:tc>
          <w:tcPr>
            <w:tcW w:w="4005" w:type="dxa"/>
          </w:tcPr>
          <w:p w14:paraId="1FCECD91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5BB0FA08" w14:textId="77777777" w:rsidR="002C7AFE" w:rsidRPr="0078304C" w:rsidRDefault="00F91F18" w:rsidP="008A36CF">
            <w:pPr>
              <w:pStyle w:val="Tablefont"/>
              <w:rPr>
                <w:b/>
              </w:rPr>
            </w:pPr>
            <w:r w:rsidRPr="0078304C">
              <w:rPr>
                <w:b/>
              </w:rPr>
              <w:t>Sk.</w:t>
            </w:r>
          </w:p>
        </w:tc>
      </w:tr>
      <w:tr w:rsidR="002C7AFE" w:rsidRPr="004C23F4" w14:paraId="4F75B786" w14:textId="77777777" w:rsidTr="00FA653D">
        <w:trPr>
          <w:cantSplit/>
        </w:trPr>
        <w:tc>
          <w:tcPr>
            <w:tcW w:w="4005" w:type="dxa"/>
            <w:vAlign w:val="center"/>
          </w:tcPr>
          <w:p w14:paraId="34CB11F1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6D7C2A75" w14:textId="77777777" w:rsidR="002C7AFE" w:rsidRPr="0078304C" w:rsidRDefault="0069779E" w:rsidP="00017C82">
            <w:pPr>
              <w:pStyle w:val="Tablefont"/>
              <w:rPr>
                <w:b/>
              </w:rPr>
            </w:pPr>
            <w:r w:rsidRPr="0078304C">
              <w:rPr>
                <w:b/>
              </w:rPr>
              <w:t xml:space="preserve">5 </w:t>
            </w:r>
            <w:r w:rsidR="007920B2" w:rsidRPr="0078304C">
              <w:rPr>
                <w:b/>
              </w:rPr>
              <w:t>mg/m</w:t>
            </w:r>
            <w:r w:rsidR="007920B2" w:rsidRPr="0078304C">
              <w:rPr>
                <w:b/>
                <w:vertAlign w:val="superscript"/>
              </w:rPr>
              <w:t>3</w:t>
            </w:r>
          </w:p>
        </w:tc>
      </w:tr>
      <w:tr w:rsidR="00FA653D" w:rsidRPr="004C23F4" w14:paraId="2F9C51D9" w14:textId="77777777" w:rsidTr="00586DF7">
        <w:trPr>
          <w:cantSplit/>
        </w:trPr>
        <w:tc>
          <w:tcPr>
            <w:tcW w:w="9026" w:type="dxa"/>
            <w:gridSpan w:val="2"/>
            <w:vAlign w:val="center"/>
          </w:tcPr>
          <w:p w14:paraId="720E749B" w14:textId="77777777" w:rsidR="00FA653D" w:rsidRPr="00EB3D1B" w:rsidRDefault="00FA653D" w:rsidP="00FA653D">
            <w:pPr>
              <w:pStyle w:val="Tablefont"/>
              <w:rPr>
                <w:b/>
              </w:rPr>
            </w:pPr>
            <w:r w:rsidRPr="00FA7566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830D71D157084582B187C3D284BFEA43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FA7566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1AFCCF45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6FA850F2" w14:textId="77777777" w:rsidR="003A3FDD" w:rsidRDefault="003A3FDD" w:rsidP="003A3FDD">
      <w:r>
        <w:rPr>
          <w:rFonts w:cs="Arial"/>
        </w:rPr>
        <w:t>A TWA of 0.</w:t>
      </w:r>
      <w:r w:rsidR="00A402DA">
        <w:rPr>
          <w:rFonts w:cs="Arial"/>
        </w:rPr>
        <w:t>1</w:t>
      </w:r>
      <w:r>
        <w:rPr>
          <w:rFonts w:cs="Arial"/>
        </w:rPr>
        <w:t xml:space="preserve">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 </w:t>
      </w:r>
      <w:proofErr w:type="gramStart"/>
      <w:r>
        <w:t xml:space="preserve">is </w:t>
      </w:r>
      <w:r w:rsidR="00A402DA" w:rsidRPr="00A402DA">
        <w:t>recommended</w:t>
      </w:r>
      <w:proofErr w:type="gramEnd"/>
      <w:r w:rsidR="00A402DA" w:rsidRPr="00A402DA">
        <w:t xml:space="preserve"> </w:t>
      </w:r>
      <w:r>
        <w:t>to minimise potential for cholinergic symptoms in exposed workers.</w:t>
      </w:r>
    </w:p>
    <w:p w14:paraId="27364DAD" w14:textId="77777777" w:rsidR="00C7155E" w:rsidRPr="004C23F4" w:rsidRDefault="00F10C97" w:rsidP="003365A5">
      <w:pPr>
        <w:pStyle w:val="Heading2"/>
      </w:pPr>
      <w:r>
        <w:t>Discussion and conclusions</w:t>
      </w:r>
    </w:p>
    <w:p w14:paraId="694E9FC4" w14:textId="77777777" w:rsidR="006C2BB8" w:rsidRDefault="00186107" w:rsidP="006639B4">
      <w:r>
        <w:t xml:space="preserve">EPN </w:t>
      </w:r>
      <w:r w:rsidR="00E71504">
        <w:t>is an organophosphate pesticide</w:t>
      </w:r>
      <w:r>
        <w:t xml:space="preserve"> used as a non-systemic insecticide and </w:t>
      </w:r>
      <w:proofErr w:type="spellStart"/>
      <w:r>
        <w:t>acaricide</w:t>
      </w:r>
      <w:proofErr w:type="spellEnd"/>
      <w:r>
        <w:t xml:space="preserve">. </w:t>
      </w:r>
    </w:p>
    <w:p w14:paraId="08540BB5" w14:textId="77777777" w:rsidR="006639B4" w:rsidRDefault="00186107" w:rsidP="006639B4">
      <w:pPr>
        <w:rPr>
          <w:rFonts w:cs="Arial"/>
        </w:rPr>
      </w:pPr>
      <w:r>
        <w:t xml:space="preserve">It </w:t>
      </w:r>
      <w:r>
        <w:rPr>
          <w:rFonts w:cs="Arial"/>
        </w:rPr>
        <w:t xml:space="preserve">affects cholinesterase </w:t>
      </w:r>
      <w:r w:rsidR="006C2BB8">
        <w:rPr>
          <w:rFonts w:cs="Arial"/>
        </w:rPr>
        <w:t>(</w:t>
      </w:r>
      <w:proofErr w:type="spellStart"/>
      <w:r w:rsidR="006C2BB8">
        <w:rPr>
          <w:rFonts w:cs="Arial"/>
        </w:rPr>
        <w:t>ChE</w:t>
      </w:r>
      <w:proofErr w:type="spellEnd"/>
      <w:r w:rsidR="006C2BB8">
        <w:rPr>
          <w:rFonts w:cs="Arial"/>
        </w:rPr>
        <w:t xml:space="preserve">) </w:t>
      </w:r>
      <w:r>
        <w:rPr>
          <w:rFonts w:cs="Arial"/>
        </w:rPr>
        <w:t>activity</w:t>
      </w:r>
      <w:r w:rsidR="002E2740">
        <w:rPr>
          <w:rFonts w:cs="Arial"/>
        </w:rPr>
        <w:t xml:space="preserve"> and </w:t>
      </w:r>
      <w:r w:rsidR="00982B1F">
        <w:rPr>
          <w:rFonts w:cs="Arial"/>
        </w:rPr>
        <w:t xml:space="preserve">has high oral toxicity with reports of </w:t>
      </w:r>
      <w:r w:rsidR="00F241DF">
        <w:rPr>
          <w:rFonts w:cs="Arial"/>
        </w:rPr>
        <w:t>acute poisoning and death follow</w:t>
      </w:r>
      <w:r w:rsidR="00982B1F">
        <w:rPr>
          <w:rFonts w:cs="Arial"/>
        </w:rPr>
        <w:t>ing</w:t>
      </w:r>
      <w:r w:rsidR="00F241DF">
        <w:rPr>
          <w:rFonts w:cs="Arial"/>
        </w:rPr>
        <w:t xml:space="preserve"> ingestion. Symptoms in humans included</w:t>
      </w:r>
      <w:r w:rsidR="002E2740">
        <w:rPr>
          <w:rFonts w:cs="Arial"/>
        </w:rPr>
        <w:t xml:space="preserve"> </w:t>
      </w:r>
      <w:r w:rsidR="002E2740">
        <w:t>convulsions, cardio</w:t>
      </w:r>
      <w:r w:rsidR="006C2BB8">
        <w:t>-</w:t>
      </w:r>
      <w:r w:rsidR="002E2740">
        <w:t xml:space="preserve">respiratory arrest, coma, </w:t>
      </w:r>
      <w:proofErr w:type="spellStart"/>
      <w:r w:rsidR="002E2740">
        <w:t>miosis</w:t>
      </w:r>
      <w:proofErr w:type="spellEnd"/>
      <w:r w:rsidR="002E2740">
        <w:t xml:space="preserve">, sweating, bloody stools, pulmonary oedema, </w:t>
      </w:r>
      <w:r w:rsidR="00F241DF">
        <w:t>tightness in the chest, fatigability, weakness, weight loss and muscle atrophy. N</w:t>
      </w:r>
      <w:r w:rsidR="002E2740">
        <w:rPr>
          <w:rFonts w:cs="Arial"/>
        </w:rPr>
        <w:t>eurotoxic ataxia</w:t>
      </w:r>
      <w:r w:rsidR="00F241DF">
        <w:rPr>
          <w:rFonts w:cs="Arial"/>
        </w:rPr>
        <w:t xml:space="preserve"> </w:t>
      </w:r>
      <w:proofErr w:type="gramStart"/>
      <w:r w:rsidR="00E71504">
        <w:rPr>
          <w:rFonts w:cs="Arial"/>
        </w:rPr>
        <w:t>is</w:t>
      </w:r>
      <w:r w:rsidR="0030175A">
        <w:rPr>
          <w:rFonts w:cs="Arial"/>
        </w:rPr>
        <w:t xml:space="preserve"> </w:t>
      </w:r>
      <w:r w:rsidR="006C2BB8">
        <w:rPr>
          <w:rFonts w:cs="Arial"/>
        </w:rPr>
        <w:t>reported</w:t>
      </w:r>
      <w:proofErr w:type="gramEnd"/>
      <w:r w:rsidR="00F241DF">
        <w:rPr>
          <w:rFonts w:cs="Arial"/>
        </w:rPr>
        <w:t xml:space="preserve"> in animal studies (ACGIH, 20</w:t>
      </w:r>
      <w:r w:rsidR="00F212EF">
        <w:rPr>
          <w:rFonts w:cs="Arial"/>
        </w:rPr>
        <w:t>18</w:t>
      </w:r>
      <w:r w:rsidR="00F241DF">
        <w:rPr>
          <w:rFonts w:cs="Arial"/>
        </w:rPr>
        <w:t>)</w:t>
      </w:r>
      <w:r w:rsidR="002E2740">
        <w:rPr>
          <w:rFonts w:cs="Arial"/>
        </w:rPr>
        <w:t>.</w:t>
      </w:r>
    </w:p>
    <w:p w14:paraId="1B51C8A4" w14:textId="07A8DD4C" w:rsidR="00AD018F" w:rsidRPr="000862AD" w:rsidRDefault="0036655A" w:rsidP="006639B4">
      <w:r>
        <w:t>A NOEL for humans of 6 mg/kg</w:t>
      </w:r>
      <w:r w:rsidR="00181415">
        <w:t xml:space="preserve">/day </w:t>
      </w:r>
      <w:proofErr w:type="gramStart"/>
      <w:r>
        <w:t>is reported</w:t>
      </w:r>
      <w:proofErr w:type="gramEnd"/>
      <w:r>
        <w:t xml:space="preserve"> </w:t>
      </w:r>
      <w:r w:rsidR="00AD018F">
        <w:t>by DFG (</w:t>
      </w:r>
      <w:r w:rsidR="00525175">
        <w:t>2002</w:t>
      </w:r>
      <w:r w:rsidR="00AD018F">
        <w:t>)</w:t>
      </w:r>
      <w:r w:rsidR="00E71504">
        <w:t>.</w:t>
      </w:r>
      <w:r w:rsidR="00AD018F">
        <w:t xml:space="preserve"> </w:t>
      </w:r>
      <w:r w:rsidR="00AD018F">
        <w:rPr>
          <w:rFonts w:cs="Arial"/>
        </w:rPr>
        <w:t>Based on an oral dose of 6 mg</w:t>
      </w:r>
      <w:r w:rsidR="00E71504">
        <w:rPr>
          <w:rFonts w:cs="Arial"/>
        </w:rPr>
        <w:t>/kg/</w:t>
      </w:r>
      <w:proofErr w:type="gramStart"/>
      <w:r w:rsidR="00181415">
        <w:rPr>
          <w:rFonts w:cs="Arial"/>
        </w:rPr>
        <w:t xml:space="preserve">day </w:t>
      </w:r>
      <w:r w:rsidR="00AD018F">
        <w:rPr>
          <w:rFonts w:cs="Arial"/>
        </w:rPr>
        <w:t>which</w:t>
      </w:r>
      <w:proofErr w:type="gramEnd"/>
      <w:r w:rsidR="00AD018F">
        <w:rPr>
          <w:rFonts w:cs="Arial"/>
        </w:rPr>
        <w:t xml:space="preserve"> did not </w:t>
      </w:r>
      <w:r w:rsidR="00181415">
        <w:rPr>
          <w:rFonts w:cs="Arial"/>
        </w:rPr>
        <w:t xml:space="preserve">cause </w:t>
      </w:r>
      <w:r w:rsidR="00AD018F">
        <w:rPr>
          <w:rFonts w:cs="Arial"/>
        </w:rPr>
        <w:t xml:space="preserve">adverse effects in </w:t>
      </w:r>
      <w:r w:rsidR="00E71504">
        <w:rPr>
          <w:rFonts w:cs="Arial"/>
        </w:rPr>
        <w:t>red blood cell (</w:t>
      </w:r>
      <w:r w:rsidR="00AD018F">
        <w:rPr>
          <w:rFonts w:cs="Arial"/>
        </w:rPr>
        <w:t>RBC</w:t>
      </w:r>
      <w:r w:rsidR="00E71504">
        <w:rPr>
          <w:rFonts w:cs="Arial"/>
        </w:rPr>
        <w:t>)</w:t>
      </w:r>
      <w:r w:rsidR="00AD018F">
        <w:rPr>
          <w:rFonts w:cs="Arial"/>
        </w:rPr>
        <w:t xml:space="preserve"> </w:t>
      </w:r>
      <w:proofErr w:type="spellStart"/>
      <w:r w:rsidR="00AD018F">
        <w:rPr>
          <w:rFonts w:cs="Arial"/>
        </w:rPr>
        <w:t>ChE</w:t>
      </w:r>
      <w:proofErr w:type="spellEnd"/>
      <w:r w:rsidR="00AD018F">
        <w:rPr>
          <w:rFonts w:cs="Arial"/>
        </w:rPr>
        <w:t xml:space="preserve"> activity in humans,</w:t>
      </w:r>
      <w:r w:rsidR="00AD018F">
        <w:t xml:space="preserve"> a corresponding inhalation </w:t>
      </w:r>
      <w:r w:rsidR="00181415">
        <w:t xml:space="preserve">NOAEC </w:t>
      </w:r>
      <w:r w:rsidR="00AD018F">
        <w:t>exposure of 0.6 mg/m</w:t>
      </w:r>
      <w:r w:rsidR="00AD018F">
        <w:rPr>
          <w:vertAlign w:val="superscript"/>
        </w:rPr>
        <w:t>3</w:t>
      </w:r>
      <w:r w:rsidR="00AD018F">
        <w:t xml:space="preserve"> was determined </w:t>
      </w:r>
      <w:r w:rsidR="00E71504">
        <w:t xml:space="preserve">by </w:t>
      </w:r>
      <w:r w:rsidR="00AD018F">
        <w:t xml:space="preserve">ACGIH </w:t>
      </w:r>
      <w:r w:rsidR="00E71504">
        <w:t>(</w:t>
      </w:r>
      <w:r w:rsidR="00AD018F">
        <w:t>20</w:t>
      </w:r>
      <w:r w:rsidR="00F212EF">
        <w:t>18</w:t>
      </w:r>
      <w:r w:rsidR="00AD018F">
        <w:t xml:space="preserve">). </w:t>
      </w:r>
      <w:r w:rsidR="000862AD">
        <w:rPr>
          <w:rFonts w:cs="Arial"/>
        </w:rPr>
        <w:t>Repeat dose oral exposure studies in rats and dogs reported</w:t>
      </w:r>
      <w:r w:rsidR="000862AD">
        <w:t xml:space="preserve"> that doses ranging between 0.25 to 1.0 mg/kg/day did not cause effects on RBC </w:t>
      </w:r>
      <w:proofErr w:type="spellStart"/>
      <w:r w:rsidR="000862AD">
        <w:rPr>
          <w:rFonts w:cs="Arial"/>
        </w:rPr>
        <w:t>ChE</w:t>
      </w:r>
      <w:proofErr w:type="spellEnd"/>
      <w:r w:rsidR="000862AD">
        <w:rPr>
          <w:rFonts w:cs="Arial"/>
        </w:rPr>
        <w:t xml:space="preserve"> activity (ACGIH, 2018). ACGIH assigned a TLV-TWA of </w:t>
      </w:r>
      <w:r w:rsidR="000862AD">
        <w:t>0.1 mg/m</w:t>
      </w:r>
      <w:r w:rsidR="000862AD">
        <w:rPr>
          <w:vertAlign w:val="superscript"/>
        </w:rPr>
        <w:t>3</w:t>
      </w:r>
      <w:r w:rsidR="000862AD">
        <w:t xml:space="preserve"> based on the NOAELs obtained in human and animal studies</w:t>
      </w:r>
      <w:r w:rsidR="00EE6356">
        <w:t xml:space="preserve">. </w:t>
      </w:r>
    </w:p>
    <w:p w14:paraId="2B8B03A9" w14:textId="10AED798" w:rsidR="00AD018F" w:rsidRDefault="00AD018F" w:rsidP="006639B4">
      <w:r>
        <w:t>TWA of 0.1 mg/m</w:t>
      </w:r>
      <w:r>
        <w:rPr>
          <w:vertAlign w:val="superscript"/>
        </w:rPr>
        <w:t>3</w:t>
      </w:r>
      <w:r>
        <w:t xml:space="preserve"> </w:t>
      </w:r>
      <w:r w:rsidR="006B4F38">
        <w:t xml:space="preserve">as </w:t>
      </w:r>
      <w:r w:rsidR="00181415">
        <w:t xml:space="preserve">derived </w:t>
      </w:r>
      <w:r w:rsidR="006B4F38">
        <w:t>by ACGIH (20</w:t>
      </w:r>
      <w:r w:rsidR="00F212EF">
        <w:t>18</w:t>
      </w:r>
      <w:r w:rsidR="006B4F38">
        <w:t xml:space="preserve">) </w:t>
      </w:r>
      <w:proofErr w:type="gramStart"/>
      <w:r>
        <w:t xml:space="preserve">is </w:t>
      </w:r>
      <w:r w:rsidR="00145709">
        <w:t>recommended</w:t>
      </w:r>
      <w:proofErr w:type="gramEnd"/>
      <w:r w:rsidR="00145709">
        <w:t xml:space="preserve"> to</w:t>
      </w:r>
      <w:r>
        <w:t xml:space="preserve"> protect f</w:t>
      </w:r>
      <w:r w:rsidR="00145709">
        <w:t>or potential</w:t>
      </w:r>
      <w:r>
        <w:t xml:space="preserve"> cholinergic effects</w:t>
      </w:r>
      <w:r w:rsidR="00145709">
        <w:t xml:space="preserve"> in exposed workers</w:t>
      </w:r>
      <w:r>
        <w:t>.</w:t>
      </w:r>
    </w:p>
    <w:p w14:paraId="2F7D54CD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762AFEA2" w14:textId="77777777" w:rsidR="0069779E" w:rsidRPr="00A70823" w:rsidRDefault="0069779E" w:rsidP="0069779E">
      <w:pPr>
        <w:rPr>
          <w:rFonts w:cs="Arial"/>
        </w:rPr>
      </w:pPr>
      <w:r w:rsidRPr="00A70823">
        <w:rPr>
          <w:rFonts w:cs="Arial"/>
        </w:rPr>
        <w:t xml:space="preserve">Not classified as a carcinogen according to the Globally Harmonized System of Classification and Labelling </w:t>
      </w:r>
      <w:r w:rsidR="00D94870" w:rsidRPr="00A70823">
        <w:rPr>
          <w:rFonts w:cs="Arial"/>
        </w:rPr>
        <w:t>o</w:t>
      </w:r>
      <w:r w:rsidR="00D94870">
        <w:rPr>
          <w:rFonts w:cs="Arial"/>
        </w:rPr>
        <w:t>f</w:t>
      </w:r>
      <w:r w:rsidR="00D94870" w:rsidRPr="00A70823">
        <w:rPr>
          <w:rFonts w:cs="Arial"/>
        </w:rPr>
        <w:t xml:space="preserve"> </w:t>
      </w:r>
      <w:r w:rsidRPr="00A70823">
        <w:rPr>
          <w:rFonts w:cs="Arial"/>
        </w:rPr>
        <w:t xml:space="preserve">Chemicals (GHS). </w:t>
      </w:r>
    </w:p>
    <w:p w14:paraId="6A777599" w14:textId="77777777" w:rsidR="0069779E" w:rsidRPr="00A70823" w:rsidRDefault="0069779E" w:rsidP="0069779E">
      <w:pPr>
        <w:rPr>
          <w:rFonts w:cs="Arial"/>
        </w:rPr>
      </w:pPr>
      <w:r w:rsidRPr="00A70823">
        <w:rPr>
          <w:rFonts w:cs="Arial"/>
        </w:rPr>
        <w:t>Not classified as a skin</w:t>
      </w:r>
      <w:r w:rsidR="00D94870">
        <w:rPr>
          <w:rFonts w:cs="Arial"/>
        </w:rPr>
        <w:t xml:space="preserve"> </w:t>
      </w:r>
      <w:r w:rsidR="00D94870" w:rsidRPr="00A70823">
        <w:rPr>
          <w:rFonts w:cs="Arial"/>
        </w:rPr>
        <w:t>sensitiser</w:t>
      </w:r>
      <w:r w:rsidRPr="00A70823">
        <w:rPr>
          <w:rFonts w:cs="Arial"/>
        </w:rPr>
        <w:t xml:space="preserve"> or respiratory sensitiser according to the GHS.</w:t>
      </w:r>
    </w:p>
    <w:p w14:paraId="03E76C64" w14:textId="77777777" w:rsidR="0025734A" w:rsidRPr="004C23F4" w:rsidRDefault="006C2BB8">
      <w:pPr>
        <w:rPr>
          <w:rFonts w:cs="Arial"/>
        </w:rPr>
      </w:pPr>
      <w:r>
        <w:rPr>
          <w:rFonts w:cs="Arial"/>
        </w:rPr>
        <w:t>A s</w:t>
      </w:r>
      <w:r w:rsidR="00F91F18">
        <w:rPr>
          <w:rFonts w:cs="Arial"/>
        </w:rPr>
        <w:t xml:space="preserve">kin notation </w:t>
      </w:r>
      <w:proofErr w:type="gramStart"/>
      <w:r>
        <w:rPr>
          <w:rFonts w:cs="Arial"/>
        </w:rPr>
        <w:t xml:space="preserve">is </w:t>
      </w:r>
      <w:r w:rsidR="00F91F18">
        <w:rPr>
          <w:rFonts w:cs="Arial"/>
        </w:rPr>
        <w:t>recommended</w:t>
      </w:r>
      <w:proofErr w:type="gramEnd"/>
      <w:r w:rsidR="00F91F18">
        <w:rPr>
          <w:rFonts w:cs="Arial"/>
        </w:rPr>
        <w:t xml:space="preserve"> based on </w:t>
      </w:r>
      <w:r w:rsidR="00186107">
        <w:rPr>
          <w:rFonts w:cs="Arial"/>
        </w:rPr>
        <w:t>lethality</w:t>
      </w:r>
      <w:r w:rsidR="00F91F18">
        <w:rPr>
          <w:rFonts w:cs="Arial"/>
        </w:rPr>
        <w:t xml:space="preserve"> </w:t>
      </w:r>
      <w:r>
        <w:rPr>
          <w:rFonts w:cs="Arial"/>
        </w:rPr>
        <w:t xml:space="preserve">reported </w:t>
      </w:r>
      <w:r w:rsidR="00F91F18">
        <w:rPr>
          <w:rFonts w:cs="Arial"/>
        </w:rPr>
        <w:t xml:space="preserve">in animals </w:t>
      </w:r>
      <w:r w:rsidR="00186107">
        <w:rPr>
          <w:rFonts w:cs="Arial"/>
        </w:rPr>
        <w:t>following dermal application</w:t>
      </w:r>
      <w:r w:rsidR="0069779E" w:rsidRPr="00A70823">
        <w:rPr>
          <w:rFonts w:cs="Arial"/>
        </w:rPr>
        <w:t>.</w:t>
      </w:r>
    </w:p>
    <w:p w14:paraId="6035EAD4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0F7EB131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0A60670A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38CEC415" w14:textId="77777777" w:rsidTr="00733004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2F5DB3FD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4AA6AD5B" w14:textId="77777777" w:rsidTr="0073300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F4524EE" w14:textId="77777777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69779E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69779E">
                  <w:t>TWA: 0.5 mg/m</w:t>
                </w:r>
                <w:r w:rsidR="0069779E" w:rsidRPr="0069779E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1ED0359C" w14:textId="77777777" w:rsidTr="00733004">
        <w:trPr>
          <w:gridAfter w:val="1"/>
          <w:wAfter w:w="8" w:type="pct"/>
        </w:trPr>
        <w:tc>
          <w:tcPr>
            <w:tcW w:w="4992" w:type="pct"/>
          </w:tcPr>
          <w:p w14:paraId="77554F4D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484FC6FD" w14:textId="77777777" w:rsidTr="00733004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34A5663B" w14:textId="7777777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69779E">
                  <w:t>2003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69779E">
                  <w:t>TLV-TWA: 0.1 mg/m</w:t>
                </w:r>
                <w:r w:rsidR="0069779E" w:rsidRPr="0069779E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27A19F58" w14:textId="77777777" w:rsidTr="00733004">
        <w:trPr>
          <w:gridAfter w:val="1"/>
          <w:wAfter w:w="8" w:type="pct"/>
        </w:trPr>
        <w:tc>
          <w:tcPr>
            <w:tcW w:w="4992" w:type="pct"/>
          </w:tcPr>
          <w:p w14:paraId="3791C4C8" w14:textId="323A6236" w:rsidR="00E71504" w:rsidRDefault="00882727" w:rsidP="003365A5">
            <w:pPr>
              <w:pStyle w:val="Tabletextprimarysource"/>
            </w:pPr>
            <w:r>
              <w:t xml:space="preserve">TLV-TWA recommended </w:t>
            </w:r>
            <w:proofErr w:type="gramStart"/>
            <w:r>
              <w:t>to prevent</w:t>
            </w:r>
            <w:proofErr w:type="gramEnd"/>
            <w:r>
              <w:t xml:space="preserve"> occurrence of cholinergic symptoms and other adverse biological effects</w:t>
            </w:r>
            <w:r w:rsidR="00C90518">
              <w:t xml:space="preserve"> (decreased activity of </w:t>
            </w:r>
            <w:proofErr w:type="spellStart"/>
            <w:r w:rsidR="006C2BB8">
              <w:t>ChE</w:t>
            </w:r>
            <w:proofErr w:type="spellEnd"/>
            <w:r w:rsidR="006C2BB8">
              <w:t xml:space="preserve"> </w:t>
            </w:r>
            <w:r w:rsidR="00C90518">
              <w:t>enzymes)</w:t>
            </w:r>
            <w:r>
              <w:t xml:space="preserve"> in exposed workers.</w:t>
            </w:r>
            <w:r w:rsidR="00427464">
              <w:t xml:space="preserve"> </w:t>
            </w:r>
            <w:r w:rsidR="00075296">
              <w:t>Potency seen in humans considered similar to rats (no affect at RBC cholinesterase at 0.25 mg/kg) and dogs (</w:t>
            </w:r>
            <w:r w:rsidR="00733004">
              <w:t>0.1 mg/kg/d</w:t>
            </w:r>
            <w:r w:rsidR="00075296">
              <w:t xml:space="preserve">). </w:t>
            </w:r>
            <w:r w:rsidR="00733004">
              <w:t xml:space="preserve">TLV-TWA </w:t>
            </w:r>
            <w:proofErr w:type="gramStart"/>
            <w:r w:rsidR="00733004">
              <w:t>is derived</w:t>
            </w:r>
            <w:proofErr w:type="gramEnd"/>
            <w:r w:rsidR="00733004">
              <w:t xml:space="preserve"> from a NOAEL obtained in humans and in animals.</w:t>
            </w:r>
          </w:p>
          <w:p w14:paraId="6E370392" w14:textId="77777777" w:rsidR="00C978F0" w:rsidRDefault="000F60DD" w:rsidP="003365A5">
            <w:pPr>
              <w:pStyle w:val="Tabletextprimarysource"/>
            </w:pPr>
            <w:r>
              <w:t xml:space="preserve">Both particulate and vapour phase concentrations </w:t>
            </w:r>
            <w:proofErr w:type="gramStart"/>
            <w:r>
              <w:t>should be considered and combined to determine total airborne concentrations</w:t>
            </w:r>
            <w:proofErr w:type="gramEnd"/>
            <w:r>
              <w:t xml:space="preserve">. </w:t>
            </w:r>
          </w:p>
          <w:p w14:paraId="4F90ECDA" w14:textId="77777777" w:rsidR="00882727" w:rsidRDefault="00882727" w:rsidP="003365A5">
            <w:pPr>
              <w:pStyle w:val="Tabletextprimarysource"/>
            </w:pPr>
            <w:r>
              <w:t>Summary of data:</w:t>
            </w:r>
          </w:p>
          <w:p w14:paraId="05DB47EE" w14:textId="58618E44" w:rsidR="00882727" w:rsidRDefault="00882727" w:rsidP="003365A5">
            <w:pPr>
              <w:pStyle w:val="Tabletextprimarysource"/>
            </w:pPr>
            <w:r>
              <w:t xml:space="preserve">EPN </w:t>
            </w:r>
            <w:proofErr w:type="gramStart"/>
            <w:r>
              <w:t>is no longer registered</w:t>
            </w:r>
            <w:proofErr w:type="gramEnd"/>
            <w:r>
              <w:t xml:space="preserve"> for use.</w:t>
            </w:r>
          </w:p>
          <w:p w14:paraId="48633C0B" w14:textId="77777777" w:rsidR="00427464" w:rsidRDefault="00427464" w:rsidP="00427464">
            <w:pPr>
              <w:pStyle w:val="Tabletextprimarysource"/>
            </w:pPr>
            <w:r>
              <w:t>Human data:</w:t>
            </w:r>
          </w:p>
          <w:p w14:paraId="22034FE2" w14:textId="77777777" w:rsidR="00427464" w:rsidRDefault="00E71504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Coma</w:t>
            </w:r>
            <w:r w:rsidR="00390556">
              <w:t xml:space="preserve">, </w:t>
            </w:r>
            <w:proofErr w:type="spellStart"/>
            <w:r w:rsidR="00390556">
              <w:t>miosis</w:t>
            </w:r>
            <w:proofErr w:type="spellEnd"/>
            <w:r w:rsidR="00390556">
              <w:t xml:space="preserve">, sweating, bloody stools, pulmonary oedema and death </w:t>
            </w:r>
            <w:r>
              <w:t xml:space="preserve">reported in 1 case </w:t>
            </w:r>
            <w:r w:rsidR="00390556">
              <w:t>followi</w:t>
            </w:r>
            <w:r w:rsidR="004E5128">
              <w:t xml:space="preserve">ng </w:t>
            </w:r>
            <w:r w:rsidR="00704FFB">
              <w:t xml:space="preserve">accidental </w:t>
            </w:r>
            <w:r w:rsidR="004E5128">
              <w:t>ingestion of estimated 200 mL</w:t>
            </w:r>
            <w:r w:rsidR="00390556">
              <w:t xml:space="preserve"> of 50% EPN</w:t>
            </w:r>
          </w:p>
          <w:p w14:paraId="741C5B6D" w14:textId="77777777" w:rsidR="00390556" w:rsidRDefault="00010EFD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Death, preceded by convulsions and cardio</w:t>
            </w:r>
            <w:r w:rsidR="006C2BB8">
              <w:t>-</w:t>
            </w:r>
            <w:r>
              <w:t xml:space="preserve">respiratory arrest, </w:t>
            </w:r>
            <w:r w:rsidR="006C2BB8">
              <w:t xml:space="preserve">reported </w:t>
            </w:r>
            <w:r>
              <w:t xml:space="preserve">in farmer following </w:t>
            </w:r>
            <w:r w:rsidR="004E5128">
              <w:t>500 mL</w:t>
            </w:r>
            <w:r w:rsidR="00390556">
              <w:t xml:space="preserve"> suspension containing EPN </w:t>
            </w:r>
            <w:r w:rsidR="00E71504">
              <w:t>(</w:t>
            </w:r>
            <w:r w:rsidR="00390556">
              <w:t>collec</w:t>
            </w:r>
            <w:r>
              <w:t xml:space="preserve">ted from </w:t>
            </w:r>
            <w:r w:rsidR="006C2BB8">
              <w:t>GIT</w:t>
            </w:r>
            <w:r w:rsidR="00E71504">
              <w:t>)</w:t>
            </w:r>
          </w:p>
          <w:p w14:paraId="7EEC6BFD" w14:textId="77777777" w:rsidR="00390556" w:rsidRDefault="00010EFD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Symptoms of EPN poisoning include tightness in the chest, fatigability, weakness, weight loss, muscle atrophy and optical media discolouration</w:t>
            </w:r>
          </w:p>
          <w:p w14:paraId="4EF7D1CE" w14:textId="77777777" w:rsidR="00CD2F16" w:rsidRDefault="006C2BB8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 cholinergic symptoms reported in workers </w:t>
            </w:r>
            <w:r w:rsidR="00442AAC">
              <w:t xml:space="preserve">following </w:t>
            </w:r>
            <w:r>
              <w:t>r</w:t>
            </w:r>
            <w:r w:rsidR="00A72FEB">
              <w:t xml:space="preserve">espiratory exposures </w:t>
            </w:r>
            <w:r w:rsidR="00E71504">
              <w:t>at</w:t>
            </w:r>
            <w:r w:rsidR="00442AAC">
              <w:t xml:space="preserve"> </w:t>
            </w:r>
          </w:p>
          <w:p w14:paraId="1438A048" w14:textId="77777777" w:rsidR="00A72FEB" w:rsidRDefault="00A72FEB" w:rsidP="00CD2F16">
            <w:pPr>
              <w:pStyle w:val="ListBullet"/>
              <w:numPr>
                <w:ilvl w:val="0"/>
                <w:numId w:val="0"/>
              </w:numPr>
              <w:spacing w:before="60" w:after="60"/>
              <w:ind w:left="714"/>
              <w:contextualSpacing w:val="0"/>
            </w:pPr>
            <w:r>
              <w:t>11</w:t>
            </w:r>
            <w:r w:rsidR="0078304C">
              <w:t>–</w:t>
            </w:r>
            <w:r w:rsidR="00C90518">
              <w:t>317</w:t>
            </w:r>
            <w:r>
              <w:t xml:space="preserve"> </w:t>
            </w:r>
            <w:r>
              <w:rPr>
                <w:rFonts w:cs="Arial"/>
              </w:rPr>
              <w:t>µ</w:t>
            </w:r>
            <w:r>
              <w:t>g</w:t>
            </w:r>
            <w:r w:rsidR="00442AAC">
              <w:t xml:space="preserve">/d and dermal exposures of </w:t>
            </w:r>
            <w:r w:rsidR="00442AAC" w:rsidRPr="00281C27">
              <w:t>2.1–117.7 m</w:t>
            </w:r>
            <w:r w:rsidR="00442AAC" w:rsidRPr="00442AAC">
              <w:t>g</w:t>
            </w:r>
            <w:r w:rsidR="00442AAC">
              <w:t>/d</w:t>
            </w:r>
          </w:p>
          <w:p w14:paraId="5B69B8D4" w14:textId="77777777" w:rsidR="006C2BB8" w:rsidRDefault="00792F09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Oral administration </w:t>
            </w:r>
            <w:r w:rsidR="000851B8">
              <w:t xml:space="preserve">in volunteers </w:t>
            </w:r>
            <w:r>
              <w:t xml:space="preserve">of </w:t>
            </w:r>
            <w:r w:rsidR="00952D8E">
              <w:t xml:space="preserve">0.13 mg/kg/d for 56 d resulted in inhibition of plasma </w:t>
            </w:r>
            <w:proofErr w:type="spellStart"/>
            <w:r w:rsidR="006C2BB8">
              <w:t>ChE</w:t>
            </w:r>
            <w:proofErr w:type="spellEnd"/>
            <w:r w:rsidR="006C2BB8">
              <w:t xml:space="preserve"> </w:t>
            </w:r>
            <w:r w:rsidR="00952D8E">
              <w:t xml:space="preserve">activity 2 </w:t>
            </w:r>
            <w:proofErr w:type="spellStart"/>
            <w:r w:rsidR="00952D8E">
              <w:t>w</w:t>
            </w:r>
            <w:r w:rsidR="0078304C">
              <w:t>k</w:t>
            </w:r>
            <w:proofErr w:type="spellEnd"/>
            <w:r w:rsidR="00952D8E">
              <w:t xml:space="preserve"> following administration and continued 3 </w:t>
            </w:r>
            <w:proofErr w:type="spellStart"/>
            <w:r w:rsidR="00952D8E">
              <w:t>w</w:t>
            </w:r>
            <w:r w:rsidR="0078304C">
              <w:t>k</w:t>
            </w:r>
            <w:proofErr w:type="spellEnd"/>
            <w:r w:rsidR="00952D8E">
              <w:t xml:space="preserve"> following cessation of dosing</w:t>
            </w:r>
          </w:p>
          <w:p w14:paraId="01E49295" w14:textId="77777777" w:rsidR="00C90518" w:rsidRDefault="00952D8E" w:rsidP="006C2BB8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 xml:space="preserve">RBC </w:t>
            </w:r>
            <w:proofErr w:type="spellStart"/>
            <w:r w:rsidR="006C2BB8">
              <w:t>ChE</w:t>
            </w:r>
            <w:proofErr w:type="spellEnd"/>
            <w:r w:rsidR="006C2BB8">
              <w:t xml:space="preserve"> </w:t>
            </w:r>
            <w:r>
              <w:t>inhibition also occurred to a similar extent but later than plasma</w:t>
            </w:r>
          </w:p>
          <w:p w14:paraId="38D81161" w14:textId="77777777" w:rsidR="00BD5F44" w:rsidRDefault="00BD5F44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Oral administration </w:t>
            </w:r>
            <w:r w:rsidR="000851B8" w:rsidRPr="000851B8">
              <w:t xml:space="preserve">in volunteers </w:t>
            </w:r>
            <w:r>
              <w:t xml:space="preserve">of 0.086 mg/kg/d for 47 d did not have any significant effect on plasma or RBC </w:t>
            </w:r>
            <w:proofErr w:type="spellStart"/>
            <w:r w:rsidR="006C2BB8">
              <w:t>ChE</w:t>
            </w:r>
            <w:proofErr w:type="spellEnd"/>
            <w:r w:rsidR="006C2BB8">
              <w:t xml:space="preserve"> </w:t>
            </w:r>
            <w:r>
              <w:t>activity and no clinical effects reported</w:t>
            </w:r>
          </w:p>
          <w:p w14:paraId="541F995F" w14:textId="77777777" w:rsidR="00B429C2" w:rsidRDefault="00B429C2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Oral administration in volunteers of 0.086 mg/kg/d plus 0.23 mg/kg/d malathion for 44 d resulted in significant inhibition of both RBC and plasma </w:t>
            </w:r>
            <w:proofErr w:type="spellStart"/>
            <w:r>
              <w:t>ChE</w:t>
            </w:r>
            <w:proofErr w:type="spellEnd"/>
            <w:r w:rsidR="00006F6A">
              <w:t xml:space="preserve"> with authors suggesting detoxification of malathion is inhibited by EPN</w:t>
            </w:r>
            <w:r w:rsidR="00281C27">
              <w:t>.</w:t>
            </w:r>
          </w:p>
          <w:p w14:paraId="5B4BA7E7" w14:textId="77777777" w:rsidR="00390556" w:rsidRDefault="00390556" w:rsidP="004D7558">
            <w:pPr>
              <w:pStyle w:val="Tabletextprimarysource"/>
            </w:pPr>
            <w:r>
              <w:t>Animal data:</w:t>
            </w:r>
          </w:p>
          <w:p w14:paraId="00753352" w14:textId="77777777" w:rsidR="00390556" w:rsidRDefault="007F0F11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>: 106 mg/m</w:t>
            </w:r>
            <w:r>
              <w:rPr>
                <w:vertAlign w:val="superscript"/>
              </w:rPr>
              <w:t>3</w:t>
            </w:r>
            <w:r>
              <w:t xml:space="preserve"> (rats, inhalation, 1 h)</w:t>
            </w:r>
          </w:p>
          <w:p w14:paraId="2B3E8192" w14:textId="77777777" w:rsidR="007F0F11" w:rsidRDefault="007F0F11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>: 25 mg/kg (rats, dermal)</w:t>
            </w:r>
            <w:r w:rsidR="006D5EC1">
              <w:t xml:space="preserve"> and 65 mg/kg (rats, oral gavage)</w:t>
            </w:r>
          </w:p>
          <w:p w14:paraId="17FD7B09" w14:textId="77777777" w:rsidR="00764978" w:rsidRDefault="00C929B1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Administered in combination, </w:t>
            </w:r>
            <w:r w:rsidR="00764978">
              <w:t xml:space="preserve">EPN </w:t>
            </w:r>
            <w:r>
              <w:t xml:space="preserve">greatly </w:t>
            </w:r>
            <w:r w:rsidR="00764978">
              <w:t xml:space="preserve">potentiates malathion toxicity </w:t>
            </w:r>
            <w:r>
              <w:t xml:space="preserve">with 10-fold potentiation observed in rats and </w:t>
            </w:r>
            <w:r>
              <w:rPr>
                <w:rFonts w:ascii="Times New Roman" w:hAnsi="Times New Roman" w:cs="Times New Roman"/>
              </w:rPr>
              <w:t>≈</w:t>
            </w:r>
            <w:r>
              <w:t>50-fold in dogs</w:t>
            </w:r>
          </w:p>
          <w:p w14:paraId="7265C1B3" w14:textId="64F9C1F0" w:rsidR="00C3673B" w:rsidRDefault="00613ADB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25 ppm (1.25 mg/kg/d) </w:t>
            </w:r>
            <w:r w:rsidR="00C3673B">
              <w:t xml:space="preserve">in diet of rats for 90 d caused </w:t>
            </w:r>
            <w:r>
              <w:t>significant inhibition of</w:t>
            </w:r>
            <w:r w:rsidR="00C3673B">
              <w:t xml:space="preserve"> </w:t>
            </w:r>
            <w:r>
              <w:t xml:space="preserve">RBC </w:t>
            </w:r>
            <w:proofErr w:type="spellStart"/>
            <w:r w:rsidR="006C2BB8">
              <w:t>ChE</w:t>
            </w:r>
            <w:proofErr w:type="spellEnd"/>
            <w:r w:rsidR="006C2BB8">
              <w:t xml:space="preserve"> </w:t>
            </w:r>
            <w:r>
              <w:t>activity</w:t>
            </w:r>
            <w:r w:rsidR="00DB45D0">
              <w:t xml:space="preserve"> with no adverse effects noted at 5 ppm (0.25 mg/kg/d)</w:t>
            </w:r>
          </w:p>
          <w:p w14:paraId="44C4E5C7" w14:textId="77777777" w:rsidR="0030175A" w:rsidRDefault="0030175A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Neurotoxic ataxia reported in hens following oral doses of 0.1</w:t>
            </w:r>
            <w:r w:rsidR="00751308" w:rsidRPr="00281C27">
              <w:t>–</w:t>
            </w:r>
            <w:r>
              <w:t>5.0 mg/kg/d for 90 d and no signs of ataxia at 0.01 mg/kg/d</w:t>
            </w:r>
          </w:p>
          <w:p w14:paraId="00032022" w14:textId="5CDB642B" w:rsidR="00075296" w:rsidRDefault="00075296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Dogs treated oral</w:t>
            </w:r>
            <w:r w:rsidR="00733004">
              <w:t>l</w:t>
            </w:r>
            <w:r>
              <w:t>y for 90 days (capsule, doses of up to 3 mg/kg/d)</w:t>
            </w:r>
            <w:r w:rsidR="00733004">
              <w:t xml:space="preserve"> showed no effects at 1 mg/kg/d except plasma cholinesterase activity but at 3 mg/kg/d showed:</w:t>
            </w:r>
            <w:r>
              <w:t xml:space="preserve"> </w:t>
            </w:r>
          </w:p>
          <w:p w14:paraId="02103D6C" w14:textId="6EEC1DCB" w:rsidR="00733004" w:rsidRDefault="00733004" w:rsidP="00733004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>d</w:t>
            </w:r>
            <w:r w:rsidR="00075296">
              <w:t xml:space="preserve">ecreased RBC and brain cholinesterase activity </w:t>
            </w:r>
          </w:p>
          <w:p w14:paraId="71E6FB85" w14:textId="7CB1B438" w:rsidR="00733004" w:rsidRDefault="00733004" w:rsidP="00733004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>decreased RBC, haemoglobin and haematocrit in both sexes</w:t>
            </w:r>
          </w:p>
          <w:p w14:paraId="3B2263BC" w14:textId="0BB0649F" w:rsidR="00733004" w:rsidRDefault="00733004" w:rsidP="00733004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>pancreatic acinar cell atrophy in 2 males</w:t>
            </w:r>
          </w:p>
          <w:p w14:paraId="219ED2D1" w14:textId="505DD788" w:rsidR="00075296" w:rsidRDefault="00075296" w:rsidP="00733004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>affected by dietary dose of 2 mg/kg but not at 0.5 mg/kg and 0.1 mg/kg</w:t>
            </w:r>
          </w:p>
          <w:p w14:paraId="50AFDB2F" w14:textId="446CEBCC" w:rsidR="00390556" w:rsidRDefault="00390556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lastRenderedPageBreak/>
              <w:t xml:space="preserve">Lifetime testing in rats did not </w:t>
            </w:r>
            <w:r w:rsidR="00BC412E">
              <w:t xml:space="preserve">cause </w:t>
            </w:r>
            <w:r>
              <w:t>increase in tumours</w:t>
            </w:r>
          </w:p>
          <w:p w14:paraId="05787664" w14:textId="77777777" w:rsidR="009879DB" w:rsidRDefault="009879DB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No mutagenic response in strains of </w:t>
            </w:r>
            <w:r>
              <w:rPr>
                <w:i/>
              </w:rPr>
              <w:t xml:space="preserve">S. </w:t>
            </w:r>
            <w:proofErr w:type="spellStart"/>
            <w:r>
              <w:rPr>
                <w:i/>
              </w:rPr>
              <w:t>typhimurium</w:t>
            </w:r>
            <w:proofErr w:type="spellEnd"/>
            <w:r>
              <w:t xml:space="preserve"> or reversion assays in </w:t>
            </w:r>
            <w:r>
              <w:rPr>
                <w:i/>
              </w:rPr>
              <w:t>E. coli</w:t>
            </w:r>
          </w:p>
          <w:p w14:paraId="79628569" w14:textId="77777777" w:rsidR="009879DB" w:rsidRDefault="009879DB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Readily absorbed following dermal or oral exposure</w:t>
            </w:r>
            <w:r w:rsidR="001F5478">
              <w:t>.</w:t>
            </w:r>
          </w:p>
          <w:p w14:paraId="53A4F7FE" w14:textId="77777777" w:rsidR="006C2BB8" w:rsidRDefault="000F60DD" w:rsidP="003365A5">
            <w:pPr>
              <w:pStyle w:val="Tabletextprimarysource"/>
            </w:pPr>
            <w:r>
              <w:t>A</w:t>
            </w:r>
            <w:r w:rsidR="00BC412E">
              <w:t xml:space="preserve"> </w:t>
            </w:r>
            <w:r>
              <w:t xml:space="preserve">skin notation </w:t>
            </w:r>
            <w:proofErr w:type="gramStart"/>
            <w:r>
              <w:t>is assigned</w:t>
            </w:r>
            <w:proofErr w:type="gramEnd"/>
            <w:r>
              <w:t xml:space="preserve"> based on lethality in rabbits following dermal application at relatively low doses. </w:t>
            </w:r>
          </w:p>
          <w:p w14:paraId="7ACAA602" w14:textId="77777777" w:rsidR="00E71504" w:rsidRDefault="00390556" w:rsidP="003365A5">
            <w:pPr>
              <w:pStyle w:val="Tabletextprimarysource"/>
            </w:pPr>
            <w:r>
              <w:t xml:space="preserve">Insufficient data in humans and animals to recommend SEN notation or TLV-STEL. </w:t>
            </w:r>
          </w:p>
          <w:p w14:paraId="4B4F99A8" w14:textId="77777777" w:rsidR="00882727" w:rsidRDefault="00390556" w:rsidP="003365A5">
            <w:pPr>
              <w:pStyle w:val="Tabletextprimarysource"/>
            </w:pPr>
            <w:r>
              <w:t>Not classified as human carcinogen.</w:t>
            </w:r>
          </w:p>
          <w:p w14:paraId="47C6907B" w14:textId="77777777" w:rsidR="001B2292" w:rsidRPr="00DA352E" w:rsidRDefault="001B2292" w:rsidP="003365A5">
            <w:pPr>
              <w:pStyle w:val="Tabletextprimarysource"/>
            </w:pPr>
          </w:p>
        </w:tc>
      </w:tr>
      <w:tr w:rsidR="00C978F0" w:rsidRPr="00DA352E" w14:paraId="5E51E022" w14:textId="77777777" w:rsidTr="00EE635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7E6AB294" w14:textId="77777777" w:rsidR="00C978F0" w:rsidRPr="00DA352E" w:rsidRDefault="00DA352E" w:rsidP="00525175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525175">
                  <w:t>2002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33252C">
                  <w:t>MAK: 0.5 mg/m</w:t>
                </w:r>
                <w:r w:rsidR="0033252C" w:rsidRPr="0033252C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1CF8704D" w14:textId="77777777" w:rsidTr="00EE6356">
        <w:trPr>
          <w:gridAfter w:val="1"/>
          <w:wAfter w:w="8" w:type="pct"/>
        </w:trPr>
        <w:tc>
          <w:tcPr>
            <w:tcW w:w="4992" w:type="pct"/>
          </w:tcPr>
          <w:p w14:paraId="061068AC" w14:textId="77777777" w:rsidR="00525175" w:rsidRDefault="00525175" w:rsidP="003365A5">
            <w:pPr>
              <w:pStyle w:val="Tabletextprimarysource"/>
            </w:pPr>
            <w:r>
              <w:t>MAK assigned in 1958.</w:t>
            </w:r>
          </w:p>
          <w:p w14:paraId="3E8C4CAD" w14:textId="77777777" w:rsidR="00C978F0" w:rsidRDefault="001F5478" w:rsidP="003365A5">
            <w:pPr>
              <w:pStyle w:val="Tabletextprimarysource"/>
            </w:pPr>
            <w:r>
              <w:t>Summary of additional data:</w:t>
            </w:r>
          </w:p>
          <w:p w14:paraId="2766598C" w14:textId="756CC6EF" w:rsidR="001F5478" w:rsidRDefault="001F5478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LOEL not specified, NOEL for humans 6 mg/kg</w:t>
            </w:r>
            <w:r w:rsidR="00704FFB">
              <w:t>/d</w:t>
            </w:r>
            <w:r w:rsidR="00EE6356">
              <w:t xml:space="preserve"> (no further information)</w:t>
            </w:r>
            <w:r>
              <w:t xml:space="preserve"> </w:t>
            </w:r>
          </w:p>
          <w:p w14:paraId="1C861B64" w14:textId="0BF1E455" w:rsidR="001F5478" w:rsidRDefault="00EE6356" w:rsidP="006C2B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Cholinesterase e</w:t>
            </w:r>
            <w:r w:rsidR="001F5478">
              <w:t>nzyme inhibition is initially reversible, therefore concentration-dependent.</w:t>
            </w:r>
          </w:p>
          <w:p w14:paraId="5FD58266" w14:textId="77777777" w:rsidR="006C2BB8" w:rsidRPr="00DA352E" w:rsidRDefault="006C2BB8" w:rsidP="006C2BB8">
            <w:pPr>
              <w:pStyle w:val="ListBullet"/>
              <w:numPr>
                <w:ilvl w:val="0"/>
                <w:numId w:val="0"/>
              </w:numPr>
              <w:spacing w:before="60" w:after="60"/>
              <w:ind w:left="357"/>
              <w:contextualSpacing w:val="0"/>
            </w:pPr>
          </w:p>
        </w:tc>
      </w:tr>
      <w:tr w:rsidR="00C978F0" w:rsidRPr="00DA352E" w14:paraId="4A82AF5B" w14:textId="77777777" w:rsidTr="00EE635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1F90D5F" w14:textId="77777777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33252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33252C">
                  <w:t>NA</w:t>
                </w:r>
                <w:proofErr w:type="spellEnd"/>
              </w:sdtContent>
            </w:sdt>
          </w:p>
        </w:tc>
      </w:tr>
      <w:tr w:rsidR="00C978F0" w:rsidRPr="00DA352E" w14:paraId="7052443A" w14:textId="77777777" w:rsidTr="00EE6356">
        <w:trPr>
          <w:gridAfter w:val="1"/>
          <w:wAfter w:w="8" w:type="pct"/>
        </w:trPr>
        <w:tc>
          <w:tcPr>
            <w:tcW w:w="4992" w:type="pct"/>
          </w:tcPr>
          <w:p w14:paraId="128E1898" w14:textId="77777777" w:rsidR="00C978F0" w:rsidRPr="00DA352E" w:rsidRDefault="0033252C" w:rsidP="003365A5">
            <w:pPr>
              <w:pStyle w:val="Tabletextprimarysource"/>
            </w:pPr>
            <w:r>
              <w:t>No report</w:t>
            </w:r>
            <w:r w:rsidR="00D94870">
              <w:t>.</w:t>
            </w:r>
          </w:p>
        </w:tc>
      </w:tr>
      <w:tr w:rsidR="00DA352E" w:rsidRPr="00DA352E" w14:paraId="4EF68F0C" w14:textId="77777777" w:rsidTr="00EE635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1F104A13" w14:textId="77777777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33252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33252C">
                  <w:t>NA</w:t>
                </w:r>
                <w:proofErr w:type="spellEnd"/>
              </w:sdtContent>
            </w:sdt>
          </w:p>
        </w:tc>
      </w:tr>
      <w:tr w:rsidR="00DA352E" w:rsidRPr="00DA352E" w14:paraId="541A2C5D" w14:textId="77777777" w:rsidTr="00EE6356">
        <w:trPr>
          <w:gridAfter w:val="1"/>
          <w:wAfter w:w="8" w:type="pct"/>
        </w:trPr>
        <w:tc>
          <w:tcPr>
            <w:tcW w:w="4992" w:type="pct"/>
          </w:tcPr>
          <w:p w14:paraId="63DA9886" w14:textId="77777777" w:rsidR="00DA352E" w:rsidRPr="00DA352E" w:rsidRDefault="0033252C" w:rsidP="003365A5">
            <w:pPr>
              <w:pStyle w:val="Tabletextprimarysource"/>
            </w:pPr>
            <w:r>
              <w:t>No report</w:t>
            </w:r>
            <w:r w:rsidR="00D94870">
              <w:t>.</w:t>
            </w:r>
          </w:p>
        </w:tc>
      </w:tr>
      <w:tr w:rsidR="00DA352E" w:rsidRPr="00DA352E" w14:paraId="1C7C3FC6" w14:textId="77777777" w:rsidTr="00EE6356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0B24C3E8" w14:textId="77777777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33252C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33252C">
                  <w:t>NA</w:t>
                </w:r>
                <w:proofErr w:type="spellEnd"/>
              </w:sdtContent>
            </w:sdt>
          </w:p>
        </w:tc>
      </w:tr>
      <w:tr w:rsidR="00DA352E" w:rsidRPr="00DA352E" w14:paraId="5F4EE30F" w14:textId="77777777" w:rsidTr="00EE6356">
        <w:trPr>
          <w:gridAfter w:val="1"/>
          <w:wAfter w:w="8" w:type="pct"/>
        </w:trPr>
        <w:tc>
          <w:tcPr>
            <w:tcW w:w="4992" w:type="pct"/>
          </w:tcPr>
          <w:p w14:paraId="65A75403" w14:textId="77777777" w:rsidR="00DA352E" w:rsidRPr="00DA352E" w:rsidRDefault="0033252C" w:rsidP="003365A5">
            <w:pPr>
              <w:pStyle w:val="Tabletextprimarysource"/>
            </w:pPr>
            <w:r>
              <w:t>No report</w:t>
            </w:r>
            <w:r w:rsidR="00D94870">
              <w:t>.</w:t>
            </w:r>
          </w:p>
        </w:tc>
      </w:tr>
    </w:tbl>
    <w:p w14:paraId="7069ACD5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7"/>
        <w:gridCol w:w="423"/>
        <w:gridCol w:w="661"/>
        <w:gridCol w:w="6445"/>
      </w:tblGrid>
      <w:tr w:rsidR="004966BF" w:rsidRPr="00263255" w14:paraId="14D6C512" w14:textId="77777777" w:rsidTr="00711AE4">
        <w:trPr>
          <w:cantSplit/>
          <w:trHeight w:val="393"/>
          <w:tblHeader/>
        </w:trPr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21186749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403F1165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4E8B1A2B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5" w:type="dxa"/>
            <w:shd w:val="clear" w:color="auto" w:fill="BFBFBF" w:themeFill="background1" w:themeFillShade="BF"/>
            <w:vAlign w:val="center"/>
          </w:tcPr>
          <w:p w14:paraId="4977D297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2D9E1454" w14:textId="77777777" w:rsidTr="00711AE4">
        <w:trPr>
          <w:cantSplit/>
        </w:trPr>
        <w:tc>
          <w:tcPr>
            <w:tcW w:w="1497" w:type="dxa"/>
          </w:tcPr>
          <w:p w14:paraId="0E5311B1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3" w:type="dxa"/>
          </w:tcPr>
          <w:p w14:paraId="23DA7816" w14:textId="77777777" w:rsidR="004966BF" w:rsidRPr="00CE617F" w:rsidRDefault="00835777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9284E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0F3DB418" w14:textId="77777777" w:rsidR="004966BF" w:rsidRPr="004C23F4" w:rsidRDefault="0099284E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1987</w:t>
            </w:r>
          </w:p>
        </w:tc>
        <w:tc>
          <w:tcPr>
            <w:tcW w:w="6445" w:type="dxa"/>
          </w:tcPr>
          <w:p w14:paraId="4D32B6DD" w14:textId="77777777" w:rsidR="004966BF" w:rsidRPr="004C23F4" w:rsidRDefault="0099284E" w:rsidP="00D94870">
            <w:pPr>
              <w:pStyle w:val="ListBullet"/>
              <w:spacing w:before="60" w:after="60"/>
              <w:ind w:left="720"/>
              <w:rPr>
                <w:rStyle w:val="checkbox"/>
                <w:rFonts w:ascii="Arial" w:hAnsi="Arial" w:cs="Arial"/>
                <w:lang w:eastAsia="en-AU"/>
              </w:rPr>
            </w:pPr>
            <w:r w:rsidRPr="00D94870">
              <w:t>Inhalation</w:t>
            </w:r>
            <w:r>
              <w:rPr>
                <w:rStyle w:val="checkbox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checkbox"/>
                <w:rFonts w:ascii="Arial" w:hAnsi="Arial" w:cs="Arial"/>
              </w:rPr>
              <w:t>RfC</w:t>
            </w:r>
            <w:proofErr w:type="spellEnd"/>
            <w:r>
              <w:rPr>
                <w:rStyle w:val="checkbox"/>
                <w:rFonts w:ascii="Arial" w:hAnsi="Arial" w:cs="Arial"/>
              </w:rPr>
              <w:t xml:space="preserve"> not evaluated</w:t>
            </w:r>
          </w:p>
        </w:tc>
      </w:tr>
      <w:tr w:rsidR="004966BF" w:rsidRPr="004C23F4" w14:paraId="111FAAE1" w14:textId="77777777" w:rsidTr="00711AE4">
        <w:trPr>
          <w:cantSplit/>
        </w:trPr>
        <w:tc>
          <w:tcPr>
            <w:tcW w:w="1497" w:type="dxa"/>
          </w:tcPr>
          <w:p w14:paraId="247E9E67" w14:textId="77777777" w:rsidR="004966BF" w:rsidRDefault="004966BF" w:rsidP="00224EE2">
            <w:pPr>
              <w:pStyle w:val="Tablefont"/>
            </w:pPr>
            <w:r>
              <w:t>US NIOSH</w:t>
            </w:r>
          </w:p>
        </w:tc>
        <w:tc>
          <w:tcPr>
            <w:tcW w:w="423" w:type="dxa"/>
          </w:tcPr>
          <w:p w14:paraId="288F9EA0" w14:textId="77777777" w:rsidR="004966BF" w:rsidRDefault="00835777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814863282"/>
                <w:placeholder>
                  <w:docPart w:val="EA51C8540A4D4F0A9062F5B1698DCBB0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646BAA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28C5255C" w14:textId="77777777" w:rsidR="004966BF" w:rsidRPr="004C23F4" w:rsidRDefault="00646BAA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2007</w:t>
            </w:r>
          </w:p>
        </w:tc>
        <w:tc>
          <w:tcPr>
            <w:tcW w:w="6445" w:type="dxa"/>
          </w:tcPr>
          <w:p w14:paraId="2E370DF8" w14:textId="77777777" w:rsidR="004966BF" w:rsidRPr="004C23F4" w:rsidRDefault="00646BAA" w:rsidP="00D94870">
            <w:pPr>
              <w:pStyle w:val="ListBullet"/>
              <w:spacing w:before="60" w:after="60"/>
              <w:ind w:left="72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TWA 0.5 mg/m</w:t>
            </w:r>
            <w:r>
              <w:rPr>
                <w:rStyle w:val="checkbox"/>
                <w:rFonts w:ascii="Arial" w:hAnsi="Arial" w:cs="Arial"/>
                <w:vertAlign w:val="superscript"/>
              </w:rPr>
              <w:t>3</w:t>
            </w:r>
            <w:r>
              <w:rPr>
                <w:rStyle w:val="checkbox"/>
                <w:rFonts w:ascii="Arial" w:hAnsi="Arial" w:cs="Arial"/>
              </w:rPr>
              <w:t xml:space="preserve"> (skin)</w:t>
            </w:r>
          </w:p>
        </w:tc>
      </w:tr>
    </w:tbl>
    <w:bookmarkEnd w:id="1"/>
    <w:p w14:paraId="06EB2DAB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2036F6E5" w14:textId="77777777" w:rsidTr="00AC313E">
        <w:trPr>
          <w:trHeight w:val="454"/>
          <w:tblHeader/>
        </w:trPr>
        <w:tc>
          <w:tcPr>
            <w:tcW w:w="6603" w:type="dxa"/>
            <w:vAlign w:val="center"/>
          </w:tcPr>
          <w:p w14:paraId="0743A7E1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498C2367" w14:textId="77777777" w:rsidR="002E0D61" w:rsidRDefault="00AC313E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2196A38C" w14:textId="77777777" w:rsidTr="00AC313E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77AA65D0" w14:textId="77777777" w:rsidR="008A36CF" w:rsidRPr="006901A2" w:rsidRDefault="00AC313E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5F10C65C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2B0CE975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03E02170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2964FECE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228FDB63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798E9623" w14:textId="77777777" w:rsidTr="00812887">
        <w:trPr>
          <w:cantSplit/>
        </w:trPr>
        <w:tc>
          <w:tcPr>
            <w:tcW w:w="3227" w:type="dxa"/>
          </w:tcPr>
          <w:p w14:paraId="486F6934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7523CD79" w14:textId="77777777" w:rsidR="00687890" w:rsidRPr="00DD2F9B" w:rsidRDefault="0033252C" w:rsidP="00DD2F9B">
            <w:pPr>
              <w:pStyle w:val="Tablefont"/>
            </w:pPr>
            <w:r w:rsidRPr="0033252C">
              <w:t>Skin</w:t>
            </w:r>
          </w:p>
        </w:tc>
      </w:tr>
      <w:tr w:rsidR="007925F0" w:rsidRPr="004C23F4" w14:paraId="11032DC4" w14:textId="77777777" w:rsidTr="00812887">
        <w:trPr>
          <w:cantSplit/>
        </w:trPr>
        <w:tc>
          <w:tcPr>
            <w:tcW w:w="3227" w:type="dxa"/>
          </w:tcPr>
          <w:p w14:paraId="6E22AE3B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4382EE77" w14:textId="77777777" w:rsidR="007925F0" w:rsidRPr="00DD2F9B" w:rsidRDefault="0033252C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049D5C7A" w14:textId="77777777" w:rsidTr="00812887">
        <w:trPr>
          <w:cantSplit/>
        </w:trPr>
        <w:tc>
          <w:tcPr>
            <w:tcW w:w="3227" w:type="dxa"/>
          </w:tcPr>
          <w:p w14:paraId="41FF6636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7E00ED52" w14:textId="77777777" w:rsidR="00AF483F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430158EC" w14:textId="77777777" w:rsidTr="00812887">
        <w:trPr>
          <w:cantSplit/>
        </w:trPr>
        <w:tc>
          <w:tcPr>
            <w:tcW w:w="3227" w:type="dxa"/>
          </w:tcPr>
          <w:p w14:paraId="23F16733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7F10CFD0" w14:textId="77777777" w:rsidR="00687890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6FCF2F80" w14:textId="77777777" w:rsidTr="00812887">
        <w:trPr>
          <w:cantSplit/>
        </w:trPr>
        <w:tc>
          <w:tcPr>
            <w:tcW w:w="3227" w:type="dxa"/>
          </w:tcPr>
          <w:p w14:paraId="25BD210A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63A94529" w14:textId="77777777" w:rsidR="00E41A26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07E20011" w14:textId="77777777" w:rsidTr="00812887">
        <w:trPr>
          <w:cantSplit/>
        </w:trPr>
        <w:tc>
          <w:tcPr>
            <w:tcW w:w="3227" w:type="dxa"/>
          </w:tcPr>
          <w:p w14:paraId="7A5E3A22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0BE91547" w14:textId="77777777" w:rsidR="002E0D61" w:rsidRPr="00DD2F9B" w:rsidRDefault="0033252C" w:rsidP="00DD2F9B">
            <w:pPr>
              <w:pStyle w:val="Tablefont"/>
            </w:pPr>
            <w:r w:rsidRPr="0033252C">
              <w:t>Carcinogenicity – A4</w:t>
            </w:r>
            <w:r>
              <w:t xml:space="preserve">, </w:t>
            </w:r>
            <w:r w:rsidRPr="0033252C">
              <w:t>Skin</w:t>
            </w:r>
          </w:p>
        </w:tc>
      </w:tr>
      <w:tr w:rsidR="002E0D61" w:rsidRPr="004C23F4" w14:paraId="3B6C9209" w14:textId="77777777" w:rsidTr="00812887">
        <w:trPr>
          <w:cantSplit/>
        </w:trPr>
        <w:tc>
          <w:tcPr>
            <w:tcW w:w="3227" w:type="dxa"/>
          </w:tcPr>
          <w:p w14:paraId="0429334B" w14:textId="77777777" w:rsidR="004079B4" w:rsidRPr="004C23F4" w:rsidRDefault="002E0D61" w:rsidP="00F4402E">
            <w:pPr>
              <w:pStyle w:val="Tablefont"/>
            </w:pPr>
            <w:r>
              <w:lastRenderedPageBreak/>
              <w:t>DFG</w:t>
            </w:r>
          </w:p>
        </w:tc>
        <w:tc>
          <w:tcPr>
            <w:tcW w:w="6015" w:type="dxa"/>
          </w:tcPr>
          <w:p w14:paraId="3BA170AE" w14:textId="77777777" w:rsidR="002E0D61" w:rsidRPr="00DD2F9B" w:rsidRDefault="0033252C" w:rsidP="00DD2F9B">
            <w:pPr>
              <w:pStyle w:val="Tablefont"/>
            </w:pPr>
            <w:r w:rsidRPr="0033252C">
              <w:t>H (skin)</w:t>
            </w:r>
          </w:p>
        </w:tc>
      </w:tr>
      <w:tr w:rsidR="002E0D61" w:rsidRPr="004C23F4" w14:paraId="02E3670D" w14:textId="77777777" w:rsidTr="00812887">
        <w:trPr>
          <w:cantSplit/>
        </w:trPr>
        <w:tc>
          <w:tcPr>
            <w:tcW w:w="3227" w:type="dxa"/>
          </w:tcPr>
          <w:p w14:paraId="4F2B4068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4952A727" w14:textId="77777777" w:rsidR="002E0D61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7FDFAECF" w14:textId="77777777" w:rsidTr="00812887">
        <w:trPr>
          <w:cantSplit/>
        </w:trPr>
        <w:tc>
          <w:tcPr>
            <w:tcW w:w="3227" w:type="dxa"/>
          </w:tcPr>
          <w:p w14:paraId="68F51611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1D5C7ACC" w14:textId="77777777" w:rsidR="002E0D61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7B038062" w14:textId="77777777" w:rsidTr="00812887">
        <w:trPr>
          <w:cantSplit/>
        </w:trPr>
        <w:tc>
          <w:tcPr>
            <w:tcW w:w="3227" w:type="dxa"/>
          </w:tcPr>
          <w:p w14:paraId="43423F13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5F7A89C0" w14:textId="77777777" w:rsidR="00386093" w:rsidRPr="00DD2F9B" w:rsidRDefault="0033252C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27E445A6" w14:textId="77777777" w:rsidTr="00812887">
        <w:trPr>
          <w:cantSplit/>
        </w:trPr>
        <w:tc>
          <w:tcPr>
            <w:tcW w:w="3227" w:type="dxa"/>
          </w:tcPr>
          <w:p w14:paraId="5061368C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3C7677F2" w14:textId="77777777" w:rsidR="00386093" w:rsidRPr="00DD2F9B" w:rsidRDefault="0033252C" w:rsidP="00D87570">
            <w:pPr>
              <w:pStyle w:val="Tablefont"/>
              <w:keepNext/>
            </w:pPr>
            <w:r w:rsidRPr="0033252C">
              <w:t>SK:SYS</w:t>
            </w:r>
          </w:p>
        </w:tc>
      </w:tr>
    </w:tbl>
    <w:bookmarkEnd w:id="3"/>
    <w:p w14:paraId="7B50B6C3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62803F4A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07E5A3EA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D08DBD0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726F2642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810" w:type="dxa"/>
              <w:tblLook w:val="04A0" w:firstRow="1" w:lastRow="0" w:firstColumn="1" w:lastColumn="0" w:noHBand="0" w:noVBand="1"/>
            </w:tblPr>
            <w:tblGrid>
              <w:gridCol w:w="3828"/>
              <w:gridCol w:w="1128"/>
              <w:gridCol w:w="1128"/>
              <w:gridCol w:w="2726"/>
            </w:tblGrid>
            <w:tr w:rsidR="00DF50F3" w:rsidRPr="00C56B39" w14:paraId="62D8A49A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FCE0A79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6E747BDA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5C0475F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4.00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C7EADA7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39243F76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C2F85FB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3633C673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B510290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DC57E1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00789DD1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EA35AEC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BE3ED66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217177B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EC90B8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4049F7C8" w14:textId="77777777" w:rsidTr="00F87CBA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E4B0C88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102C7A54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55D9AFC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0F62B1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6063BAFC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0B37CC9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C70FA6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FB02B0B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7039BD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4961CCA2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093FA5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6DB7E93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D939AF3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AC5C68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DF50F3" w:rsidRPr="00C56B39" w14:paraId="3F6ADCEB" w14:textId="77777777" w:rsidTr="00DF50F3">
              <w:trPr>
                <w:trHeight w:val="347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7F44E4C" w14:textId="77777777" w:rsidR="00DF50F3" w:rsidRPr="00C56B39" w:rsidRDefault="00DF50F3" w:rsidP="00DF50F3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6CA596" w14:textId="77777777" w:rsidR="00DF50F3" w:rsidRPr="00C56B39" w:rsidRDefault="00DF50F3" w:rsidP="00DF50F3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D191528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64D52B5" w14:textId="77777777" w:rsidR="00DF50F3" w:rsidRPr="00C56B39" w:rsidRDefault="00DF50F3" w:rsidP="00DF50F3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56B39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warranted</w:t>
                  </w:r>
                </w:p>
              </w:tc>
            </w:tr>
          </w:tbl>
          <w:p w14:paraId="01AA042F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2D1BB21B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31E50976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1A8C8C0E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1CE5AB30" w14:textId="77777777" w:rsidR="00EB3D1B" w:rsidRDefault="0033252C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3AA8B01C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5"/>
        <w:gridCol w:w="5031"/>
      </w:tblGrid>
      <w:tr w:rsidR="001B79E5" w:rsidRPr="004C23F4" w14:paraId="4D9DE831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7478FD82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60A24E2C" w14:textId="77777777" w:rsidR="001B79E5" w:rsidRDefault="0033252C" w:rsidP="001B79E5">
                <w:pPr>
                  <w:pStyle w:val="Tablefont"/>
                </w:pPr>
                <w:r w:rsidRPr="0033252C">
                  <w:t>323.31</w:t>
                </w:r>
              </w:p>
            </w:tc>
          </w:sdtContent>
        </w:sdt>
      </w:tr>
      <w:tr w:rsidR="00A31D99" w:rsidRPr="004C23F4" w14:paraId="460F5251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DE18375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0F7CE950" w14:textId="77777777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  <w:showingPlcHdr/>
              </w:sdtPr>
              <w:sdtEndPr/>
              <w:sdtContent>
                <w:r w:rsidR="00A174CC">
                  <w:rPr>
                    <w:rStyle w:val="PlaceholderText"/>
                  </w:rPr>
                  <w:t>Number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A174CC" w:rsidRPr="00A174CC">
                  <w:rPr>
                    <w:color w:val="808080"/>
                  </w:rPr>
                  <w:t>Number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1A3A3E94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54D5C65D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827CEEE" w14:textId="77777777" w:rsidR="00687890" w:rsidRPr="004C23F4" w:rsidRDefault="00983A04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35083C15" w14:textId="77777777" w:rsidTr="00EA6243">
        <w:trPr>
          <w:cantSplit/>
        </w:trPr>
        <w:tc>
          <w:tcPr>
            <w:tcW w:w="4077" w:type="dxa"/>
            <w:vAlign w:val="center"/>
          </w:tcPr>
          <w:p w14:paraId="477F7D7F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0FE40CA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08A0ECC5" w14:textId="77777777" w:rsidTr="00EA6243">
        <w:trPr>
          <w:cantSplit/>
        </w:trPr>
        <w:tc>
          <w:tcPr>
            <w:tcW w:w="4077" w:type="dxa"/>
            <w:vAlign w:val="center"/>
          </w:tcPr>
          <w:p w14:paraId="17F5BC09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493B7268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3F2FF475" w14:textId="77777777" w:rsidTr="00EA6243">
        <w:trPr>
          <w:cantSplit/>
        </w:trPr>
        <w:tc>
          <w:tcPr>
            <w:tcW w:w="4077" w:type="dxa"/>
            <w:vAlign w:val="center"/>
          </w:tcPr>
          <w:p w14:paraId="20A7E96E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64B2ECB6" w14:textId="77777777" w:rsidR="00E06F40" w:rsidRPr="00A006A0" w:rsidRDefault="00835777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4870">
                  <w:rPr>
                    <w:rFonts w:ascii="MS Gothic" w:eastAsia="MS Gothic" w:hAnsi="MS Gothic" w:cs="MS Gothic" w:hint="eastAsia"/>
                  </w:rPr>
                  <w:sym w:font="Wingdings" w:char="F0FC"/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2DC20D63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60798E61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0888637D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735D61B0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42D08924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3257F961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7406C56B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5529F9E0" w14:textId="77777777" w:rsidR="00F87D92" w:rsidRDefault="00F87D92" w:rsidP="00EF7F78">
      <w:pPr>
        <w:pStyle w:val="Heading2"/>
        <w:tabs>
          <w:tab w:val="right" w:pos="8505"/>
        </w:tabs>
      </w:pPr>
      <w:r>
        <w:lastRenderedPageBreak/>
        <w:t>References</w:t>
      </w:r>
      <w:r w:rsidR="00EF7F78">
        <w:tab/>
      </w:r>
    </w:p>
    <w:p w14:paraId="4663F15F" w14:textId="77777777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032FB20A" w14:textId="77777777" w:rsidR="0033252C" w:rsidRDefault="0033252C" w:rsidP="00084859">
      <w:r>
        <w:t xml:space="preserve">Deutsche </w:t>
      </w:r>
      <w:proofErr w:type="spellStart"/>
      <w:r>
        <w:t>Forschungsgemeinschaft</w:t>
      </w:r>
      <w:proofErr w:type="spellEnd"/>
      <w:r>
        <w:t xml:space="preserve"> (DFG) (2002) </w:t>
      </w:r>
      <w:r w:rsidR="00A32947">
        <w:t xml:space="preserve">EPN (O-Ethyl-O-(4-nitrophenyl) </w:t>
      </w:r>
      <w:proofErr w:type="spellStart"/>
      <w:r w:rsidR="00A32947">
        <w:t>phenylthiophosphonat</w:t>
      </w:r>
      <w:proofErr w:type="spellEnd"/>
      <w:r w:rsidR="00A32947">
        <w:t xml:space="preserve"> </w:t>
      </w:r>
      <w:r>
        <w:t>– MAK value documentation.</w:t>
      </w:r>
    </w:p>
    <w:p w14:paraId="57CDEC05" w14:textId="77777777" w:rsidR="00AC313E" w:rsidRPr="00351FE0" w:rsidRDefault="00AC313E" w:rsidP="00AC313E">
      <w:r>
        <w:t xml:space="preserve">US Environmental Protection Authority (US EPA) (1987) </w:t>
      </w:r>
      <w:r w:rsidRPr="003448DD">
        <w:t>Integrated R</w:t>
      </w:r>
      <w:r>
        <w:t xml:space="preserve">isk Information System (IRIS) </w:t>
      </w:r>
      <w:r w:rsidRPr="003448DD">
        <w:t>Chemical Assessment Summary</w:t>
      </w:r>
      <w:r>
        <w:t xml:space="preserve"> – Ethyl p-</w:t>
      </w:r>
      <w:proofErr w:type="spellStart"/>
      <w:r>
        <w:t>nitrophenyl</w:t>
      </w:r>
      <w:proofErr w:type="spellEnd"/>
      <w:r>
        <w:t xml:space="preserve"> </w:t>
      </w:r>
      <w:proofErr w:type="spellStart"/>
      <w:r>
        <w:t>phenylphosphorothioate</w:t>
      </w:r>
      <w:proofErr w:type="spellEnd"/>
      <w:r>
        <w:t xml:space="preserve"> (EPN)</w:t>
      </w:r>
      <w:r w:rsidR="00F5691E">
        <w:t>; CASRN 2104-64-5.</w:t>
      </w:r>
    </w:p>
    <w:p w14:paraId="11E4531D" w14:textId="77777777" w:rsidR="0033252C" w:rsidRDefault="0033252C" w:rsidP="00084859">
      <w:r>
        <w:t>US National Institute for Occupational Safety and Health (NIOSH) (</w:t>
      </w:r>
      <w:r w:rsidR="00A32947">
        <w:t>1994</w:t>
      </w:r>
      <w:r>
        <w:t xml:space="preserve">) </w:t>
      </w:r>
      <w:proofErr w:type="gramStart"/>
      <w:r>
        <w:t>Immediately</w:t>
      </w:r>
      <w:proofErr w:type="gramEnd"/>
      <w:r>
        <w:t xml:space="preserve"> dangerous to life or health concentrations – </w:t>
      </w:r>
      <w:r w:rsidR="00A32947">
        <w:t>EPN</w:t>
      </w:r>
      <w:r>
        <w:t>.</w:t>
      </w:r>
    </w:p>
    <w:p w14:paraId="7F553B1A" w14:textId="77777777" w:rsidR="00AC313E" w:rsidRDefault="00AC313E" w:rsidP="00084859">
      <w:r>
        <w:t>US National Institute for Occupational Safety and Health (NIOSH) (2007) NIOSH Pocket Guide to Chemical Hazards – EPN.</w:t>
      </w:r>
    </w:p>
    <w:p w14:paraId="03C93DCC" w14:textId="77777777" w:rsidR="0033252C" w:rsidRDefault="0033252C" w:rsidP="00084859">
      <w:r>
        <w:t>US National Institute for Occupational Safety and Health (NIOSH) (</w:t>
      </w:r>
      <w:r w:rsidR="00A32947">
        <w:t>2017</w:t>
      </w:r>
      <w:r>
        <w:t xml:space="preserve">) NIOSH Skin Notation Profiles: </w:t>
      </w:r>
      <w:r w:rsidR="00A32947" w:rsidRPr="00A32947">
        <w:t>Ethyl p-</w:t>
      </w:r>
      <w:proofErr w:type="spellStart"/>
      <w:r w:rsidR="00A32947" w:rsidRPr="00A32947">
        <w:t>nitrophenyl</w:t>
      </w:r>
      <w:proofErr w:type="spellEnd"/>
      <w:r w:rsidR="00A32947" w:rsidRPr="00A32947">
        <w:t xml:space="preserve"> </w:t>
      </w:r>
      <w:proofErr w:type="spellStart"/>
      <w:r w:rsidR="00A32947" w:rsidRPr="00A32947">
        <w:t>phenylphosphorothioate</w:t>
      </w:r>
      <w:proofErr w:type="spellEnd"/>
      <w:r w:rsidR="00A32947" w:rsidRPr="00A32947">
        <w:t xml:space="preserve"> (EPN)</w:t>
      </w:r>
      <w:r>
        <w:t>.</w:t>
      </w:r>
    </w:p>
    <w:p w14:paraId="5A547D92" w14:textId="77777777" w:rsidR="00AC313E" w:rsidRPr="00351FE0" w:rsidRDefault="00AC313E"/>
    <w:sectPr w:rsidR="00AC313E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086A58" w16cid:durableId="21814537"/>
  <w16cid:commentId w16cid:paraId="46B9E5CF" w16cid:durableId="218145B7"/>
  <w16cid:commentId w16cid:paraId="750A1F7A" w16cid:durableId="21814655"/>
  <w16cid:commentId w16cid:paraId="65FFCCF1" w16cid:durableId="218145F3"/>
  <w16cid:commentId w16cid:paraId="129AA426" w16cid:durableId="2181474C"/>
  <w16cid:commentId w16cid:paraId="2C89F29B" w16cid:durableId="218147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A2597" w14:textId="77777777" w:rsidR="00180F2F" w:rsidRDefault="00180F2F" w:rsidP="00F43AD5">
      <w:pPr>
        <w:spacing w:after="0" w:line="240" w:lineRule="auto"/>
      </w:pPr>
      <w:r>
        <w:separator/>
      </w:r>
    </w:p>
  </w:endnote>
  <w:endnote w:type="continuationSeparator" w:id="0">
    <w:p w14:paraId="518C1E92" w14:textId="77777777" w:rsidR="00180F2F" w:rsidRDefault="00180F2F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987BB" w14:textId="77777777" w:rsidR="00835777" w:rsidRDefault="00835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8BCFE48" w14:textId="77777777" w:rsidR="008A36CF" w:rsidRDefault="0069779E" w:rsidP="0034744C">
        <w:pPr>
          <w:pStyle w:val="Footer"/>
          <w:rPr>
            <w:sz w:val="18"/>
            <w:szCs w:val="18"/>
          </w:rPr>
        </w:pPr>
        <w:r w:rsidRPr="0069779E">
          <w:rPr>
            <w:b/>
            <w:sz w:val="18"/>
            <w:szCs w:val="18"/>
          </w:rPr>
          <w:t>EPN</w:t>
        </w:r>
        <w:r w:rsidR="008A36CF">
          <w:rPr>
            <w:b/>
            <w:sz w:val="18"/>
            <w:szCs w:val="18"/>
          </w:rPr>
          <w:t xml:space="preserve"> (</w:t>
        </w:r>
        <w:r w:rsidRPr="0069779E">
          <w:rPr>
            <w:b/>
            <w:sz w:val="18"/>
            <w:szCs w:val="18"/>
          </w:rPr>
          <w:t>2104-64-5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6573FB87" w14:textId="4E9E1BB7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835777">
          <w:rPr>
            <w:noProof/>
            <w:sz w:val="18"/>
            <w:szCs w:val="18"/>
          </w:rPr>
          <w:t>2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F6D4" w14:textId="77777777" w:rsidR="00835777" w:rsidRDefault="00835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CE39" w14:textId="77777777" w:rsidR="00180F2F" w:rsidRDefault="00180F2F" w:rsidP="00F43AD5">
      <w:pPr>
        <w:spacing w:after="0" w:line="240" w:lineRule="auto"/>
      </w:pPr>
      <w:r>
        <w:separator/>
      </w:r>
    </w:p>
  </w:footnote>
  <w:footnote w:type="continuationSeparator" w:id="0">
    <w:p w14:paraId="11098564" w14:textId="77777777" w:rsidR="00180F2F" w:rsidRDefault="00180F2F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FAE4" w14:textId="19892687" w:rsidR="00835777" w:rsidRDefault="00835777">
    <w:pPr>
      <w:pStyle w:val="Header"/>
    </w:pPr>
    <w:r>
      <w:rPr>
        <w:noProof/>
      </w:rPr>
      <w:pict w14:anchorId="4F3AB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57" o:spid="_x0000_s6146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E329" w14:textId="4B69F4ED" w:rsidR="008A36CF" w:rsidRDefault="00835777" w:rsidP="00F43AD5">
    <w:pPr>
      <w:pStyle w:val="Header"/>
      <w:jc w:val="right"/>
    </w:pPr>
    <w:r>
      <w:rPr>
        <w:noProof/>
      </w:rPr>
      <w:pict w14:anchorId="2A745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58" o:spid="_x0000_s6147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6153C1ED" wp14:editId="65438A12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FB23" w14:textId="174EBD26" w:rsidR="00835777" w:rsidRDefault="00835777">
    <w:pPr>
      <w:pStyle w:val="Header"/>
    </w:pPr>
    <w:r>
      <w:rPr>
        <w:noProof/>
      </w:rPr>
      <w:pict w14:anchorId="241366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56" o:spid="_x0000_s6145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9C2C4" w14:textId="264ED2DE" w:rsidR="00835777" w:rsidRDefault="00835777">
    <w:pPr>
      <w:pStyle w:val="Header"/>
    </w:pPr>
    <w:r>
      <w:rPr>
        <w:noProof/>
      </w:rPr>
      <w:pict w14:anchorId="06F2A9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60" o:spid="_x0000_s6149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65380" w14:textId="462ECF31" w:rsidR="008A36CF" w:rsidRDefault="00835777" w:rsidP="00F43AD5">
    <w:pPr>
      <w:pStyle w:val="Header"/>
      <w:jc w:val="right"/>
    </w:pPr>
    <w:r>
      <w:rPr>
        <w:noProof/>
      </w:rPr>
      <w:pict w14:anchorId="5969AD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61" o:spid="_x0000_s6150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EC3D" w14:textId="3DB7141A" w:rsidR="00835777" w:rsidRDefault="00835777">
    <w:pPr>
      <w:pStyle w:val="Header"/>
    </w:pPr>
    <w:r>
      <w:rPr>
        <w:noProof/>
      </w:rPr>
      <w:pict w14:anchorId="397E4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31659" o:spid="_x0000_s6148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5C2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114ED"/>
    <w:multiLevelType w:val="hybridMultilevel"/>
    <w:tmpl w:val="A77E3564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6F6A"/>
    <w:rsid w:val="00007B80"/>
    <w:rsid w:val="00010EFD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589D"/>
    <w:rsid w:val="00067F32"/>
    <w:rsid w:val="00071807"/>
    <w:rsid w:val="00075296"/>
    <w:rsid w:val="000803E1"/>
    <w:rsid w:val="00084513"/>
    <w:rsid w:val="00084859"/>
    <w:rsid w:val="000851B8"/>
    <w:rsid w:val="000862AD"/>
    <w:rsid w:val="00092D94"/>
    <w:rsid w:val="000B0868"/>
    <w:rsid w:val="000B1C23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0F60DD"/>
    <w:rsid w:val="0010461E"/>
    <w:rsid w:val="00106FAA"/>
    <w:rsid w:val="00113443"/>
    <w:rsid w:val="001269A7"/>
    <w:rsid w:val="00131092"/>
    <w:rsid w:val="00140CC4"/>
    <w:rsid w:val="00140E6A"/>
    <w:rsid w:val="00145709"/>
    <w:rsid w:val="00146545"/>
    <w:rsid w:val="00146B75"/>
    <w:rsid w:val="0015266D"/>
    <w:rsid w:val="0015288A"/>
    <w:rsid w:val="00157743"/>
    <w:rsid w:val="00160F47"/>
    <w:rsid w:val="00177CA1"/>
    <w:rsid w:val="00180F2F"/>
    <w:rsid w:val="00181415"/>
    <w:rsid w:val="00183823"/>
    <w:rsid w:val="00183942"/>
    <w:rsid w:val="00186107"/>
    <w:rsid w:val="001A009E"/>
    <w:rsid w:val="001A1287"/>
    <w:rsid w:val="001A3859"/>
    <w:rsid w:val="001A3C9D"/>
    <w:rsid w:val="001A43F8"/>
    <w:rsid w:val="001B2292"/>
    <w:rsid w:val="001B79E5"/>
    <w:rsid w:val="001D20B5"/>
    <w:rsid w:val="001D56F0"/>
    <w:rsid w:val="001D663B"/>
    <w:rsid w:val="001D7B41"/>
    <w:rsid w:val="001E46DA"/>
    <w:rsid w:val="001E7D80"/>
    <w:rsid w:val="001F4B6C"/>
    <w:rsid w:val="001F5478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63255"/>
    <w:rsid w:val="00276494"/>
    <w:rsid w:val="00277B0C"/>
    <w:rsid w:val="00281C27"/>
    <w:rsid w:val="002B1A2C"/>
    <w:rsid w:val="002B6AAE"/>
    <w:rsid w:val="002C34F2"/>
    <w:rsid w:val="002C58FF"/>
    <w:rsid w:val="002C7AFE"/>
    <w:rsid w:val="002D05D2"/>
    <w:rsid w:val="002E0D61"/>
    <w:rsid w:val="002E2740"/>
    <w:rsid w:val="002E4C7B"/>
    <w:rsid w:val="002E6B59"/>
    <w:rsid w:val="0030175A"/>
    <w:rsid w:val="0030740C"/>
    <w:rsid w:val="00315833"/>
    <w:rsid w:val="003215EE"/>
    <w:rsid w:val="003224BF"/>
    <w:rsid w:val="003241A8"/>
    <w:rsid w:val="003253F0"/>
    <w:rsid w:val="0033252C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6655A"/>
    <w:rsid w:val="00370DBF"/>
    <w:rsid w:val="00386093"/>
    <w:rsid w:val="003904A4"/>
    <w:rsid w:val="00390556"/>
    <w:rsid w:val="00391841"/>
    <w:rsid w:val="00391B6D"/>
    <w:rsid w:val="00394922"/>
    <w:rsid w:val="003A0E32"/>
    <w:rsid w:val="003A2B94"/>
    <w:rsid w:val="003A3FDD"/>
    <w:rsid w:val="003B387D"/>
    <w:rsid w:val="003C0D58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6C62"/>
    <w:rsid w:val="00417A56"/>
    <w:rsid w:val="00420957"/>
    <w:rsid w:val="00422A10"/>
    <w:rsid w:val="004256DF"/>
    <w:rsid w:val="00427464"/>
    <w:rsid w:val="00430179"/>
    <w:rsid w:val="004414B5"/>
    <w:rsid w:val="00442AAC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4AA1"/>
    <w:rsid w:val="004D6D68"/>
    <w:rsid w:val="004D7558"/>
    <w:rsid w:val="004E5128"/>
    <w:rsid w:val="004E5EDD"/>
    <w:rsid w:val="004F448A"/>
    <w:rsid w:val="004F493D"/>
    <w:rsid w:val="004F65E8"/>
    <w:rsid w:val="0050005E"/>
    <w:rsid w:val="00502B88"/>
    <w:rsid w:val="005142C4"/>
    <w:rsid w:val="0051509C"/>
    <w:rsid w:val="00525175"/>
    <w:rsid w:val="005272E2"/>
    <w:rsid w:val="00530E06"/>
    <w:rsid w:val="0053108F"/>
    <w:rsid w:val="00532B56"/>
    <w:rsid w:val="005331DC"/>
    <w:rsid w:val="00534B10"/>
    <w:rsid w:val="005446A2"/>
    <w:rsid w:val="00544D2F"/>
    <w:rsid w:val="00551BD8"/>
    <w:rsid w:val="00570071"/>
    <w:rsid w:val="0057667B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5F3112"/>
    <w:rsid w:val="006013C1"/>
    <w:rsid w:val="0060669E"/>
    <w:rsid w:val="00610F2E"/>
    <w:rsid w:val="00611399"/>
    <w:rsid w:val="00613ADB"/>
    <w:rsid w:val="006172D8"/>
    <w:rsid w:val="00624C4E"/>
    <w:rsid w:val="00625200"/>
    <w:rsid w:val="006363A8"/>
    <w:rsid w:val="00636DB7"/>
    <w:rsid w:val="00643973"/>
    <w:rsid w:val="00646BAA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9779E"/>
    <w:rsid w:val="006B160A"/>
    <w:rsid w:val="006B4E6C"/>
    <w:rsid w:val="006B4F38"/>
    <w:rsid w:val="006B50B6"/>
    <w:rsid w:val="006C2BB8"/>
    <w:rsid w:val="006D5EC1"/>
    <w:rsid w:val="006D79EA"/>
    <w:rsid w:val="006E5D05"/>
    <w:rsid w:val="00701053"/>
    <w:rsid w:val="00701507"/>
    <w:rsid w:val="00704FFB"/>
    <w:rsid w:val="00711AE4"/>
    <w:rsid w:val="00714021"/>
    <w:rsid w:val="00716A0F"/>
    <w:rsid w:val="007176F9"/>
    <w:rsid w:val="00717D45"/>
    <w:rsid w:val="007208F7"/>
    <w:rsid w:val="007218AF"/>
    <w:rsid w:val="00733004"/>
    <w:rsid w:val="007365D1"/>
    <w:rsid w:val="00736824"/>
    <w:rsid w:val="00740E0E"/>
    <w:rsid w:val="00750212"/>
    <w:rsid w:val="00751308"/>
    <w:rsid w:val="00754779"/>
    <w:rsid w:val="0075716D"/>
    <w:rsid w:val="00764978"/>
    <w:rsid w:val="00765F14"/>
    <w:rsid w:val="00770E31"/>
    <w:rsid w:val="007718EF"/>
    <w:rsid w:val="007770F1"/>
    <w:rsid w:val="0078304C"/>
    <w:rsid w:val="00783FB1"/>
    <w:rsid w:val="00785CDD"/>
    <w:rsid w:val="00791847"/>
    <w:rsid w:val="007920B2"/>
    <w:rsid w:val="007925F0"/>
    <w:rsid w:val="00792F09"/>
    <w:rsid w:val="007939B3"/>
    <w:rsid w:val="0079509C"/>
    <w:rsid w:val="00796708"/>
    <w:rsid w:val="007B1B42"/>
    <w:rsid w:val="007C30EB"/>
    <w:rsid w:val="007E063C"/>
    <w:rsid w:val="007E2A4B"/>
    <w:rsid w:val="007E307D"/>
    <w:rsid w:val="007E6A4E"/>
    <w:rsid w:val="007E6C94"/>
    <w:rsid w:val="007F0F11"/>
    <w:rsid w:val="007F1005"/>
    <w:rsid w:val="007F25E0"/>
    <w:rsid w:val="007F5328"/>
    <w:rsid w:val="00804F5A"/>
    <w:rsid w:val="00810C6D"/>
    <w:rsid w:val="00812887"/>
    <w:rsid w:val="00826F21"/>
    <w:rsid w:val="00834CC8"/>
    <w:rsid w:val="00835777"/>
    <w:rsid w:val="00835E00"/>
    <w:rsid w:val="00837113"/>
    <w:rsid w:val="008414E4"/>
    <w:rsid w:val="00843E21"/>
    <w:rsid w:val="0084508E"/>
    <w:rsid w:val="00857A8A"/>
    <w:rsid w:val="008630EE"/>
    <w:rsid w:val="00864D13"/>
    <w:rsid w:val="00867CAA"/>
    <w:rsid w:val="00871CD5"/>
    <w:rsid w:val="008745A2"/>
    <w:rsid w:val="008768A8"/>
    <w:rsid w:val="00882727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2D8E"/>
    <w:rsid w:val="009578DD"/>
    <w:rsid w:val="00961124"/>
    <w:rsid w:val="009621B6"/>
    <w:rsid w:val="00965778"/>
    <w:rsid w:val="00974F2D"/>
    <w:rsid w:val="00977524"/>
    <w:rsid w:val="00977E88"/>
    <w:rsid w:val="00982B1F"/>
    <w:rsid w:val="00983A04"/>
    <w:rsid w:val="00984920"/>
    <w:rsid w:val="009873FE"/>
    <w:rsid w:val="009879DB"/>
    <w:rsid w:val="0099284E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27EE1"/>
    <w:rsid w:val="00A31D99"/>
    <w:rsid w:val="00A32947"/>
    <w:rsid w:val="00A357BA"/>
    <w:rsid w:val="00A35ADC"/>
    <w:rsid w:val="00A402A3"/>
    <w:rsid w:val="00A402DA"/>
    <w:rsid w:val="00A51122"/>
    <w:rsid w:val="00A53681"/>
    <w:rsid w:val="00A633D4"/>
    <w:rsid w:val="00A6461A"/>
    <w:rsid w:val="00A66DF6"/>
    <w:rsid w:val="00A72FEB"/>
    <w:rsid w:val="00A84504"/>
    <w:rsid w:val="00A8672F"/>
    <w:rsid w:val="00A93057"/>
    <w:rsid w:val="00A968B0"/>
    <w:rsid w:val="00AB2672"/>
    <w:rsid w:val="00AB2817"/>
    <w:rsid w:val="00AB43C4"/>
    <w:rsid w:val="00AC313E"/>
    <w:rsid w:val="00AC32E7"/>
    <w:rsid w:val="00AC3A9F"/>
    <w:rsid w:val="00AC6D2F"/>
    <w:rsid w:val="00AD018F"/>
    <w:rsid w:val="00AE2745"/>
    <w:rsid w:val="00AE2F64"/>
    <w:rsid w:val="00AF42CB"/>
    <w:rsid w:val="00AF483F"/>
    <w:rsid w:val="00AF5E07"/>
    <w:rsid w:val="00AF5F06"/>
    <w:rsid w:val="00B00A25"/>
    <w:rsid w:val="00B1422A"/>
    <w:rsid w:val="00B14CD4"/>
    <w:rsid w:val="00B1765C"/>
    <w:rsid w:val="00B213C4"/>
    <w:rsid w:val="00B40C60"/>
    <w:rsid w:val="00B429C2"/>
    <w:rsid w:val="00B479A9"/>
    <w:rsid w:val="00B52EDF"/>
    <w:rsid w:val="00B71188"/>
    <w:rsid w:val="00B71ECD"/>
    <w:rsid w:val="00B76A41"/>
    <w:rsid w:val="00B87D4C"/>
    <w:rsid w:val="00B93646"/>
    <w:rsid w:val="00BA0B38"/>
    <w:rsid w:val="00BA1DBB"/>
    <w:rsid w:val="00BA4510"/>
    <w:rsid w:val="00BA529A"/>
    <w:rsid w:val="00BB52E5"/>
    <w:rsid w:val="00BB612A"/>
    <w:rsid w:val="00BC412E"/>
    <w:rsid w:val="00BD499F"/>
    <w:rsid w:val="00BD56DE"/>
    <w:rsid w:val="00BD5F44"/>
    <w:rsid w:val="00BF2406"/>
    <w:rsid w:val="00C06E43"/>
    <w:rsid w:val="00C16315"/>
    <w:rsid w:val="00C3091E"/>
    <w:rsid w:val="00C3673B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75A85"/>
    <w:rsid w:val="00C850A0"/>
    <w:rsid w:val="00C85A86"/>
    <w:rsid w:val="00C90518"/>
    <w:rsid w:val="00C929B1"/>
    <w:rsid w:val="00C978F0"/>
    <w:rsid w:val="00CA58FE"/>
    <w:rsid w:val="00CB1CB1"/>
    <w:rsid w:val="00CB1E6E"/>
    <w:rsid w:val="00CB6BC1"/>
    <w:rsid w:val="00CB6CB8"/>
    <w:rsid w:val="00CC1A68"/>
    <w:rsid w:val="00CC2123"/>
    <w:rsid w:val="00CC3966"/>
    <w:rsid w:val="00CD2BFD"/>
    <w:rsid w:val="00CD2F16"/>
    <w:rsid w:val="00CE5AD6"/>
    <w:rsid w:val="00CE617F"/>
    <w:rsid w:val="00CE78EF"/>
    <w:rsid w:val="00D048F7"/>
    <w:rsid w:val="00D0517E"/>
    <w:rsid w:val="00D140FC"/>
    <w:rsid w:val="00D21D8C"/>
    <w:rsid w:val="00D31357"/>
    <w:rsid w:val="00D33220"/>
    <w:rsid w:val="00D334D1"/>
    <w:rsid w:val="00D44C89"/>
    <w:rsid w:val="00D516CD"/>
    <w:rsid w:val="00D659D5"/>
    <w:rsid w:val="00D668E6"/>
    <w:rsid w:val="00D70670"/>
    <w:rsid w:val="00D74D80"/>
    <w:rsid w:val="00D76624"/>
    <w:rsid w:val="00D87570"/>
    <w:rsid w:val="00D91CB9"/>
    <w:rsid w:val="00D94870"/>
    <w:rsid w:val="00D97989"/>
    <w:rsid w:val="00D97D8D"/>
    <w:rsid w:val="00DA352E"/>
    <w:rsid w:val="00DB45D0"/>
    <w:rsid w:val="00DC7694"/>
    <w:rsid w:val="00DD1BF6"/>
    <w:rsid w:val="00DD2F9B"/>
    <w:rsid w:val="00DE2513"/>
    <w:rsid w:val="00DE26E8"/>
    <w:rsid w:val="00DF50F3"/>
    <w:rsid w:val="00DF6F36"/>
    <w:rsid w:val="00E0084C"/>
    <w:rsid w:val="00E025AB"/>
    <w:rsid w:val="00E02B23"/>
    <w:rsid w:val="00E04F1B"/>
    <w:rsid w:val="00E06F40"/>
    <w:rsid w:val="00E07CE8"/>
    <w:rsid w:val="00E26A07"/>
    <w:rsid w:val="00E32595"/>
    <w:rsid w:val="00E37CFD"/>
    <w:rsid w:val="00E41A26"/>
    <w:rsid w:val="00E46BCB"/>
    <w:rsid w:val="00E51CAF"/>
    <w:rsid w:val="00E60F04"/>
    <w:rsid w:val="00E62AAC"/>
    <w:rsid w:val="00E665C9"/>
    <w:rsid w:val="00E67C2F"/>
    <w:rsid w:val="00E67EF5"/>
    <w:rsid w:val="00E71504"/>
    <w:rsid w:val="00E804EA"/>
    <w:rsid w:val="00E80A71"/>
    <w:rsid w:val="00E82337"/>
    <w:rsid w:val="00E92499"/>
    <w:rsid w:val="00E949AF"/>
    <w:rsid w:val="00E95CAD"/>
    <w:rsid w:val="00E96077"/>
    <w:rsid w:val="00EA0A06"/>
    <w:rsid w:val="00EA6243"/>
    <w:rsid w:val="00EA74AB"/>
    <w:rsid w:val="00EB3D1B"/>
    <w:rsid w:val="00ED1D89"/>
    <w:rsid w:val="00ED66BC"/>
    <w:rsid w:val="00EE6356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12EF"/>
    <w:rsid w:val="00F22093"/>
    <w:rsid w:val="00F236DF"/>
    <w:rsid w:val="00F241DF"/>
    <w:rsid w:val="00F43AD5"/>
    <w:rsid w:val="00F4402E"/>
    <w:rsid w:val="00F5691E"/>
    <w:rsid w:val="00F56DD0"/>
    <w:rsid w:val="00F6491C"/>
    <w:rsid w:val="00F67BBB"/>
    <w:rsid w:val="00F87D92"/>
    <w:rsid w:val="00F90AA7"/>
    <w:rsid w:val="00F91F18"/>
    <w:rsid w:val="00F92498"/>
    <w:rsid w:val="00F9496B"/>
    <w:rsid w:val="00F970C9"/>
    <w:rsid w:val="00FA06A8"/>
    <w:rsid w:val="00FA3DF5"/>
    <w:rsid w:val="00FA653D"/>
    <w:rsid w:val="00FA741F"/>
    <w:rsid w:val="00FA7566"/>
    <w:rsid w:val="00FB4E07"/>
    <w:rsid w:val="00FB755A"/>
    <w:rsid w:val="00FC60A2"/>
    <w:rsid w:val="00FD1871"/>
    <w:rsid w:val="00FD3110"/>
    <w:rsid w:val="00FE45B1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."/>
  <w:listSeparator w:val=","/>
  <w14:docId w14:val="1632D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427464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F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A0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EA51C8540A4D4F0A9062F5B1698D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35A6-51B4-4D9C-B1D2-B881B06F755D}"/>
      </w:docPartPr>
      <w:docPartBody>
        <w:p w:rsidR="00D21A9F" w:rsidRDefault="00D21A9F">
          <w:pPr>
            <w:pStyle w:val="EA51C8540A4D4F0A9062F5B1698DCBB0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830D71D157084582B187C3D284BF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CF79-50E5-4CC8-AE80-88506FF0E69E}"/>
      </w:docPartPr>
      <w:docPartBody>
        <w:p w:rsidR="00B250CD" w:rsidRDefault="00A67C3B" w:rsidP="00A67C3B">
          <w:pPr>
            <w:pStyle w:val="830D71D157084582B187C3D284BFEA43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03447"/>
    <w:rsid w:val="00A67C3B"/>
    <w:rsid w:val="00B250CD"/>
    <w:rsid w:val="00CA10AB"/>
    <w:rsid w:val="00CF6CCA"/>
    <w:rsid w:val="00D21A9F"/>
    <w:rsid w:val="00D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C3B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3CB88C9D842F42F79BBFB1A7B63E69A5">
    <w:name w:val="3CB88C9D842F42F79BBFB1A7B63E69A5"/>
    <w:rsid w:val="00CF6CCA"/>
  </w:style>
  <w:style w:type="paragraph" w:customStyle="1" w:styleId="1D425AF8DC0441008D4D21F5753173E5">
    <w:name w:val="1D425AF8DC0441008D4D21F5753173E5"/>
    <w:rsid w:val="00CF6CCA"/>
  </w:style>
  <w:style w:type="paragraph" w:customStyle="1" w:styleId="A5A548F7A98742B7A73A0F0C18C0B025">
    <w:name w:val="A5A548F7A98742B7A73A0F0C18C0B025"/>
    <w:rsid w:val="00CF6CCA"/>
  </w:style>
  <w:style w:type="paragraph" w:customStyle="1" w:styleId="80A6B212230349248D75A6D9A42D783F">
    <w:name w:val="80A6B212230349248D75A6D9A42D783F"/>
    <w:rsid w:val="00CF6CCA"/>
  </w:style>
  <w:style w:type="paragraph" w:customStyle="1" w:styleId="075A6CC55459416395F81F18D4484160">
    <w:name w:val="075A6CC55459416395F81F18D4484160"/>
    <w:rsid w:val="00CF6CCA"/>
  </w:style>
  <w:style w:type="paragraph" w:customStyle="1" w:styleId="2EDFF1A2F8974949B09C45D050400BB2">
    <w:name w:val="2EDFF1A2F8974949B09C45D050400BB2"/>
    <w:rsid w:val="00CF6CCA"/>
  </w:style>
  <w:style w:type="paragraph" w:customStyle="1" w:styleId="830D71D157084582B187C3D284BFEA43">
    <w:name w:val="830D71D157084582B187C3D284BFEA43"/>
    <w:rsid w:val="00A67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536-1668-4A5F-9477-C85C9465C6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93C57F-EA87-496D-836F-5D5F6143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2CB61-0AC5-4D43-AE41-503682C66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D938F-FB19-46D1-9EBA-3678871E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2019-11-11T07:05:00Z</dcterms:created>
  <dcterms:modified xsi:type="dcterms:W3CDTF">2019-12-03T01:48:00Z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