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6A38BE9F" w14:textId="77777777" w:rsidR="00BD499F" w:rsidRPr="004C23F4" w:rsidRDefault="00681188" w:rsidP="00B40C60">
          <w:pPr>
            <w:pStyle w:val="Heading1"/>
            <w:jc w:val="center"/>
            <w:rPr>
              <w:rFonts w:ascii="Arial" w:hAnsi="Arial" w:cs="Arial"/>
            </w:rPr>
          </w:pPr>
          <w:r w:rsidRPr="00681188">
            <w:rPr>
              <w:rFonts w:ascii="Arial" w:hAnsi="Arial" w:cs="Arial"/>
            </w:rPr>
            <w:t>Dieldrin</w:t>
          </w:r>
        </w:p>
      </w:sdtContent>
    </w:sdt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69"/>
        <w:gridCol w:w="4962"/>
      </w:tblGrid>
      <w:tr w:rsidR="00F43AD5" w:rsidRPr="004C23F4" w14:paraId="1ED12DB7" w14:textId="77777777" w:rsidTr="008C5360">
        <w:trPr>
          <w:cantSplit/>
          <w:tblHeader/>
        </w:trPr>
        <w:tc>
          <w:tcPr>
            <w:tcW w:w="3969" w:type="dxa"/>
          </w:tcPr>
          <w:p w14:paraId="1DF5DAB7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4962" w:type="dxa"/>
          </w:tcPr>
          <w:p w14:paraId="7BD4691B" w14:textId="77777777" w:rsidR="00F43AD5" w:rsidRPr="00717D45" w:rsidRDefault="00681188" w:rsidP="00B76A41">
            <w:pPr>
              <w:pStyle w:val="Tablefont"/>
            </w:pPr>
            <w:r w:rsidRPr="00681188">
              <w:t>60-57-1</w:t>
            </w:r>
          </w:p>
        </w:tc>
      </w:tr>
      <w:tr w:rsidR="00F43AD5" w:rsidRPr="004C23F4" w14:paraId="452F29A1" w14:textId="77777777" w:rsidTr="008C5360">
        <w:trPr>
          <w:cantSplit/>
        </w:trPr>
        <w:tc>
          <w:tcPr>
            <w:tcW w:w="3969" w:type="dxa"/>
          </w:tcPr>
          <w:p w14:paraId="59D39787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4962" w:type="dxa"/>
          </w:tcPr>
          <w:p w14:paraId="2568EBEA" w14:textId="77777777" w:rsidR="00F43AD5" w:rsidRPr="008C5360" w:rsidRDefault="004F4284" w:rsidP="00B76A41">
            <w:pPr>
              <w:pStyle w:val="Tablefont"/>
              <w:rPr>
                <w:rFonts w:cs="Arial"/>
                <w:color w:val="262626"/>
              </w:rPr>
            </w:pPr>
            <w:r w:rsidRPr="008C5360">
              <w:rPr>
                <w:rFonts w:cs="Arial"/>
                <w:bCs/>
              </w:rPr>
              <w:t>2,7:3,6-Dimethanonaphth[2,3-b]</w:t>
            </w:r>
            <w:proofErr w:type="spellStart"/>
            <w:r w:rsidRPr="008C5360">
              <w:rPr>
                <w:rFonts w:cs="Arial"/>
                <w:bCs/>
              </w:rPr>
              <w:t>oxirene</w:t>
            </w:r>
            <w:proofErr w:type="spellEnd"/>
            <w:r w:rsidRPr="008C5360">
              <w:rPr>
                <w:rFonts w:cs="Arial"/>
                <w:bCs/>
              </w:rPr>
              <w:t>, 3,4,5,6,9,9-hexachloro-1a,2,2a,3,6,6a,7,7a-octahydro-, (1a.alpha.,2.beta.,2a.alpha.,3.beta.,6.beta.,6a.alpha.,7.beta.,7a.alpha.)</w:t>
            </w:r>
            <w:r w:rsidRPr="004F4284">
              <w:rPr>
                <w:rFonts w:cs="Arial"/>
                <w:color w:val="262626"/>
              </w:rPr>
              <w:t xml:space="preserve"> </w:t>
            </w:r>
          </w:p>
        </w:tc>
      </w:tr>
      <w:tr w:rsidR="00F43AD5" w:rsidRPr="004C23F4" w14:paraId="21777DA7" w14:textId="77777777" w:rsidTr="008C5360">
        <w:trPr>
          <w:cantSplit/>
        </w:trPr>
        <w:tc>
          <w:tcPr>
            <w:tcW w:w="3969" w:type="dxa"/>
          </w:tcPr>
          <w:p w14:paraId="3D5CD31D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4962" w:type="dxa"/>
          </w:tcPr>
          <w:p w14:paraId="2D1BE045" w14:textId="77777777" w:rsidR="00F43AD5" w:rsidRPr="00717D45" w:rsidRDefault="008C3DB8" w:rsidP="00B76A41">
            <w:pPr>
              <w:pStyle w:val="Tablefont"/>
            </w:pPr>
            <w:r>
              <w:t>C</w:t>
            </w:r>
            <w:r w:rsidRPr="008C3DB8">
              <w:rPr>
                <w:vertAlign w:val="subscript"/>
              </w:rPr>
              <w:t>12</w:t>
            </w:r>
            <w:r>
              <w:t>H</w:t>
            </w:r>
            <w:r w:rsidRPr="008C3DB8">
              <w:rPr>
                <w:vertAlign w:val="subscript"/>
              </w:rPr>
              <w:t>8</w:t>
            </w:r>
            <w:r>
              <w:t>Cl</w:t>
            </w:r>
            <w:r w:rsidRPr="008C3DB8">
              <w:rPr>
                <w:vertAlign w:val="subscript"/>
              </w:rPr>
              <w:t>6</w:t>
            </w:r>
            <w:r>
              <w:t>O</w:t>
            </w:r>
          </w:p>
        </w:tc>
      </w:tr>
      <w:tr w:rsidR="00F43AD5" w:rsidRPr="004C23F4" w14:paraId="6653CC05" w14:textId="77777777" w:rsidTr="008C5360">
        <w:trPr>
          <w:cantSplit/>
        </w:trPr>
        <w:tc>
          <w:tcPr>
            <w:tcW w:w="3969" w:type="dxa"/>
          </w:tcPr>
          <w:p w14:paraId="001C2732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4962" w:type="dxa"/>
          </w:tcPr>
          <w:p w14:paraId="53184D21" w14:textId="77777777" w:rsidR="00F43AD5" w:rsidRPr="00B40C60" w:rsidRDefault="008C3DB8" w:rsidP="00B76A41">
            <w:pPr>
              <w:pStyle w:val="Tablerowheading"/>
              <w:rPr>
                <w:b w:val="0"/>
              </w:rPr>
            </w:pPr>
            <w:r w:rsidRPr="008C3DB8">
              <w:rPr>
                <w:b w:val="0"/>
              </w:rPr>
              <w:t>—</w:t>
            </w:r>
          </w:p>
        </w:tc>
      </w:tr>
    </w:tbl>
    <w:p w14:paraId="37C6CCA9" w14:textId="77777777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160B0F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38F63622" w14:textId="77777777" w:rsidTr="00A3166D">
        <w:trPr>
          <w:cantSplit/>
          <w:tblHeader/>
        </w:trPr>
        <w:tc>
          <w:tcPr>
            <w:tcW w:w="4005" w:type="dxa"/>
            <w:vAlign w:val="center"/>
          </w:tcPr>
          <w:p w14:paraId="60A63800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63BF3236" w14:textId="77777777" w:rsidR="002C7AFE" w:rsidRPr="00C71A5A" w:rsidRDefault="00AF64EE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0.</w:t>
            </w:r>
            <w:r w:rsidR="006244FD">
              <w:rPr>
                <w:b/>
              </w:rPr>
              <w:t>1</w:t>
            </w:r>
            <w:r w:rsidR="008C3DB8" w:rsidRPr="00C71A5A">
              <w:rPr>
                <w:b/>
              </w:rPr>
              <w:t xml:space="preserve"> mg/m</w:t>
            </w:r>
            <w:r w:rsidR="008C3DB8" w:rsidRPr="00C71A5A">
              <w:rPr>
                <w:b/>
                <w:vertAlign w:val="superscript"/>
              </w:rPr>
              <w:t>3</w:t>
            </w:r>
          </w:p>
        </w:tc>
      </w:tr>
      <w:tr w:rsidR="002C7AFE" w:rsidRPr="004C23F4" w14:paraId="6BFDB511" w14:textId="77777777" w:rsidTr="00A3166D">
        <w:trPr>
          <w:cantSplit/>
        </w:trPr>
        <w:tc>
          <w:tcPr>
            <w:tcW w:w="4005" w:type="dxa"/>
            <w:vAlign w:val="center"/>
          </w:tcPr>
          <w:p w14:paraId="58877B22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608BBDD0" w14:textId="77777777" w:rsidR="002C7AFE" w:rsidRPr="00C71A5A" w:rsidRDefault="008C3DB8" w:rsidP="00017C82">
            <w:pPr>
              <w:pStyle w:val="Tablefont"/>
              <w:rPr>
                <w:b/>
              </w:rPr>
            </w:pPr>
            <w:r w:rsidRPr="00C71A5A">
              <w:rPr>
                <w:b/>
              </w:rPr>
              <w:t>—</w:t>
            </w:r>
          </w:p>
        </w:tc>
      </w:tr>
      <w:tr w:rsidR="002C7AFE" w:rsidRPr="004C23F4" w14:paraId="5AD1DD9A" w14:textId="77777777" w:rsidTr="00A3166D">
        <w:trPr>
          <w:cantSplit/>
        </w:trPr>
        <w:tc>
          <w:tcPr>
            <w:tcW w:w="4005" w:type="dxa"/>
            <w:vAlign w:val="center"/>
          </w:tcPr>
          <w:p w14:paraId="7F184B94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62185716" w14:textId="77777777" w:rsidR="002C7AFE" w:rsidRPr="00C71A5A" w:rsidRDefault="008C3DB8" w:rsidP="00017C82">
            <w:pPr>
              <w:pStyle w:val="Tablefont"/>
              <w:rPr>
                <w:b/>
              </w:rPr>
            </w:pPr>
            <w:r w:rsidRPr="00C71A5A">
              <w:rPr>
                <w:b/>
              </w:rPr>
              <w:t>—</w:t>
            </w:r>
          </w:p>
        </w:tc>
      </w:tr>
      <w:tr w:rsidR="002C7AFE" w:rsidRPr="004C23F4" w14:paraId="58F3B59F" w14:textId="77777777" w:rsidTr="00A3166D">
        <w:trPr>
          <w:cantSplit/>
        </w:trPr>
        <w:tc>
          <w:tcPr>
            <w:tcW w:w="4005" w:type="dxa"/>
          </w:tcPr>
          <w:p w14:paraId="402F4B64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716C0B20" w14:textId="77777777" w:rsidR="002C7AFE" w:rsidRPr="00C71A5A" w:rsidRDefault="008C3DB8" w:rsidP="008A36CF">
            <w:pPr>
              <w:pStyle w:val="Tablefont"/>
              <w:rPr>
                <w:b/>
              </w:rPr>
            </w:pPr>
            <w:proofErr w:type="spellStart"/>
            <w:r w:rsidRPr="00C71A5A">
              <w:rPr>
                <w:b/>
              </w:rPr>
              <w:t>Carc</w:t>
            </w:r>
            <w:proofErr w:type="spellEnd"/>
            <w:r w:rsidRPr="00C71A5A">
              <w:rPr>
                <w:b/>
              </w:rPr>
              <w:t>. 2, Sk</w:t>
            </w:r>
            <w:r w:rsidR="00EF79F6">
              <w:rPr>
                <w:b/>
              </w:rPr>
              <w:t>.</w:t>
            </w:r>
          </w:p>
        </w:tc>
      </w:tr>
      <w:tr w:rsidR="002C7AFE" w:rsidRPr="004C23F4" w14:paraId="00C5285D" w14:textId="77777777" w:rsidTr="00A3166D">
        <w:trPr>
          <w:cantSplit/>
        </w:trPr>
        <w:tc>
          <w:tcPr>
            <w:tcW w:w="4005" w:type="dxa"/>
            <w:vAlign w:val="center"/>
          </w:tcPr>
          <w:p w14:paraId="188B7D4A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3A524245" w14:textId="77777777" w:rsidR="002C7AFE" w:rsidRPr="00C71A5A" w:rsidRDefault="008C3DB8" w:rsidP="00017C82">
            <w:pPr>
              <w:pStyle w:val="Tablefont"/>
              <w:rPr>
                <w:b/>
              </w:rPr>
            </w:pPr>
            <w:r w:rsidRPr="00C71A5A">
              <w:rPr>
                <w:b/>
              </w:rPr>
              <w:t>50 mg/m</w:t>
            </w:r>
            <w:r w:rsidRPr="00C71A5A">
              <w:rPr>
                <w:b/>
                <w:vertAlign w:val="superscript"/>
              </w:rPr>
              <w:t>3</w:t>
            </w:r>
          </w:p>
        </w:tc>
      </w:tr>
      <w:tr w:rsidR="00A3166D" w:rsidRPr="004C23F4" w14:paraId="670E74BF" w14:textId="77777777" w:rsidTr="00FD22A6">
        <w:trPr>
          <w:cantSplit/>
        </w:trPr>
        <w:tc>
          <w:tcPr>
            <w:tcW w:w="9026" w:type="dxa"/>
            <w:gridSpan w:val="2"/>
            <w:vAlign w:val="center"/>
          </w:tcPr>
          <w:p w14:paraId="26AA1C5A" w14:textId="77777777" w:rsidR="00A3166D" w:rsidRPr="00C71A5A" w:rsidRDefault="00A3166D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Sampling and analysis:</w:t>
            </w:r>
            <w:r w:rsidRPr="00A3166D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5754687CDD8240EABD844E7B0905CC99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A3166D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30A1B6BD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46EC4FAB" w14:textId="77777777" w:rsidR="006639B4" w:rsidRPr="00AF64EE" w:rsidRDefault="00AF64EE" w:rsidP="000C139A">
      <w:pPr>
        <w:rPr>
          <w:rFonts w:cs="Arial"/>
        </w:rPr>
      </w:pPr>
      <w:r>
        <w:rPr>
          <w:rFonts w:cs="Arial"/>
        </w:rPr>
        <w:t>A TWA of 0.</w:t>
      </w:r>
      <w:r w:rsidR="006244FD">
        <w:rPr>
          <w:rFonts w:cs="Arial"/>
        </w:rPr>
        <w:t>1</w:t>
      </w:r>
      <w:r>
        <w:rPr>
          <w:rFonts w:cs="Arial"/>
        </w:rPr>
        <w:t xml:space="preserve">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is recommended</w:t>
      </w:r>
      <w:proofErr w:type="gramEnd"/>
      <w:r>
        <w:rPr>
          <w:rFonts w:cs="Arial"/>
        </w:rPr>
        <w:t xml:space="preserve"> to protect for </w:t>
      </w:r>
      <w:r w:rsidR="006244FD">
        <w:rPr>
          <w:rFonts w:cs="Arial"/>
        </w:rPr>
        <w:t xml:space="preserve">liver and developmental effects in </w:t>
      </w:r>
      <w:r>
        <w:rPr>
          <w:rFonts w:cs="Arial"/>
        </w:rPr>
        <w:t>exposed workers</w:t>
      </w:r>
      <w:r w:rsidR="006244FD">
        <w:rPr>
          <w:rFonts w:cs="Arial"/>
        </w:rPr>
        <w:t xml:space="preserve"> and their progeny</w:t>
      </w:r>
      <w:r>
        <w:rPr>
          <w:rFonts w:cs="Arial"/>
        </w:rPr>
        <w:t>.</w:t>
      </w:r>
    </w:p>
    <w:p w14:paraId="72B9393F" w14:textId="77777777" w:rsidR="006639B4" w:rsidRDefault="00F10C97" w:rsidP="00AF64EE">
      <w:pPr>
        <w:pStyle w:val="Heading2"/>
      </w:pPr>
      <w:r>
        <w:t>Discussion and conclusions</w:t>
      </w:r>
    </w:p>
    <w:p w14:paraId="46D615D4" w14:textId="47C51F60" w:rsidR="00806A37" w:rsidRDefault="00AF64EE" w:rsidP="00806A37">
      <w:proofErr w:type="spellStart"/>
      <w:r w:rsidRPr="00AF64EE">
        <w:rPr>
          <w:lang w:eastAsia="en-AU"/>
        </w:rPr>
        <w:t>Dieldrin</w:t>
      </w:r>
      <w:proofErr w:type="spellEnd"/>
      <w:r w:rsidRPr="00AF64EE">
        <w:rPr>
          <w:lang w:eastAsia="en-AU"/>
        </w:rPr>
        <w:t xml:space="preserve"> is an organochloride insecticide</w:t>
      </w:r>
      <w:r w:rsidR="003A6741">
        <w:rPr>
          <w:lang w:eastAsia="en-AU"/>
        </w:rPr>
        <w:t xml:space="preserve"> </w:t>
      </w:r>
      <w:proofErr w:type="gramStart"/>
      <w:r w:rsidR="003A6741">
        <w:rPr>
          <w:lang w:eastAsia="en-AU"/>
        </w:rPr>
        <w:t>reported to have been</w:t>
      </w:r>
      <w:r w:rsidRPr="00AF64EE">
        <w:rPr>
          <w:lang w:eastAsia="en-AU"/>
        </w:rPr>
        <w:t xml:space="preserve"> </w:t>
      </w:r>
      <w:r w:rsidR="008C5360">
        <w:rPr>
          <w:lang w:eastAsia="en-AU"/>
        </w:rPr>
        <w:t>used</w:t>
      </w:r>
      <w:proofErr w:type="gramEnd"/>
      <w:r w:rsidRPr="00AF64EE">
        <w:rPr>
          <w:lang w:eastAsia="en-AU"/>
        </w:rPr>
        <w:t xml:space="preserve"> for control of pests in </w:t>
      </w:r>
      <w:r w:rsidR="008C5360">
        <w:rPr>
          <w:lang w:eastAsia="en-AU"/>
        </w:rPr>
        <w:t xml:space="preserve">the </w:t>
      </w:r>
      <w:r w:rsidRPr="00AF64EE">
        <w:rPr>
          <w:lang w:eastAsia="en-AU"/>
        </w:rPr>
        <w:t>corn and citrus industry</w:t>
      </w:r>
      <w:r>
        <w:rPr>
          <w:lang w:eastAsia="en-AU"/>
        </w:rPr>
        <w:t xml:space="preserve">. No dose-response evidence </w:t>
      </w:r>
      <w:proofErr w:type="gramStart"/>
      <w:r w:rsidR="00333501">
        <w:rPr>
          <w:lang w:eastAsia="en-AU"/>
        </w:rPr>
        <w:t xml:space="preserve">is </w:t>
      </w:r>
      <w:r>
        <w:rPr>
          <w:lang w:eastAsia="en-AU"/>
        </w:rPr>
        <w:t>identified</w:t>
      </w:r>
      <w:proofErr w:type="gramEnd"/>
      <w:r>
        <w:rPr>
          <w:lang w:eastAsia="en-AU"/>
        </w:rPr>
        <w:t xml:space="preserve"> in humans. </w:t>
      </w:r>
      <w:r w:rsidR="006244FD">
        <w:rPr>
          <w:lang w:eastAsia="en-AU"/>
        </w:rPr>
        <w:t>The critical effects are liver damage, reproductive effects and impairment of the central nervous system (CNS).</w:t>
      </w:r>
    </w:p>
    <w:p w14:paraId="72966D66" w14:textId="23A36E01" w:rsidR="00957B1E" w:rsidRPr="00957B1E" w:rsidRDefault="009950DD" w:rsidP="00957B1E">
      <w:r>
        <w:t xml:space="preserve">A two-year feeding study in rats reported </w:t>
      </w:r>
      <w:r w:rsidR="00957B1E">
        <w:t xml:space="preserve">minimal </w:t>
      </w:r>
      <w:r>
        <w:t xml:space="preserve">liver </w:t>
      </w:r>
      <w:r w:rsidR="00957B1E">
        <w:t>changes</w:t>
      </w:r>
      <w:r>
        <w:t xml:space="preserve"> at</w:t>
      </w:r>
      <w:r w:rsidR="00957B1E">
        <w:t xml:space="preserve"> </w:t>
      </w:r>
      <w:r>
        <w:t>2.5 ppm</w:t>
      </w:r>
      <w:r w:rsidR="00957B1E">
        <w:t>.</w:t>
      </w:r>
      <w:r w:rsidR="006244FD">
        <w:t xml:space="preserve"> </w:t>
      </w:r>
      <w:r w:rsidR="000C2967" w:rsidRPr="000C2967">
        <w:t xml:space="preserve">A LOAEL of 2.5 ppm </w:t>
      </w:r>
      <w:proofErr w:type="gramStart"/>
      <w:r w:rsidR="00EA6426">
        <w:t>i</w:t>
      </w:r>
      <w:r w:rsidR="000C2967" w:rsidRPr="000C2967">
        <w:t>s reported</w:t>
      </w:r>
      <w:proofErr w:type="gramEnd"/>
      <w:r w:rsidR="000C2967" w:rsidRPr="000C2967">
        <w:t xml:space="preserve"> for adverse reproductive effects </w:t>
      </w:r>
      <w:r w:rsidR="00515F21">
        <w:t xml:space="preserve">in </w:t>
      </w:r>
      <w:r w:rsidR="000C2967" w:rsidRPr="000C2967">
        <w:t xml:space="preserve">a </w:t>
      </w:r>
      <w:r w:rsidR="000C2967">
        <w:t xml:space="preserve">multi-generational reproductive rat </w:t>
      </w:r>
      <w:r w:rsidR="00515F21" w:rsidRPr="000C2967">
        <w:t>study</w:t>
      </w:r>
      <w:r w:rsidR="00515F21">
        <w:t xml:space="preserve"> </w:t>
      </w:r>
      <w:r w:rsidR="000C2967">
        <w:t>(ACGIH 2018</w:t>
      </w:r>
      <w:r w:rsidR="000F5945">
        <w:t>;</w:t>
      </w:r>
      <w:r w:rsidR="000C2967">
        <w:t xml:space="preserve"> DFG, 1966)</w:t>
      </w:r>
      <w:r w:rsidR="006244FD">
        <w:t xml:space="preserve">. The </w:t>
      </w:r>
      <w:r w:rsidR="00B76ED9">
        <w:t>feeding dose</w:t>
      </w:r>
      <w:r w:rsidR="00045040">
        <w:t xml:space="preserve"> of</w:t>
      </w:r>
      <w:r w:rsidR="006244FD">
        <w:t xml:space="preserve"> 2.5 ppm </w:t>
      </w:r>
      <w:proofErr w:type="gramStart"/>
      <w:r w:rsidR="00957B1E">
        <w:t>was reported</w:t>
      </w:r>
      <w:proofErr w:type="gramEnd"/>
      <w:r w:rsidR="00957B1E">
        <w:t xml:space="preserve"> to be equivalent to an </w:t>
      </w:r>
      <w:r w:rsidR="00EA3A09">
        <w:t>eight</w:t>
      </w:r>
      <w:r w:rsidR="000F5945">
        <w:t>-</w:t>
      </w:r>
      <w:r w:rsidR="00957B1E">
        <w:t xml:space="preserve">hour </w:t>
      </w:r>
      <w:r w:rsidR="006A34C2">
        <w:t xml:space="preserve">inhalation concentration </w:t>
      </w:r>
      <w:r w:rsidR="00957B1E">
        <w:t>of 1.4 mg/m</w:t>
      </w:r>
      <w:r w:rsidR="00957B1E">
        <w:rPr>
          <w:vertAlign w:val="superscript"/>
        </w:rPr>
        <w:t>3</w:t>
      </w:r>
      <w:r w:rsidR="00957B1E">
        <w:t xml:space="preserve"> (ACGIH, 2018).</w:t>
      </w:r>
      <w:r w:rsidR="00FE37E7">
        <w:t xml:space="preserve"> </w:t>
      </w:r>
      <w:r w:rsidR="00957B1E">
        <w:t xml:space="preserve">The US EPA (1988) </w:t>
      </w:r>
      <w:r w:rsidR="00364431">
        <w:t xml:space="preserve">reported </w:t>
      </w:r>
      <w:r w:rsidR="000A56B8">
        <w:t xml:space="preserve">a NOAEL of </w:t>
      </w:r>
      <w:r w:rsidR="00957B1E">
        <w:t>0.</w:t>
      </w:r>
      <w:r w:rsidR="00D535EC">
        <w:t>005 </w:t>
      </w:r>
      <w:r w:rsidR="00957B1E">
        <w:t>mg/kg</w:t>
      </w:r>
      <w:r w:rsidR="00D535EC">
        <w:t>/day</w:t>
      </w:r>
      <w:r w:rsidR="00957B1E">
        <w:t xml:space="preserve"> in rats for liver </w:t>
      </w:r>
      <w:r w:rsidR="00957B1E" w:rsidRPr="00E302BD">
        <w:rPr>
          <w:szCs w:val="20"/>
        </w:rPr>
        <w:t xml:space="preserve">lesions. </w:t>
      </w:r>
      <w:r w:rsidR="000C2967">
        <w:rPr>
          <w:szCs w:val="20"/>
        </w:rPr>
        <w:t>A</w:t>
      </w:r>
      <w:r w:rsidR="00333501" w:rsidRPr="00E302BD">
        <w:rPr>
          <w:szCs w:val="20"/>
        </w:rPr>
        <w:t xml:space="preserve"> </w:t>
      </w:r>
      <w:r w:rsidR="006244FD" w:rsidRPr="00E302BD">
        <w:rPr>
          <w:szCs w:val="20"/>
        </w:rPr>
        <w:t xml:space="preserve">TWA of </w:t>
      </w:r>
      <w:r w:rsidR="008C4AFE" w:rsidRPr="00E302BD">
        <w:rPr>
          <w:szCs w:val="20"/>
        </w:rPr>
        <w:t>0.</w:t>
      </w:r>
      <w:r w:rsidR="006244FD" w:rsidRPr="00E302BD">
        <w:rPr>
          <w:szCs w:val="20"/>
        </w:rPr>
        <w:t xml:space="preserve">1 </w:t>
      </w:r>
      <w:r w:rsidR="006244FD" w:rsidRPr="00E302BD">
        <w:rPr>
          <w:rFonts w:cs="Arial"/>
          <w:szCs w:val="20"/>
        </w:rPr>
        <w:t>mg/m</w:t>
      </w:r>
      <w:r w:rsidR="006244FD" w:rsidRPr="00E302BD">
        <w:rPr>
          <w:rFonts w:cs="Arial"/>
          <w:szCs w:val="20"/>
          <w:vertAlign w:val="superscript"/>
        </w:rPr>
        <w:t>3</w:t>
      </w:r>
      <w:r w:rsidR="006244FD" w:rsidRPr="00E302BD">
        <w:rPr>
          <w:szCs w:val="20"/>
        </w:rPr>
        <w:t xml:space="preserve"> </w:t>
      </w:r>
      <w:proofErr w:type="gramStart"/>
      <w:r w:rsidR="000C2967">
        <w:t>is recommended</w:t>
      </w:r>
      <w:proofErr w:type="gramEnd"/>
      <w:r w:rsidR="000C2967">
        <w:t xml:space="preserve"> as assigned by the </w:t>
      </w:r>
      <w:r w:rsidR="006244FD" w:rsidRPr="00E302BD">
        <w:rPr>
          <w:szCs w:val="20"/>
        </w:rPr>
        <w:t xml:space="preserve">ACGIH (2018). This TWA is </w:t>
      </w:r>
      <w:r w:rsidR="000F5945">
        <w:rPr>
          <w:szCs w:val="20"/>
        </w:rPr>
        <w:t>considered</w:t>
      </w:r>
      <w:r w:rsidR="000C2967" w:rsidRPr="00E302BD">
        <w:rPr>
          <w:szCs w:val="20"/>
        </w:rPr>
        <w:t xml:space="preserve"> </w:t>
      </w:r>
      <w:proofErr w:type="gramStart"/>
      <w:r w:rsidR="006244FD" w:rsidRPr="00E302BD">
        <w:rPr>
          <w:szCs w:val="20"/>
        </w:rPr>
        <w:t>to be protective</w:t>
      </w:r>
      <w:proofErr w:type="gramEnd"/>
      <w:r w:rsidR="006244FD" w:rsidRPr="00E302BD">
        <w:rPr>
          <w:szCs w:val="20"/>
        </w:rPr>
        <w:t xml:space="preserve"> of </w:t>
      </w:r>
      <w:r w:rsidR="008C4AFE" w:rsidRPr="00E302BD">
        <w:rPr>
          <w:szCs w:val="20"/>
        </w:rPr>
        <w:t xml:space="preserve">adverse </w:t>
      </w:r>
      <w:r w:rsidR="006244FD" w:rsidRPr="00E302BD">
        <w:rPr>
          <w:szCs w:val="20"/>
        </w:rPr>
        <w:t xml:space="preserve">liver </w:t>
      </w:r>
      <w:r w:rsidR="008C4AFE" w:rsidRPr="00E302BD">
        <w:rPr>
          <w:szCs w:val="20"/>
        </w:rPr>
        <w:t>and developmental effects</w:t>
      </w:r>
      <w:r w:rsidR="006244FD" w:rsidRPr="00E302BD">
        <w:rPr>
          <w:szCs w:val="20"/>
        </w:rPr>
        <w:t xml:space="preserve"> reported in animals.</w:t>
      </w:r>
    </w:p>
    <w:p w14:paraId="0FEFC9D5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7D1EB9E1" w14:textId="77777777" w:rsidR="00957B1E" w:rsidRPr="00957B1E" w:rsidRDefault="00957B1E" w:rsidP="00957B1E">
      <w:pPr>
        <w:rPr>
          <w:rFonts w:cs="Arial"/>
        </w:rPr>
      </w:pPr>
      <w:r w:rsidRPr="00957B1E">
        <w:rPr>
          <w:rFonts w:cs="Arial"/>
        </w:rPr>
        <w:t xml:space="preserve">Classified as a category </w:t>
      </w:r>
      <w:r>
        <w:rPr>
          <w:rFonts w:cs="Arial"/>
        </w:rPr>
        <w:t xml:space="preserve">2 </w:t>
      </w:r>
      <w:r w:rsidRPr="00957B1E">
        <w:rPr>
          <w:rFonts w:cs="Arial"/>
        </w:rPr>
        <w:t xml:space="preserve">carcinogen according to the Globally Harmonized System of Classification and Labelling of Chemicals (GHS). </w:t>
      </w:r>
    </w:p>
    <w:p w14:paraId="1ECDF436" w14:textId="77777777" w:rsidR="004529F0" w:rsidRPr="004C23F4" w:rsidRDefault="00957B1E" w:rsidP="00957B1E">
      <w:pPr>
        <w:rPr>
          <w:rFonts w:cs="Arial"/>
        </w:rPr>
      </w:pPr>
      <w:r w:rsidRPr="00957B1E">
        <w:rPr>
          <w:rFonts w:cs="Arial"/>
        </w:rPr>
        <w:t xml:space="preserve">Not classified as a skin </w:t>
      </w:r>
      <w:r w:rsidR="00A3166D" w:rsidRPr="00957B1E">
        <w:rPr>
          <w:rFonts w:cs="Arial"/>
        </w:rPr>
        <w:t xml:space="preserve">sensitiser </w:t>
      </w:r>
      <w:r w:rsidRPr="00957B1E">
        <w:rPr>
          <w:rFonts w:cs="Arial"/>
        </w:rPr>
        <w:t>or respiratory sensitiser according to the GHS</w:t>
      </w:r>
      <w:r w:rsidR="00EA3A09">
        <w:rPr>
          <w:rFonts w:cs="Arial"/>
        </w:rPr>
        <w:t>.</w:t>
      </w:r>
    </w:p>
    <w:p w14:paraId="5E1E7EAD" w14:textId="77777777" w:rsidR="0025734A" w:rsidRPr="004C23F4" w:rsidRDefault="00957B1E">
      <w:pPr>
        <w:rPr>
          <w:rFonts w:cs="Arial"/>
        </w:rPr>
      </w:pPr>
      <w:r>
        <w:rPr>
          <w:rFonts w:cs="Arial"/>
        </w:rPr>
        <w:t xml:space="preserve">A skin notation </w:t>
      </w:r>
      <w:proofErr w:type="gramStart"/>
      <w:r>
        <w:rPr>
          <w:rFonts w:cs="Arial"/>
        </w:rPr>
        <w:t>is recommended</w:t>
      </w:r>
      <w:proofErr w:type="gramEnd"/>
      <w:r>
        <w:rPr>
          <w:rFonts w:cs="Arial"/>
        </w:rPr>
        <w:t xml:space="preserve"> based on dermal absorption evidence and systemic effects in animals.</w:t>
      </w:r>
    </w:p>
    <w:p w14:paraId="52EEA27D" w14:textId="7777777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27DC87FA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5259513E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4684CAC3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478EA60B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57743261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F6381B7" w14:textId="77777777" w:rsidR="00DE26E8" w:rsidRPr="00245726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245726" w:rsidRPr="00245726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245726" w:rsidRPr="00245726">
                  <w:t>TWA:</w:t>
                </w:r>
                <w:r w:rsidR="00245726">
                  <w:t xml:space="preserve"> </w:t>
                </w:r>
              </w:sdtContent>
            </w:sdt>
            <w:r w:rsidR="00245726" w:rsidRPr="00245726">
              <w:t>0.25 mg/m</w:t>
            </w:r>
            <w:r w:rsidR="00245726" w:rsidRPr="00245726">
              <w:rPr>
                <w:vertAlign w:val="superscript"/>
              </w:rPr>
              <w:t>3</w:t>
            </w:r>
            <w:r w:rsidR="00FE37E7">
              <w:rPr>
                <w:vertAlign w:val="superscript"/>
              </w:rPr>
              <w:t xml:space="preserve"> </w:t>
            </w:r>
          </w:p>
        </w:tc>
      </w:tr>
      <w:tr w:rsidR="00C978F0" w:rsidRPr="00DA352E" w14:paraId="478EF648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1FBD9878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37E43BD0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528AF4F5" w14:textId="7777777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C17C9A">
                  <w:t>2010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C17C9A">
                  <w:t>TLV-TWA: 0.1 mg/m</w:t>
                </w:r>
                <w:r w:rsidR="00C17C9A" w:rsidRPr="00C17C9A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3B6370F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9D7681D" w14:textId="77777777" w:rsidR="00C978F0" w:rsidRDefault="008A6849" w:rsidP="003365A5">
            <w:pPr>
              <w:pStyle w:val="Tabletextprimarysource"/>
            </w:pPr>
            <w:r>
              <w:t xml:space="preserve">TLV-TWA recommended </w:t>
            </w:r>
            <w:proofErr w:type="gramStart"/>
            <w:r>
              <w:t>to prevent</w:t>
            </w:r>
            <w:proofErr w:type="gramEnd"/>
            <w:r>
              <w:t xml:space="preserve"> liver damage, reproductive effects and </w:t>
            </w:r>
            <w:r w:rsidR="00E302BD">
              <w:t>CNS</w:t>
            </w:r>
            <w:r>
              <w:t xml:space="preserve"> impairment.</w:t>
            </w:r>
          </w:p>
          <w:p w14:paraId="67C1FA4C" w14:textId="77777777" w:rsidR="008A6849" w:rsidRDefault="009D62D5" w:rsidP="008A6849">
            <w:pPr>
              <w:pStyle w:val="Tabletextprimarysource"/>
            </w:pPr>
            <w:r>
              <w:t>Summary of data:</w:t>
            </w:r>
          </w:p>
          <w:p w14:paraId="17AC26AE" w14:textId="77777777" w:rsidR="006D4578" w:rsidRDefault="006D4578" w:rsidP="008A6849">
            <w:pPr>
              <w:pStyle w:val="Tabletextprimarysource"/>
            </w:pPr>
            <w:r>
              <w:t>Human data:</w:t>
            </w:r>
          </w:p>
          <w:p w14:paraId="4254985C" w14:textId="77777777" w:rsidR="006D4578" w:rsidRDefault="006D4578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 studies with exposure </w:t>
            </w:r>
            <w:r w:rsidR="006244FD">
              <w:t>data reported</w:t>
            </w:r>
          </w:p>
          <w:p w14:paraId="4265CF46" w14:textId="1D68B36F" w:rsidR="006D4578" w:rsidRDefault="006D4578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>Acute exposure symptoms reported as hyperirritability, convulsions and coma, possible nausea, vomiting and headache</w:t>
            </w:r>
          </w:p>
          <w:p w14:paraId="56CD7FB4" w14:textId="54B87560" w:rsidR="006D4578" w:rsidRDefault="006D4578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Chronic exposure effects reported as fainting, muscle spasms, tremors and loss of weight</w:t>
            </w:r>
          </w:p>
          <w:p w14:paraId="24A8FCFA" w14:textId="77777777" w:rsidR="006D4578" w:rsidRDefault="006D4578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 </w:t>
            </w:r>
            <w:r w:rsidR="00AF64EE">
              <w:t xml:space="preserve">clear evidence of an </w:t>
            </w:r>
            <w:r>
              <w:t>association between</w:t>
            </w:r>
            <w:r w:rsidR="00AF64EE">
              <w:t xml:space="preserve"> exposure and the incidence of cancer in agricultural workers</w:t>
            </w:r>
            <w:r w:rsidR="00A3166D">
              <w:t>.</w:t>
            </w:r>
          </w:p>
          <w:p w14:paraId="01FDBB78" w14:textId="77777777" w:rsidR="006D4578" w:rsidRDefault="006D4578" w:rsidP="006D4578">
            <w:pPr>
              <w:pStyle w:val="Tabletextprimarysource"/>
            </w:pPr>
            <w:r>
              <w:t>Animal data:</w:t>
            </w:r>
          </w:p>
          <w:p w14:paraId="7E0DAA5B" w14:textId="40A03903" w:rsidR="00ED23EB" w:rsidRDefault="00ED23EB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>2.5 ppm is the lowest dietary level found to produce minimal changes in rat livers</w:t>
            </w:r>
            <w:r w:rsidR="008D7395">
              <w:t xml:space="preserve"> (8 </w:t>
            </w:r>
            <w:proofErr w:type="spellStart"/>
            <w:r w:rsidR="008D7395">
              <w:t>mo</w:t>
            </w:r>
            <w:proofErr w:type="spellEnd"/>
            <w:r w:rsidR="008D7395">
              <w:t xml:space="preserve"> and 2 </w:t>
            </w:r>
            <w:proofErr w:type="spellStart"/>
            <w:r w:rsidR="008D7395">
              <w:t>yr</w:t>
            </w:r>
            <w:proofErr w:type="spellEnd"/>
            <w:r w:rsidR="008D7395">
              <w:t xml:space="preserve"> feeding studies)</w:t>
            </w:r>
            <w:r w:rsidR="004E27EB">
              <w:t xml:space="preserve"> (no further information)</w:t>
            </w:r>
          </w:p>
          <w:p w14:paraId="6D4D5500" w14:textId="7F436EF7" w:rsidR="00ED23EB" w:rsidRDefault="008D7395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2.5 ppm fed to rats reduced the number of pregnancies, </w:t>
            </w:r>
            <w:r w:rsidR="004E27EB">
              <w:t xml:space="preserve">reduced </w:t>
            </w:r>
            <w:r>
              <w:t>the numbers of young per litter and slightly reduced the survival times of the litters</w:t>
            </w:r>
            <w:r w:rsidR="004E27EB">
              <w:t xml:space="preserve"> (no further information)</w:t>
            </w:r>
          </w:p>
          <w:p w14:paraId="4AC2E027" w14:textId="5904F61C" w:rsidR="00C1393D" w:rsidRDefault="00C1393D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>Dermal LD</w:t>
            </w:r>
            <w:r w:rsidRPr="006D4578">
              <w:rPr>
                <w:vertAlign w:val="subscript"/>
              </w:rPr>
              <w:t>50</w:t>
            </w:r>
            <w:r>
              <w:t>: 60 mg/kg (male rat) and 90 mg/kg (female rats); 250</w:t>
            </w:r>
            <w:r w:rsidR="002344EF">
              <w:t>–</w:t>
            </w:r>
            <w:r>
              <w:t>350 mg/kg in rabbits</w:t>
            </w:r>
          </w:p>
          <w:p w14:paraId="311E1B73" w14:textId="20D1A757" w:rsidR="00C1393D" w:rsidRDefault="00C1393D" w:rsidP="00DE1FB4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Studies in </w:t>
            </w:r>
            <w:r w:rsidR="006244FD">
              <w:t>animals and humans</w:t>
            </w:r>
            <w:r>
              <w:t xml:space="preserve"> show that </w:t>
            </w:r>
            <w:proofErr w:type="spellStart"/>
            <w:r>
              <w:t>dieldrin</w:t>
            </w:r>
            <w:proofErr w:type="spellEnd"/>
            <w:r>
              <w:t xml:space="preserve"> is absorbed through intact skin</w:t>
            </w:r>
            <w:r w:rsidR="003B1771">
              <w:t>.</w:t>
            </w:r>
          </w:p>
          <w:p w14:paraId="587CB2C7" w14:textId="77777777" w:rsidR="0065437F" w:rsidRDefault="0065437F" w:rsidP="00432A1C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6B0FD81A" w14:textId="1FB24614" w:rsidR="007F38D6" w:rsidRDefault="0065437F" w:rsidP="00942A98">
            <w:pPr>
              <w:pStyle w:val="Tabletextprimarysource"/>
            </w:pPr>
            <w:r>
              <w:t xml:space="preserve">TWA </w:t>
            </w:r>
            <w:r w:rsidR="000C2967">
              <w:t>of 0.1</w:t>
            </w:r>
            <w:r>
              <w:t xml:space="preserve"> mg/m</w:t>
            </w:r>
            <w:r>
              <w:rPr>
                <w:vertAlign w:val="superscript"/>
              </w:rPr>
              <w:t>3</w:t>
            </w:r>
            <w:r>
              <w:t xml:space="preserve"> justified by following explanation: </w:t>
            </w:r>
            <w:proofErr w:type="gramStart"/>
            <w:r w:rsidR="007F38D6">
              <w:t>2.5 ppm</w:t>
            </w:r>
            <w:proofErr w:type="gramEnd"/>
            <w:r w:rsidR="007F38D6">
              <w:t xml:space="preserve"> </w:t>
            </w:r>
            <w:r w:rsidR="00942A98">
              <w:rPr>
                <w:rFonts w:cs="Arial"/>
              </w:rPr>
              <w:t>≡</w:t>
            </w:r>
            <w:r w:rsidR="007F38D6">
              <w:t xml:space="preserve"> </w:t>
            </w:r>
            <w:r>
              <w:t>1.4</w:t>
            </w:r>
            <w:r w:rsidR="007F38D6">
              <w:t xml:space="preserve"> mg/m</w:t>
            </w:r>
            <w:r w:rsidR="007F38D6">
              <w:rPr>
                <w:vertAlign w:val="superscript"/>
              </w:rPr>
              <w:t>3</w:t>
            </w:r>
            <w:r w:rsidR="007F38D6">
              <w:t>; assuming 100%, 70 kg worker and 10 m</w:t>
            </w:r>
            <w:r w:rsidR="007F38D6">
              <w:rPr>
                <w:vertAlign w:val="superscript"/>
              </w:rPr>
              <w:t>3</w:t>
            </w:r>
            <w:r w:rsidR="007F38D6">
              <w:t xml:space="preserve"> of air breathed per 8</w:t>
            </w:r>
            <w:r w:rsidR="00EA3A09">
              <w:t xml:space="preserve"> </w:t>
            </w:r>
            <w:r w:rsidR="007F38D6">
              <w:t>h shift</w:t>
            </w:r>
            <w:r w:rsidR="00EA3A09">
              <w:t>.</w:t>
            </w:r>
          </w:p>
          <w:p w14:paraId="59E248AB" w14:textId="77777777" w:rsidR="00432FC9" w:rsidRDefault="00432FC9" w:rsidP="006338C6">
            <w:pPr>
              <w:pStyle w:val="Tabletextprimarysource"/>
            </w:pPr>
            <w:r>
              <w:t>No evidence of mutagenicity</w:t>
            </w:r>
            <w:r w:rsidR="00EA3A09">
              <w:t>.</w:t>
            </w:r>
          </w:p>
          <w:p w14:paraId="590A9F43" w14:textId="77777777" w:rsidR="006338C6" w:rsidRDefault="006338C6" w:rsidP="006338C6">
            <w:pPr>
              <w:pStyle w:val="Tabletextprimarysource"/>
            </w:pPr>
            <w:r>
              <w:t>Insufficient data to recommend a SEN notation or TLV-STEL.</w:t>
            </w:r>
          </w:p>
          <w:p w14:paraId="078CB0B3" w14:textId="77777777" w:rsidR="0037782B" w:rsidRPr="00DA352E" w:rsidRDefault="0037782B" w:rsidP="006338C6">
            <w:pPr>
              <w:pStyle w:val="Tabletextprimarysource"/>
            </w:pPr>
          </w:p>
        </w:tc>
      </w:tr>
      <w:tr w:rsidR="00C978F0" w:rsidRPr="00DA352E" w14:paraId="744E393F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70F14E1A" w14:textId="7777777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C17C9A">
                  <w:t>1966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C17C9A">
                  <w:t>MAK: 0.25 mg/m</w:t>
                </w:r>
                <w:r w:rsidR="00C17C9A" w:rsidRPr="003C3EDD">
                  <w:rPr>
                    <w:vertAlign w:val="superscript"/>
                  </w:rPr>
                  <w:t xml:space="preserve">3 </w:t>
                </w:r>
              </w:sdtContent>
            </w:sdt>
          </w:p>
        </w:tc>
      </w:tr>
      <w:tr w:rsidR="00C978F0" w:rsidRPr="00DA352E" w14:paraId="036D7962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7F72530" w14:textId="77777777" w:rsidR="00C978F0" w:rsidRDefault="006338C6" w:rsidP="003365A5">
            <w:pPr>
              <w:pStyle w:val="Tabletextprimarysource"/>
            </w:pPr>
            <w:r>
              <w:t xml:space="preserve">MAK based on oral toxicity in animals and experimental comparison with DDT and </w:t>
            </w:r>
            <w:proofErr w:type="spellStart"/>
            <w:r>
              <w:t>lindane</w:t>
            </w:r>
            <w:proofErr w:type="spellEnd"/>
            <w:r w:rsidR="00EA3A09">
              <w:t>.</w:t>
            </w:r>
          </w:p>
          <w:p w14:paraId="5F5A93A7" w14:textId="3A4719DD" w:rsidR="00323CE2" w:rsidRDefault="00757FBF" w:rsidP="003365A5">
            <w:pPr>
              <w:pStyle w:val="Tabletextprimarysource"/>
            </w:pPr>
            <w:r>
              <w:t>Summary of additional data:</w:t>
            </w:r>
          </w:p>
          <w:p w14:paraId="0D84E5A1" w14:textId="35A8E0FA" w:rsidR="00757FBF" w:rsidRDefault="00757FBF" w:rsidP="00432A1C">
            <w:pPr>
              <w:pStyle w:val="ListBullet"/>
              <w:spacing w:before="60" w:after="60"/>
              <w:ind w:left="1077" w:hanging="357"/>
              <w:contextualSpacing w:val="0"/>
            </w:pPr>
            <w:r>
              <w:t xml:space="preserve">Multi-generational feeding study in rats; </w:t>
            </w:r>
            <w:r>
              <w:rPr>
                <w:rFonts w:cs="Arial"/>
                <w:color w:val="1C1D1E"/>
                <w:shd w:val="clear" w:color="auto" w:fill="FFFFFF"/>
              </w:rPr>
              <w:t xml:space="preserve">2.5, 12.5 and 25 ppm daily; decrease in number of pregnancies for the duration of the feeding; decrease mortality </w:t>
            </w:r>
            <w:r w:rsidR="0065437F">
              <w:rPr>
                <w:rFonts w:cs="Arial"/>
                <w:color w:val="1C1D1E"/>
                <w:shd w:val="clear" w:color="auto" w:fill="FFFFFF"/>
              </w:rPr>
              <w:t>in</w:t>
            </w:r>
            <w:r>
              <w:rPr>
                <w:rFonts w:cs="Arial"/>
                <w:color w:val="1C1D1E"/>
                <w:shd w:val="clear" w:color="auto" w:fill="FFFFFF"/>
              </w:rPr>
              <w:t xml:space="preserve"> newborns; no further information</w:t>
            </w:r>
            <w:r>
              <w:t xml:space="preserve"> (cited by ACGIH, 2018).</w:t>
            </w:r>
          </w:p>
          <w:p w14:paraId="30DF5931" w14:textId="77777777" w:rsidR="0037782B" w:rsidRPr="00DA352E" w:rsidRDefault="0037782B" w:rsidP="003365A5">
            <w:pPr>
              <w:pStyle w:val="Tabletextprimarysource"/>
            </w:pPr>
          </w:p>
        </w:tc>
      </w:tr>
      <w:tr w:rsidR="00C978F0" w:rsidRPr="00DA352E" w14:paraId="4CE720FE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9D64A25" w14:textId="7777777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0505F1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0505F1">
                  <w:t>NA</w:t>
                </w:r>
                <w:proofErr w:type="spellEnd"/>
              </w:sdtContent>
            </w:sdt>
          </w:p>
        </w:tc>
      </w:tr>
      <w:tr w:rsidR="00C978F0" w:rsidRPr="00DA352E" w14:paraId="6F364E4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9E988EA" w14:textId="77777777" w:rsidR="00C978F0" w:rsidRPr="00DA352E" w:rsidRDefault="00EC274E" w:rsidP="003365A5">
            <w:pPr>
              <w:pStyle w:val="Tabletextprimarysource"/>
            </w:pPr>
            <w:r w:rsidRPr="000505F1">
              <w:t>No report</w:t>
            </w:r>
            <w:r w:rsidR="00A3166D">
              <w:t>.</w:t>
            </w:r>
          </w:p>
        </w:tc>
      </w:tr>
      <w:tr w:rsidR="00DA352E" w:rsidRPr="00DA352E" w14:paraId="08C59300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165C865" w14:textId="77777777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452C54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EC274E">
                  <w:t>NA</w:t>
                </w:r>
                <w:proofErr w:type="spellEnd"/>
              </w:sdtContent>
            </w:sdt>
          </w:p>
        </w:tc>
      </w:tr>
      <w:tr w:rsidR="00DA352E" w:rsidRPr="00DA352E" w14:paraId="4096593D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1EA52558" w14:textId="77777777" w:rsidR="00DA352E" w:rsidRPr="00DA352E" w:rsidRDefault="00EC274E" w:rsidP="003365A5">
            <w:pPr>
              <w:pStyle w:val="Tabletextprimarysource"/>
            </w:pPr>
            <w:r w:rsidRPr="000505F1">
              <w:t>No report</w:t>
            </w:r>
            <w:r w:rsidR="00A3166D">
              <w:t>.</w:t>
            </w:r>
          </w:p>
        </w:tc>
      </w:tr>
      <w:tr w:rsidR="00DA352E" w:rsidRPr="00DA352E" w14:paraId="54DD7D62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2EA62CF" w14:textId="77777777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EC274E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EC274E">
                  <w:t>NA</w:t>
                </w:r>
                <w:proofErr w:type="spellEnd"/>
              </w:sdtContent>
            </w:sdt>
          </w:p>
        </w:tc>
      </w:tr>
      <w:tr w:rsidR="00DA352E" w:rsidRPr="00DA352E" w14:paraId="767EF561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01FFECE" w14:textId="77777777" w:rsidR="00DA352E" w:rsidRPr="00DA352E" w:rsidRDefault="00EC274E" w:rsidP="003365A5">
            <w:pPr>
              <w:pStyle w:val="Tabletextprimarysource"/>
            </w:pPr>
            <w:r w:rsidRPr="000505F1">
              <w:t>No report</w:t>
            </w:r>
            <w:r w:rsidR="00A3166D">
              <w:t>.</w:t>
            </w:r>
          </w:p>
        </w:tc>
      </w:tr>
    </w:tbl>
    <w:p w14:paraId="7F98948D" w14:textId="77777777" w:rsidR="00A20751" w:rsidRPr="004C23F4" w:rsidRDefault="00A20751" w:rsidP="003365A5">
      <w:pPr>
        <w:pStyle w:val="Heading3"/>
      </w:pPr>
      <w:bookmarkStart w:id="1" w:name="SecondSource"/>
      <w:r w:rsidRPr="004C23F4">
        <w:lastRenderedPageBreak/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5"/>
        <w:gridCol w:w="423"/>
        <w:gridCol w:w="661"/>
        <w:gridCol w:w="6447"/>
      </w:tblGrid>
      <w:tr w:rsidR="004966BF" w:rsidRPr="00263255" w14:paraId="0B8862EF" w14:textId="77777777" w:rsidTr="00AF64EE">
        <w:trPr>
          <w:cantSplit/>
          <w:trHeight w:val="393"/>
          <w:tblHeader/>
        </w:trPr>
        <w:tc>
          <w:tcPr>
            <w:tcW w:w="1496" w:type="dxa"/>
            <w:shd w:val="clear" w:color="auto" w:fill="BFBFBF" w:themeFill="background1" w:themeFillShade="BF"/>
            <w:vAlign w:val="center"/>
          </w:tcPr>
          <w:p w14:paraId="1B87F16B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94543A7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50" w:type="dxa"/>
            <w:shd w:val="clear" w:color="auto" w:fill="BFBFBF" w:themeFill="background1" w:themeFillShade="BF"/>
            <w:vAlign w:val="center"/>
          </w:tcPr>
          <w:p w14:paraId="014136D6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57" w:type="dxa"/>
            <w:shd w:val="clear" w:color="auto" w:fill="BFBFBF" w:themeFill="background1" w:themeFillShade="BF"/>
            <w:vAlign w:val="center"/>
          </w:tcPr>
          <w:p w14:paraId="3DE16910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79FE7C37" w14:textId="77777777" w:rsidTr="00AF64EE">
        <w:trPr>
          <w:cantSplit/>
        </w:trPr>
        <w:tc>
          <w:tcPr>
            <w:tcW w:w="1496" w:type="dxa"/>
          </w:tcPr>
          <w:p w14:paraId="0A481AC8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3" w:type="dxa"/>
          </w:tcPr>
          <w:p w14:paraId="0B3827BA" w14:textId="77777777" w:rsidR="004966BF" w:rsidRPr="00CE617F" w:rsidRDefault="00F55335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323CE2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50" w:type="dxa"/>
          </w:tcPr>
          <w:p w14:paraId="0458BF79" w14:textId="77777777" w:rsidR="004966BF" w:rsidRPr="00A3166D" w:rsidRDefault="00A3166D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 w:rsidRPr="00A3166D">
              <w:rPr>
                <w:rStyle w:val="checkbox"/>
                <w:rFonts w:ascii="Arial" w:hAnsi="Arial" w:cs="Arial"/>
              </w:rPr>
              <w:t>N.D.</w:t>
            </w:r>
          </w:p>
        </w:tc>
        <w:tc>
          <w:tcPr>
            <w:tcW w:w="6457" w:type="dxa"/>
          </w:tcPr>
          <w:p w14:paraId="5BB64193" w14:textId="77777777" w:rsidR="004966BF" w:rsidRPr="004C23F4" w:rsidRDefault="00432FC9" w:rsidP="00333501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Fonts w:cs="Arial"/>
                <w:color w:val="262626"/>
              </w:rPr>
              <w:t xml:space="preserve">Not considered to pose an unreasonable risk to the health of workers and public health </w:t>
            </w:r>
            <w:proofErr w:type="gramStart"/>
            <w:r>
              <w:rPr>
                <w:rFonts w:cs="Arial"/>
                <w:color w:val="262626"/>
              </w:rPr>
              <w:t>on the basis of</w:t>
            </w:r>
            <w:proofErr w:type="gramEnd"/>
            <w:r>
              <w:rPr>
                <w:rFonts w:cs="Arial"/>
                <w:color w:val="262626"/>
              </w:rPr>
              <w:t xml:space="preserve"> the Tier I IMAP assessment</w:t>
            </w:r>
            <w:r w:rsidR="00EA3A09">
              <w:rPr>
                <w:rFonts w:cs="Arial"/>
                <w:color w:val="262626"/>
              </w:rPr>
              <w:t>.</w:t>
            </w:r>
          </w:p>
        </w:tc>
      </w:tr>
      <w:tr w:rsidR="004966BF" w:rsidRPr="004C23F4" w14:paraId="4F84B079" w14:textId="77777777" w:rsidTr="00AF64EE">
        <w:trPr>
          <w:cantSplit/>
        </w:trPr>
        <w:tc>
          <w:tcPr>
            <w:tcW w:w="1496" w:type="dxa"/>
          </w:tcPr>
          <w:p w14:paraId="32F045B0" w14:textId="77777777" w:rsidR="004966BF" w:rsidRPr="004C23F4" w:rsidRDefault="004966BF" w:rsidP="00224EE2">
            <w:pPr>
              <w:pStyle w:val="Tablefont"/>
            </w:pPr>
            <w:r>
              <w:t>US EPA</w:t>
            </w:r>
          </w:p>
        </w:tc>
        <w:tc>
          <w:tcPr>
            <w:tcW w:w="423" w:type="dxa"/>
          </w:tcPr>
          <w:p w14:paraId="46AE4695" w14:textId="77777777" w:rsidR="004966BF" w:rsidRPr="00CE617F" w:rsidRDefault="00F55335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226000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50" w:type="dxa"/>
          </w:tcPr>
          <w:p w14:paraId="26D68D35" w14:textId="77777777" w:rsidR="004966BF" w:rsidRPr="00A3166D" w:rsidRDefault="00A3166D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 w:rsidRPr="00A3166D">
              <w:rPr>
                <w:rStyle w:val="checkbox"/>
                <w:rFonts w:ascii="Arial" w:hAnsi="Arial" w:cs="Arial"/>
              </w:rPr>
              <w:t>1998</w:t>
            </w:r>
          </w:p>
        </w:tc>
        <w:tc>
          <w:tcPr>
            <w:tcW w:w="6457" w:type="dxa"/>
          </w:tcPr>
          <w:p w14:paraId="0FF4043F" w14:textId="63C238F5" w:rsidR="004966BF" w:rsidRDefault="00226000" w:rsidP="00333501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NOAEL of 0.1 ppm (0.005 mg/kg</w:t>
            </w:r>
            <w:r w:rsidR="0075215A">
              <w:rPr>
                <w:rStyle w:val="checkbox"/>
                <w:rFonts w:ascii="Arial" w:hAnsi="Arial" w:cs="Arial"/>
              </w:rPr>
              <w:t>/d</w:t>
            </w:r>
            <w:r>
              <w:rPr>
                <w:rStyle w:val="checkbox"/>
                <w:rFonts w:ascii="Arial" w:hAnsi="Arial" w:cs="Arial"/>
              </w:rPr>
              <w:t xml:space="preserve"> for liver lesions; (rat, 2</w:t>
            </w:r>
            <w:r w:rsidR="00EA3A09">
              <w:rPr>
                <w:rStyle w:val="checkbox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checkbox"/>
                <w:rFonts w:ascii="Arial" w:hAnsi="Arial" w:cs="Arial"/>
              </w:rPr>
              <w:t>yr</w:t>
            </w:r>
            <w:proofErr w:type="spellEnd"/>
            <w:r>
              <w:rPr>
                <w:rStyle w:val="checkbox"/>
                <w:rFonts w:ascii="Arial" w:hAnsi="Arial" w:cs="Arial"/>
              </w:rPr>
              <w:t xml:space="preserve"> feeding); LOAEL of 1.0 ppm (0.05 mg/kg</w:t>
            </w:r>
            <w:r w:rsidR="0075215A">
              <w:rPr>
                <w:rStyle w:val="checkbox"/>
                <w:rFonts w:ascii="Arial" w:hAnsi="Arial" w:cs="Arial"/>
              </w:rPr>
              <w:t>/d</w:t>
            </w:r>
            <w:r>
              <w:rPr>
                <w:rStyle w:val="checkbox"/>
                <w:rFonts w:ascii="Arial" w:hAnsi="Arial" w:cs="Arial"/>
              </w:rPr>
              <w:t>)</w:t>
            </w:r>
          </w:p>
          <w:p w14:paraId="1F539E22" w14:textId="48CABBC4" w:rsidR="00226000" w:rsidRDefault="00226000" w:rsidP="00333501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NOEL of 0.005 mg/kg</w:t>
            </w:r>
            <w:r w:rsidR="0075215A">
              <w:rPr>
                <w:rStyle w:val="checkbox"/>
                <w:rFonts w:ascii="Arial" w:hAnsi="Arial" w:cs="Arial"/>
              </w:rPr>
              <w:t>/d</w:t>
            </w:r>
            <w:r>
              <w:rPr>
                <w:rStyle w:val="checkbox"/>
                <w:rFonts w:ascii="Arial" w:hAnsi="Arial" w:cs="Arial"/>
              </w:rPr>
              <w:t xml:space="preserve"> for increased liver weight; (dog, 2</w:t>
            </w:r>
            <w:r w:rsidR="00EA3A09">
              <w:rPr>
                <w:rStyle w:val="checkbox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checkbox"/>
                <w:rFonts w:ascii="Arial" w:hAnsi="Arial" w:cs="Arial"/>
              </w:rPr>
              <w:t>yr</w:t>
            </w:r>
            <w:proofErr w:type="spellEnd"/>
            <w:r>
              <w:rPr>
                <w:rStyle w:val="checkbox"/>
                <w:rFonts w:ascii="Arial" w:hAnsi="Arial" w:cs="Arial"/>
              </w:rPr>
              <w:t xml:space="preserve"> feeding)</w:t>
            </w:r>
          </w:p>
          <w:p w14:paraId="65E64F7F" w14:textId="77777777" w:rsidR="00226000" w:rsidRPr="004C23F4" w:rsidRDefault="00226000" w:rsidP="00333501">
            <w:pPr>
              <w:pStyle w:val="ListBullet"/>
              <w:tabs>
                <w:tab w:val="clear" w:pos="360"/>
              </w:tabs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C</w:t>
            </w:r>
            <w:r w:rsidRPr="00226000">
              <w:rPr>
                <w:rStyle w:val="checkbox"/>
                <w:rFonts w:ascii="Arial" w:hAnsi="Arial" w:cs="Arial"/>
              </w:rPr>
              <w:t xml:space="preserve">arcinogenic in </w:t>
            </w:r>
            <w:proofErr w:type="gramStart"/>
            <w:r w:rsidR="00EA3A09">
              <w:rPr>
                <w:rStyle w:val="checkbox"/>
                <w:rFonts w:ascii="Arial" w:hAnsi="Arial" w:cs="Arial"/>
              </w:rPr>
              <w:t>7</w:t>
            </w:r>
            <w:proofErr w:type="gramEnd"/>
            <w:r w:rsidR="00EA3A09" w:rsidRPr="00226000">
              <w:rPr>
                <w:rStyle w:val="checkbox"/>
                <w:rFonts w:ascii="Arial" w:hAnsi="Arial" w:cs="Arial"/>
              </w:rPr>
              <w:t xml:space="preserve"> </w:t>
            </w:r>
            <w:r w:rsidRPr="00226000">
              <w:rPr>
                <w:rStyle w:val="checkbox"/>
                <w:rFonts w:ascii="Arial" w:hAnsi="Arial" w:cs="Arial"/>
              </w:rPr>
              <w:t>strains of mice when administered orally</w:t>
            </w:r>
            <w:r w:rsidR="00EA3A09">
              <w:rPr>
                <w:rStyle w:val="checkbox"/>
                <w:rFonts w:ascii="Arial" w:hAnsi="Arial" w:cs="Arial"/>
              </w:rPr>
              <w:t>.</w:t>
            </w:r>
          </w:p>
        </w:tc>
      </w:tr>
    </w:tbl>
    <w:bookmarkEnd w:id="1"/>
    <w:p w14:paraId="3072FD08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70574538" w14:textId="77777777" w:rsidTr="00432FC9">
        <w:trPr>
          <w:trHeight w:val="454"/>
          <w:tblHeader/>
        </w:trPr>
        <w:tc>
          <w:tcPr>
            <w:tcW w:w="6603" w:type="dxa"/>
            <w:vAlign w:val="center"/>
          </w:tcPr>
          <w:p w14:paraId="4661E509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349C6EE6" w14:textId="77777777" w:rsidR="002E0D61" w:rsidRDefault="00432FC9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6C455290" w14:textId="77777777" w:rsidTr="00432FC9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5F07631D" w14:textId="77777777" w:rsidR="008A36CF" w:rsidRPr="006901A2" w:rsidRDefault="00432FC9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39722D6C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3A7D3F58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158749DF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71F3F57F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371E03DF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56B72632" w14:textId="77777777" w:rsidTr="00812887">
        <w:trPr>
          <w:cantSplit/>
        </w:trPr>
        <w:tc>
          <w:tcPr>
            <w:tcW w:w="3227" w:type="dxa"/>
          </w:tcPr>
          <w:p w14:paraId="0229AAE9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138E5748" w14:textId="77777777" w:rsidR="00687890" w:rsidRPr="00DD2F9B" w:rsidRDefault="00EC274E" w:rsidP="00DD2F9B">
            <w:pPr>
              <w:pStyle w:val="Tablefont"/>
            </w:pPr>
            <w:proofErr w:type="spellStart"/>
            <w:r w:rsidRPr="00EC274E">
              <w:t>Carc</w:t>
            </w:r>
            <w:proofErr w:type="spellEnd"/>
            <w:r w:rsidRPr="00EC274E">
              <w:t>. 2</w:t>
            </w:r>
            <w:r>
              <w:t xml:space="preserve">, </w:t>
            </w:r>
            <w:r w:rsidR="00F86A9A" w:rsidRPr="00F86A9A">
              <w:t>Skin</w:t>
            </w:r>
          </w:p>
        </w:tc>
      </w:tr>
      <w:tr w:rsidR="007925F0" w:rsidRPr="004C23F4" w14:paraId="0BEAF7E7" w14:textId="77777777" w:rsidTr="00812887">
        <w:trPr>
          <w:cantSplit/>
        </w:trPr>
        <w:tc>
          <w:tcPr>
            <w:tcW w:w="3227" w:type="dxa"/>
          </w:tcPr>
          <w:p w14:paraId="4B41301E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1EDFD494" w14:textId="77777777" w:rsidR="007925F0" w:rsidRPr="00DD2F9B" w:rsidRDefault="00226D7E" w:rsidP="00DD2F9B">
            <w:pPr>
              <w:pStyle w:val="Tablefont"/>
            </w:pPr>
            <w:proofErr w:type="spellStart"/>
            <w:r>
              <w:t>Carc</w:t>
            </w:r>
            <w:proofErr w:type="spellEnd"/>
            <w:r>
              <w:t>. 2</w:t>
            </w:r>
          </w:p>
        </w:tc>
      </w:tr>
      <w:tr w:rsidR="00AF483F" w:rsidRPr="004C23F4" w14:paraId="2430284D" w14:textId="77777777" w:rsidTr="00812887">
        <w:trPr>
          <w:cantSplit/>
        </w:trPr>
        <w:tc>
          <w:tcPr>
            <w:tcW w:w="3227" w:type="dxa"/>
          </w:tcPr>
          <w:p w14:paraId="50350CFE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1E404F55" w14:textId="77777777" w:rsidR="00AF483F" w:rsidRPr="00DD2F9B" w:rsidRDefault="002F4014" w:rsidP="00DD2F9B">
            <w:pPr>
              <w:pStyle w:val="Tablefont"/>
            </w:pPr>
            <w:r w:rsidRPr="00EC274E">
              <w:t>—</w:t>
            </w:r>
          </w:p>
        </w:tc>
      </w:tr>
      <w:tr w:rsidR="00687890" w:rsidRPr="004C23F4" w14:paraId="686AB1C2" w14:textId="77777777" w:rsidTr="00812887">
        <w:trPr>
          <w:cantSplit/>
        </w:trPr>
        <w:tc>
          <w:tcPr>
            <w:tcW w:w="3227" w:type="dxa"/>
          </w:tcPr>
          <w:p w14:paraId="6686E331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5FC6CB1B" w14:textId="77777777" w:rsidR="00687890" w:rsidRPr="00DD2F9B" w:rsidRDefault="00EC274E" w:rsidP="00DD2F9B">
            <w:pPr>
              <w:pStyle w:val="Tablefont"/>
            </w:pPr>
            <w:r w:rsidRPr="00EC274E">
              <w:t>—</w:t>
            </w:r>
          </w:p>
        </w:tc>
      </w:tr>
      <w:tr w:rsidR="00E41A26" w:rsidRPr="004C23F4" w14:paraId="6EE0F653" w14:textId="77777777" w:rsidTr="00812887">
        <w:trPr>
          <w:cantSplit/>
        </w:trPr>
        <w:tc>
          <w:tcPr>
            <w:tcW w:w="3227" w:type="dxa"/>
          </w:tcPr>
          <w:p w14:paraId="60324F58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051AC414" w14:textId="77777777" w:rsidR="00E41A26" w:rsidRPr="00DD2F9B" w:rsidRDefault="00EC274E" w:rsidP="00DD2F9B">
            <w:pPr>
              <w:pStyle w:val="Tablefont"/>
            </w:pPr>
            <w:r w:rsidRPr="00EC274E">
              <w:t>—</w:t>
            </w:r>
          </w:p>
        </w:tc>
      </w:tr>
      <w:tr w:rsidR="002E0D61" w:rsidRPr="004C23F4" w14:paraId="7977173A" w14:textId="77777777" w:rsidTr="00812887">
        <w:trPr>
          <w:cantSplit/>
        </w:trPr>
        <w:tc>
          <w:tcPr>
            <w:tcW w:w="3227" w:type="dxa"/>
          </w:tcPr>
          <w:p w14:paraId="4756BDCC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65BC0776" w14:textId="77777777" w:rsidR="002E0D61" w:rsidRPr="00DD2F9B" w:rsidRDefault="00F86A9A" w:rsidP="00DD2F9B">
            <w:pPr>
              <w:pStyle w:val="Tablefont"/>
            </w:pPr>
            <w:r>
              <w:t xml:space="preserve">Carcinogenicity – </w:t>
            </w:r>
            <w:r w:rsidR="00765CCC">
              <w:t>A3</w:t>
            </w:r>
            <w:r w:rsidR="00A3166D">
              <w:t>, Skin</w:t>
            </w:r>
          </w:p>
        </w:tc>
      </w:tr>
      <w:tr w:rsidR="002E0D61" w:rsidRPr="004C23F4" w14:paraId="121A9F8A" w14:textId="77777777" w:rsidTr="00812887">
        <w:trPr>
          <w:cantSplit/>
        </w:trPr>
        <w:tc>
          <w:tcPr>
            <w:tcW w:w="3227" w:type="dxa"/>
          </w:tcPr>
          <w:p w14:paraId="68C2F258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19D817ED" w14:textId="77777777" w:rsidR="002E0D61" w:rsidRPr="00DD2F9B" w:rsidRDefault="00F86A9A" w:rsidP="00DD2F9B">
            <w:pPr>
              <w:pStyle w:val="Tablefont"/>
            </w:pPr>
            <w:r w:rsidRPr="00F86A9A">
              <w:t>H (skin)</w:t>
            </w:r>
          </w:p>
        </w:tc>
      </w:tr>
      <w:tr w:rsidR="002E0D61" w:rsidRPr="004C23F4" w14:paraId="60F0238C" w14:textId="77777777" w:rsidTr="00812887">
        <w:trPr>
          <w:cantSplit/>
        </w:trPr>
        <w:tc>
          <w:tcPr>
            <w:tcW w:w="3227" w:type="dxa"/>
          </w:tcPr>
          <w:p w14:paraId="22672CB4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6B2AB860" w14:textId="77777777" w:rsidR="002E0D61" w:rsidRPr="00DD2F9B" w:rsidRDefault="00765CCC" w:rsidP="00DD2F9B">
            <w:pPr>
              <w:pStyle w:val="Tablefont"/>
            </w:pPr>
            <w:r w:rsidRPr="00EC274E">
              <w:t>—</w:t>
            </w:r>
          </w:p>
        </w:tc>
      </w:tr>
      <w:tr w:rsidR="002E0D61" w:rsidRPr="004C23F4" w14:paraId="6D2E0D36" w14:textId="77777777" w:rsidTr="00812887">
        <w:trPr>
          <w:cantSplit/>
        </w:trPr>
        <w:tc>
          <w:tcPr>
            <w:tcW w:w="3227" w:type="dxa"/>
          </w:tcPr>
          <w:p w14:paraId="7790A89E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03A1B1C9" w14:textId="77777777" w:rsidR="002E0D61" w:rsidRPr="00DD2F9B" w:rsidRDefault="00765CCC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45A55F59" w14:textId="77777777" w:rsidTr="00812887">
        <w:trPr>
          <w:cantSplit/>
        </w:trPr>
        <w:tc>
          <w:tcPr>
            <w:tcW w:w="3227" w:type="dxa"/>
          </w:tcPr>
          <w:p w14:paraId="1ABDBC5E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7BF01D6A" w14:textId="77777777" w:rsidR="00386093" w:rsidRPr="00DD2F9B" w:rsidRDefault="009959AD" w:rsidP="00DD2F9B">
            <w:pPr>
              <w:pStyle w:val="Tablefont"/>
            </w:pPr>
            <w:r>
              <w:t>—</w:t>
            </w:r>
          </w:p>
        </w:tc>
      </w:tr>
      <w:tr w:rsidR="00386093" w:rsidRPr="004C23F4" w14:paraId="79EDA8A0" w14:textId="77777777" w:rsidTr="00812887">
        <w:trPr>
          <w:cantSplit/>
        </w:trPr>
        <w:tc>
          <w:tcPr>
            <w:tcW w:w="3227" w:type="dxa"/>
          </w:tcPr>
          <w:p w14:paraId="7447AC46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7CA8FC8D" w14:textId="77777777" w:rsidR="00386093" w:rsidRPr="00DD2F9B" w:rsidRDefault="00F86A9A" w:rsidP="00D87570">
            <w:pPr>
              <w:pStyle w:val="Tablefont"/>
              <w:keepNext/>
            </w:pPr>
            <w:r w:rsidRPr="00F86A9A">
              <w:t>SK:SYS</w:t>
            </w:r>
          </w:p>
        </w:tc>
      </w:tr>
    </w:tbl>
    <w:bookmarkEnd w:id="3"/>
    <w:p w14:paraId="2D6B089F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7E369765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31A2A251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F5B0384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19AD1A66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3585"/>
              <w:gridCol w:w="1057"/>
              <w:gridCol w:w="1057"/>
              <w:gridCol w:w="3111"/>
            </w:tblGrid>
            <w:tr w:rsidR="00432FC9" w:rsidRPr="00432FC9" w14:paraId="1DD9B502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739BC37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CF66C11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49C72BC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0EA76BA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432FC9" w:rsidRPr="00432FC9" w14:paraId="13257942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401D5BC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15715621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801F8BF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EB0792D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432FC9" w:rsidRPr="00432FC9" w14:paraId="172D6555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FA99E83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932D0A5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D7B279A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8AB1ABC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432FC9" w:rsidRPr="00432FC9" w14:paraId="453447E4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39528D9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C4CE4CC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CF24964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5F64EA8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432FC9" w:rsidRPr="00432FC9" w14:paraId="7534FE18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1B6CCE6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CDF4994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D168B2E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4E66170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432FC9" w:rsidRPr="00432FC9" w14:paraId="51CB4B38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D04DAF4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E507C6A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C1A3B5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FB22F3E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432FC9" w:rsidRPr="00432FC9" w14:paraId="5FC49817" w14:textId="77777777" w:rsidTr="00432FC9">
              <w:trPr>
                <w:trHeight w:val="348"/>
              </w:trPr>
              <w:tc>
                <w:tcPr>
                  <w:tcW w:w="3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F117A2F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C894AEB" w14:textId="77777777" w:rsidR="00432FC9" w:rsidRPr="00432FC9" w:rsidRDefault="00432FC9" w:rsidP="00432FC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A0BFE4D" w14:textId="77777777" w:rsidR="00432FC9" w:rsidRPr="00432FC9" w:rsidRDefault="00432FC9" w:rsidP="00432FC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9279D26" w14:textId="77777777" w:rsidR="00432FC9" w:rsidRPr="00432FC9" w:rsidRDefault="00432FC9" w:rsidP="00432FC9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432FC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consider assigning a skin notation</w:t>
                  </w:r>
                </w:p>
              </w:tc>
            </w:tr>
          </w:tbl>
          <w:p w14:paraId="140B89AB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20DA7427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123F2378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77A6BF60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5308C374" w14:textId="77777777" w:rsidR="00EB3D1B" w:rsidRDefault="00B17000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1B405C68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5"/>
        <w:gridCol w:w="5031"/>
      </w:tblGrid>
      <w:tr w:rsidR="001B79E5" w:rsidRPr="004C23F4" w14:paraId="7D8EDFCB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F25C2E6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36B29F1D" w14:textId="77777777" w:rsidR="001B79E5" w:rsidRDefault="00B17000" w:rsidP="001B79E5">
                <w:pPr>
                  <w:pStyle w:val="Tablefont"/>
                </w:pPr>
                <w:r w:rsidRPr="00B17000">
                  <w:t>380.91</w:t>
                </w:r>
              </w:p>
            </w:tc>
          </w:sdtContent>
        </w:sdt>
      </w:tr>
      <w:tr w:rsidR="00A31D99" w:rsidRPr="004C23F4" w14:paraId="01F68BE6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D2C5ACA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59A3F4E3" w14:textId="77777777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  <w:showingPlcHdr/>
              </w:sdtPr>
              <w:sdtEndPr/>
              <w:sdtContent>
                <w:r w:rsidR="00A174CC">
                  <w:rPr>
                    <w:rStyle w:val="PlaceholderText"/>
                  </w:rPr>
                  <w:t>Number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A174CC" w:rsidRPr="00A174CC">
                  <w:rPr>
                    <w:color w:val="808080"/>
                  </w:rPr>
                  <w:t>Number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2A3CE815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A61AB74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3FFB6420" w14:textId="77777777" w:rsidR="00687890" w:rsidRPr="004C23F4" w:rsidRDefault="00EF79F6" w:rsidP="00717D45">
                <w:pPr>
                  <w:pStyle w:val="Tablefont"/>
                </w:pPr>
                <w:r>
                  <w:rPr>
                    <w:rFonts w:ascii="MS Gothic" w:eastAsia="MS Gothic" w:hAnsi="MS Gothic" w:cs="MS Gothic" w:hint="eastAsia"/>
                  </w:rPr>
                  <w:sym w:font="Wingdings" w:char="F0FC"/>
                </w:r>
              </w:p>
            </w:tc>
          </w:sdtContent>
        </w:sdt>
      </w:tr>
      <w:tr w:rsidR="00687890" w:rsidRPr="004C23F4" w14:paraId="002F63F6" w14:textId="77777777" w:rsidTr="00EA6243">
        <w:trPr>
          <w:cantSplit/>
        </w:trPr>
        <w:tc>
          <w:tcPr>
            <w:tcW w:w="4077" w:type="dxa"/>
            <w:vAlign w:val="center"/>
          </w:tcPr>
          <w:p w14:paraId="7DA039E7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6DA4FAD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3DC94F9F" w14:textId="77777777" w:rsidTr="00EA6243">
        <w:trPr>
          <w:cantSplit/>
        </w:trPr>
        <w:tc>
          <w:tcPr>
            <w:tcW w:w="4077" w:type="dxa"/>
            <w:vAlign w:val="center"/>
          </w:tcPr>
          <w:p w14:paraId="351A8C1D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67E13C5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477F6492" w14:textId="77777777" w:rsidTr="00EA6243">
        <w:trPr>
          <w:cantSplit/>
        </w:trPr>
        <w:tc>
          <w:tcPr>
            <w:tcW w:w="4077" w:type="dxa"/>
            <w:vAlign w:val="center"/>
          </w:tcPr>
          <w:p w14:paraId="6F00658B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7D447D14" w14:textId="77777777" w:rsidR="00E06F40" w:rsidRPr="00A006A0" w:rsidRDefault="00F55335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7D421C10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7807317F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6C3B88A5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42F62571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491A2616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4702BFFC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4F8C0149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0B33E84C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616357F7" w14:textId="77777777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3B328CF3" w14:textId="77777777" w:rsidR="009959AD" w:rsidRDefault="009959AD" w:rsidP="00084859">
      <w:r w:rsidRPr="002022B6">
        <w:t xml:space="preserve">Deutsche </w:t>
      </w:r>
      <w:proofErr w:type="spellStart"/>
      <w:r w:rsidRPr="002022B6">
        <w:t>Forschungsgemeinschaft</w:t>
      </w:r>
      <w:proofErr w:type="spellEnd"/>
      <w:r w:rsidRPr="002022B6">
        <w:t xml:space="preserve"> (DFG)</w:t>
      </w:r>
      <w:r>
        <w:t xml:space="preserve"> (2002) </w:t>
      </w:r>
      <w:proofErr w:type="spellStart"/>
      <w:r>
        <w:t>Dieldrin</w:t>
      </w:r>
      <w:proofErr w:type="spellEnd"/>
      <w:r>
        <w:t xml:space="preserve"> – MAK value documentation.</w:t>
      </w:r>
    </w:p>
    <w:p w14:paraId="1D562789" w14:textId="77777777" w:rsidR="00EF79F6" w:rsidRDefault="00EF79F6" w:rsidP="00EF79F6">
      <w:r w:rsidRPr="00DB0A36">
        <w:t>National Industrial Chemicals Notification and Assessment Scheme (NICNAS) (</w:t>
      </w:r>
      <w:r w:rsidR="004F4284">
        <w:t>N.D.</w:t>
      </w:r>
      <w:r w:rsidRPr="00DB0A36">
        <w:t xml:space="preserve">) </w:t>
      </w:r>
      <w:proofErr w:type="spellStart"/>
      <w:r>
        <w:t>Dieldrin</w:t>
      </w:r>
      <w:proofErr w:type="spellEnd"/>
      <w:r w:rsidRPr="00DB0A36">
        <w:t>:</w:t>
      </w:r>
      <w:r>
        <w:t xml:space="preserve"> </w:t>
      </w:r>
      <w:r w:rsidRPr="00DB0A36">
        <w:t xml:space="preserve">Human </w:t>
      </w:r>
      <w:r w:rsidRPr="004633BA">
        <w:t xml:space="preserve">health </w:t>
      </w:r>
      <w:r>
        <w:t xml:space="preserve">tier I </w:t>
      </w:r>
      <w:r w:rsidRPr="004633BA">
        <w:t xml:space="preserve">assessment </w:t>
      </w:r>
      <w:r w:rsidRPr="00DB0A36">
        <w:t>– IMAP report.</w:t>
      </w:r>
    </w:p>
    <w:p w14:paraId="0D3783C5" w14:textId="77777777" w:rsidR="00EF79F6" w:rsidRDefault="004F4284" w:rsidP="00084859">
      <w:r>
        <w:t xml:space="preserve">US Environmental Protection Authority (US EPA) (1988) </w:t>
      </w:r>
      <w:r w:rsidRPr="003448DD">
        <w:t>Integrated R</w:t>
      </w:r>
      <w:r>
        <w:t xml:space="preserve">isk Information System (IRIS) </w:t>
      </w:r>
      <w:r w:rsidRPr="003448DD">
        <w:t>Chemical Assessment Summary</w:t>
      </w:r>
      <w:r>
        <w:t xml:space="preserve"> </w:t>
      </w:r>
      <w:proofErr w:type="spellStart"/>
      <w:r>
        <w:t>Dieldrin</w:t>
      </w:r>
      <w:proofErr w:type="spellEnd"/>
      <w:r>
        <w:t>.</w:t>
      </w:r>
    </w:p>
    <w:p w14:paraId="25C6DD9B" w14:textId="77777777" w:rsidR="009959AD" w:rsidRDefault="009959AD" w:rsidP="00084859">
      <w:r w:rsidRPr="00D86E03">
        <w:t>US National Institute for Occupational Safety and Health (NIOSH)</w:t>
      </w:r>
      <w:r>
        <w:t xml:space="preserve"> (2015) </w:t>
      </w:r>
      <w:r w:rsidRPr="006B0272">
        <w:t xml:space="preserve">NIOSH Skin Notation Profiles: </w:t>
      </w:r>
      <w:proofErr w:type="spellStart"/>
      <w:r>
        <w:t>Dieldrin</w:t>
      </w:r>
      <w:proofErr w:type="spellEnd"/>
      <w:r>
        <w:t>.</w:t>
      </w:r>
    </w:p>
    <w:p w14:paraId="59305042" w14:textId="77777777" w:rsidR="009959AD" w:rsidRPr="00351FE0" w:rsidRDefault="00DE62B2" w:rsidP="00084859">
      <w:r w:rsidRPr="00D86E03">
        <w:lastRenderedPageBreak/>
        <w:t>US National Institute for Occupational Safety and Health (NIOSH)</w:t>
      </w:r>
      <w:r>
        <w:t xml:space="preserve"> (1969) </w:t>
      </w:r>
      <w:proofErr w:type="gramStart"/>
      <w:r>
        <w:t>Immediately</w:t>
      </w:r>
      <w:proofErr w:type="gramEnd"/>
      <w:r>
        <w:t xml:space="preserve"> dangerous to life or health concentrations – </w:t>
      </w:r>
      <w:proofErr w:type="spellStart"/>
      <w:r>
        <w:t>Dieldrin</w:t>
      </w:r>
      <w:proofErr w:type="spellEnd"/>
      <w:r>
        <w:t>.</w:t>
      </w:r>
      <w:r w:rsidR="00EA3A09">
        <w:t xml:space="preserve"> </w:t>
      </w:r>
      <w:bookmarkEnd w:id="0"/>
    </w:p>
    <w:sectPr w:rsidR="009959AD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7CDC67" w16cid:durableId="2181480D"/>
  <w16cid:commentId w16cid:paraId="6EDBEA65" w16cid:durableId="216D853D"/>
  <w16cid:commentId w16cid:paraId="39EBBACB" w16cid:durableId="2181480F"/>
  <w16cid:commentId w16cid:paraId="6CAD80AF" w16cid:durableId="21814933"/>
  <w16cid:commentId w16cid:paraId="066F391C" w16cid:durableId="216D85EC"/>
  <w16cid:commentId w16cid:paraId="06D395A3" w16cid:durableId="216D8EAA"/>
  <w16cid:commentId w16cid:paraId="3D58B028" w16cid:durableId="216D88A8"/>
  <w16cid:commentId w16cid:paraId="7E5663FA" w16cid:durableId="21814813"/>
  <w16cid:commentId w16cid:paraId="7E7E6164" w16cid:durableId="216D871C"/>
  <w16cid:commentId w16cid:paraId="43442A4D" w16cid:durableId="21814815"/>
  <w16cid:commentId w16cid:paraId="14AC304A" w16cid:durableId="21814AF3"/>
  <w16cid:commentId w16cid:paraId="4A272AC4" w16cid:durableId="21814B54"/>
  <w16cid:commentId w16cid:paraId="0FBB9BE8" w16cid:durableId="216D8CA7"/>
  <w16cid:commentId w16cid:paraId="443BF2B7" w16cid:durableId="218148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649C1" w14:textId="77777777" w:rsidR="00A53CD9" w:rsidRDefault="00A53CD9" w:rsidP="00F43AD5">
      <w:pPr>
        <w:spacing w:after="0" w:line="240" w:lineRule="auto"/>
      </w:pPr>
      <w:r>
        <w:separator/>
      </w:r>
    </w:p>
  </w:endnote>
  <w:endnote w:type="continuationSeparator" w:id="0">
    <w:p w14:paraId="2DEEF49C" w14:textId="77777777" w:rsidR="00A53CD9" w:rsidRDefault="00A53CD9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2B47" w14:textId="77777777" w:rsidR="003C6755" w:rsidRDefault="003C6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E03B95A" w14:textId="77777777" w:rsidR="008A36CF" w:rsidRDefault="0034774A" w:rsidP="0034744C">
        <w:pPr>
          <w:pStyle w:val="Footer"/>
          <w:rPr>
            <w:sz w:val="18"/>
            <w:szCs w:val="18"/>
          </w:rPr>
        </w:pPr>
        <w:proofErr w:type="spellStart"/>
        <w:r>
          <w:rPr>
            <w:b/>
            <w:sz w:val="18"/>
            <w:szCs w:val="18"/>
          </w:rPr>
          <w:t>Dieldrin</w:t>
        </w:r>
        <w:proofErr w:type="spellEnd"/>
        <w:r w:rsidR="008A36CF">
          <w:rPr>
            <w:b/>
            <w:sz w:val="18"/>
            <w:szCs w:val="18"/>
          </w:rPr>
          <w:t xml:space="preserve"> (</w:t>
        </w:r>
        <w:r w:rsidRPr="0034774A">
          <w:rPr>
            <w:b/>
            <w:sz w:val="18"/>
            <w:szCs w:val="18"/>
          </w:rPr>
          <w:t>60-57-1</w:t>
        </w:r>
        <w:proofErr w:type="gramStart"/>
        <w:r w:rsidR="008A36CF">
          <w:rPr>
            <w:b/>
            <w:sz w:val="18"/>
            <w:szCs w:val="18"/>
          </w:rPr>
          <w:t>)</w:t>
        </w:r>
        <w:proofErr w:type="gramEnd"/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4FEA93A0" w14:textId="47F7B7CB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F55335">
          <w:rPr>
            <w:noProof/>
            <w:sz w:val="18"/>
            <w:szCs w:val="18"/>
          </w:rPr>
          <w:t>4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F3DB" w14:textId="77777777" w:rsidR="003C6755" w:rsidRDefault="003C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5F8DD" w14:textId="77777777" w:rsidR="00A53CD9" w:rsidRDefault="00A53CD9" w:rsidP="00F43AD5">
      <w:pPr>
        <w:spacing w:after="0" w:line="240" w:lineRule="auto"/>
      </w:pPr>
      <w:r>
        <w:separator/>
      </w:r>
    </w:p>
  </w:footnote>
  <w:footnote w:type="continuationSeparator" w:id="0">
    <w:p w14:paraId="4B53C348" w14:textId="77777777" w:rsidR="00A53CD9" w:rsidRDefault="00A53CD9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197E" w14:textId="403458A8" w:rsidR="003C6755" w:rsidRDefault="00F55335">
    <w:pPr>
      <w:pStyle w:val="Header"/>
    </w:pPr>
    <w:r>
      <w:rPr>
        <w:noProof/>
      </w:rPr>
      <w:pict w14:anchorId="0A1770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17844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D222" w14:textId="1E7F22E0" w:rsidR="008A36CF" w:rsidRDefault="00F55335" w:rsidP="00F43AD5">
    <w:pPr>
      <w:pStyle w:val="Header"/>
      <w:jc w:val="right"/>
    </w:pPr>
    <w:r>
      <w:rPr>
        <w:noProof/>
      </w:rPr>
      <w:pict w14:anchorId="7B30E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17845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4DBA45F5" wp14:editId="7E1AA0A4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7323" w14:textId="088B8703" w:rsidR="003C6755" w:rsidRDefault="00F55335">
    <w:pPr>
      <w:pStyle w:val="Header"/>
    </w:pPr>
    <w:r>
      <w:rPr>
        <w:noProof/>
      </w:rPr>
      <w:pict w14:anchorId="34179A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17843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C855E" w14:textId="49C099E9" w:rsidR="00F55335" w:rsidRDefault="00F55335">
    <w:pPr>
      <w:pStyle w:val="Header"/>
    </w:pPr>
    <w:r>
      <w:rPr>
        <w:noProof/>
      </w:rPr>
      <w:pict w14:anchorId="7817F2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17847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BECA3" w14:textId="73264681" w:rsidR="008A36CF" w:rsidRDefault="00F55335" w:rsidP="00F43AD5">
    <w:pPr>
      <w:pStyle w:val="Header"/>
      <w:jc w:val="right"/>
    </w:pPr>
    <w:r>
      <w:rPr>
        <w:noProof/>
      </w:rPr>
      <w:pict w14:anchorId="61D2E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17848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1910" w14:textId="09C9370B" w:rsidR="00F55335" w:rsidRDefault="00F55335">
    <w:pPr>
      <w:pStyle w:val="Header"/>
    </w:pPr>
    <w:r>
      <w:rPr>
        <w:noProof/>
      </w:rPr>
      <w:pict w14:anchorId="60828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17846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C89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437B"/>
    <w:rsid w:val="00045040"/>
    <w:rsid w:val="00046DF5"/>
    <w:rsid w:val="000505F1"/>
    <w:rsid w:val="00052060"/>
    <w:rsid w:val="0005574A"/>
    <w:rsid w:val="00055FE1"/>
    <w:rsid w:val="00056EC2"/>
    <w:rsid w:val="00060B48"/>
    <w:rsid w:val="00064727"/>
    <w:rsid w:val="00067F32"/>
    <w:rsid w:val="00071807"/>
    <w:rsid w:val="000803E1"/>
    <w:rsid w:val="00084513"/>
    <w:rsid w:val="00084859"/>
    <w:rsid w:val="00092D94"/>
    <w:rsid w:val="000A56B8"/>
    <w:rsid w:val="000B0868"/>
    <w:rsid w:val="000B3E12"/>
    <w:rsid w:val="000B3E78"/>
    <w:rsid w:val="000B7B48"/>
    <w:rsid w:val="000C096D"/>
    <w:rsid w:val="000C139A"/>
    <w:rsid w:val="000C2053"/>
    <w:rsid w:val="000C248C"/>
    <w:rsid w:val="000C2967"/>
    <w:rsid w:val="000D291C"/>
    <w:rsid w:val="000D63C2"/>
    <w:rsid w:val="000E5A54"/>
    <w:rsid w:val="000E63D3"/>
    <w:rsid w:val="000E67CF"/>
    <w:rsid w:val="000F5945"/>
    <w:rsid w:val="0010461E"/>
    <w:rsid w:val="00106FAA"/>
    <w:rsid w:val="0010768B"/>
    <w:rsid w:val="00113443"/>
    <w:rsid w:val="001269A7"/>
    <w:rsid w:val="00131092"/>
    <w:rsid w:val="00140E6A"/>
    <w:rsid w:val="00146545"/>
    <w:rsid w:val="00146B75"/>
    <w:rsid w:val="0015266D"/>
    <w:rsid w:val="0015288A"/>
    <w:rsid w:val="00160B0F"/>
    <w:rsid w:val="00160F47"/>
    <w:rsid w:val="00163F0E"/>
    <w:rsid w:val="0017485E"/>
    <w:rsid w:val="00177CA1"/>
    <w:rsid w:val="00183823"/>
    <w:rsid w:val="00183942"/>
    <w:rsid w:val="001A009E"/>
    <w:rsid w:val="001A1287"/>
    <w:rsid w:val="001A3859"/>
    <w:rsid w:val="001A3C9D"/>
    <w:rsid w:val="001A43F8"/>
    <w:rsid w:val="001B79E5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6000"/>
    <w:rsid w:val="00226D7E"/>
    <w:rsid w:val="00227EC7"/>
    <w:rsid w:val="002344EF"/>
    <w:rsid w:val="0024301E"/>
    <w:rsid w:val="00244AD1"/>
    <w:rsid w:val="00245726"/>
    <w:rsid w:val="002463BC"/>
    <w:rsid w:val="002465CE"/>
    <w:rsid w:val="00254C92"/>
    <w:rsid w:val="0025734A"/>
    <w:rsid w:val="00263255"/>
    <w:rsid w:val="00276494"/>
    <w:rsid w:val="00277B0C"/>
    <w:rsid w:val="002B1A2C"/>
    <w:rsid w:val="002C34F2"/>
    <w:rsid w:val="002C58FF"/>
    <w:rsid w:val="002C7AFE"/>
    <w:rsid w:val="002D05D2"/>
    <w:rsid w:val="002D20DA"/>
    <w:rsid w:val="002E0D61"/>
    <w:rsid w:val="002E4C7B"/>
    <w:rsid w:val="002F4014"/>
    <w:rsid w:val="0030740C"/>
    <w:rsid w:val="00315833"/>
    <w:rsid w:val="003215EE"/>
    <w:rsid w:val="003224BF"/>
    <w:rsid w:val="00323CE2"/>
    <w:rsid w:val="003241A8"/>
    <w:rsid w:val="00324A78"/>
    <w:rsid w:val="003253F0"/>
    <w:rsid w:val="00325893"/>
    <w:rsid w:val="00333501"/>
    <w:rsid w:val="003337DA"/>
    <w:rsid w:val="00334EFB"/>
    <w:rsid w:val="00335CDE"/>
    <w:rsid w:val="003365A5"/>
    <w:rsid w:val="00347192"/>
    <w:rsid w:val="0034744C"/>
    <w:rsid w:val="0034774A"/>
    <w:rsid w:val="00351B2E"/>
    <w:rsid w:val="00351FE0"/>
    <w:rsid w:val="00352615"/>
    <w:rsid w:val="0035412B"/>
    <w:rsid w:val="003567A8"/>
    <w:rsid w:val="00362895"/>
    <w:rsid w:val="00364431"/>
    <w:rsid w:val="00370DBF"/>
    <w:rsid w:val="003719BA"/>
    <w:rsid w:val="0037782B"/>
    <w:rsid w:val="00386093"/>
    <w:rsid w:val="003904A4"/>
    <w:rsid w:val="00391841"/>
    <w:rsid w:val="00391B6D"/>
    <w:rsid w:val="00394922"/>
    <w:rsid w:val="003A0E32"/>
    <w:rsid w:val="003A2B94"/>
    <w:rsid w:val="003A6741"/>
    <w:rsid w:val="003B1771"/>
    <w:rsid w:val="003B387D"/>
    <w:rsid w:val="003C0D58"/>
    <w:rsid w:val="003C3EDD"/>
    <w:rsid w:val="003C6755"/>
    <w:rsid w:val="003D4FA3"/>
    <w:rsid w:val="003E0807"/>
    <w:rsid w:val="003E51FB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32A1C"/>
    <w:rsid w:val="00432FC9"/>
    <w:rsid w:val="004414B5"/>
    <w:rsid w:val="00441BBE"/>
    <w:rsid w:val="00444482"/>
    <w:rsid w:val="00444B42"/>
    <w:rsid w:val="00445E44"/>
    <w:rsid w:val="004509E2"/>
    <w:rsid w:val="004515EE"/>
    <w:rsid w:val="004529F0"/>
    <w:rsid w:val="00452C54"/>
    <w:rsid w:val="00460A03"/>
    <w:rsid w:val="00472A11"/>
    <w:rsid w:val="00472AAD"/>
    <w:rsid w:val="00474E33"/>
    <w:rsid w:val="00476803"/>
    <w:rsid w:val="00482584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4AA1"/>
    <w:rsid w:val="004D6D68"/>
    <w:rsid w:val="004E27EB"/>
    <w:rsid w:val="004E5EDD"/>
    <w:rsid w:val="004F4284"/>
    <w:rsid w:val="004F448A"/>
    <w:rsid w:val="004F493D"/>
    <w:rsid w:val="004F65E8"/>
    <w:rsid w:val="0050005E"/>
    <w:rsid w:val="00502B88"/>
    <w:rsid w:val="005142C4"/>
    <w:rsid w:val="0051509C"/>
    <w:rsid w:val="00515F21"/>
    <w:rsid w:val="005272E2"/>
    <w:rsid w:val="0053108F"/>
    <w:rsid w:val="00532B56"/>
    <w:rsid w:val="00534B10"/>
    <w:rsid w:val="005446A2"/>
    <w:rsid w:val="00544D2F"/>
    <w:rsid w:val="00551BD8"/>
    <w:rsid w:val="00581055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D6977"/>
    <w:rsid w:val="005E6979"/>
    <w:rsid w:val="005E75CB"/>
    <w:rsid w:val="006013C1"/>
    <w:rsid w:val="0060669E"/>
    <w:rsid w:val="00610F2E"/>
    <w:rsid w:val="00611399"/>
    <w:rsid w:val="006244FD"/>
    <w:rsid w:val="00624C4E"/>
    <w:rsid w:val="00625200"/>
    <w:rsid w:val="006325CC"/>
    <w:rsid w:val="006338C6"/>
    <w:rsid w:val="006363A8"/>
    <w:rsid w:val="00636DB7"/>
    <w:rsid w:val="00650905"/>
    <w:rsid w:val="006532ED"/>
    <w:rsid w:val="0065437F"/>
    <w:rsid w:val="006549F2"/>
    <w:rsid w:val="006567B7"/>
    <w:rsid w:val="00657BFB"/>
    <w:rsid w:val="0066333C"/>
    <w:rsid w:val="006639B4"/>
    <w:rsid w:val="006650FE"/>
    <w:rsid w:val="0067305D"/>
    <w:rsid w:val="00677D9B"/>
    <w:rsid w:val="00681188"/>
    <w:rsid w:val="006867F3"/>
    <w:rsid w:val="0068720D"/>
    <w:rsid w:val="00687890"/>
    <w:rsid w:val="006901A2"/>
    <w:rsid w:val="00690368"/>
    <w:rsid w:val="0069079C"/>
    <w:rsid w:val="00690B53"/>
    <w:rsid w:val="00695B72"/>
    <w:rsid w:val="006A22BE"/>
    <w:rsid w:val="006A34C2"/>
    <w:rsid w:val="006B160A"/>
    <w:rsid w:val="006B4E6C"/>
    <w:rsid w:val="006B50B6"/>
    <w:rsid w:val="006D4578"/>
    <w:rsid w:val="006D79EA"/>
    <w:rsid w:val="006E5D05"/>
    <w:rsid w:val="006E60B2"/>
    <w:rsid w:val="006E700A"/>
    <w:rsid w:val="00701053"/>
    <w:rsid w:val="00701507"/>
    <w:rsid w:val="00714021"/>
    <w:rsid w:val="00716A0F"/>
    <w:rsid w:val="00717D45"/>
    <w:rsid w:val="007208F7"/>
    <w:rsid w:val="007218AF"/>
    <w:rsid w:val="007365D1"/>
    <w:rsid w:val="00740E0E"/>
    <w:rsid w:val="00750212"/>
    <w:rsid w:val="0075215A"/>
    <w:rsid w:val="00754779"/>
    <w:rsid w:val="0075716D"/>
    <w:rsid w:val="00757FBF"/>
    <w:rsid w:val="00765CCC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B223E"/>
    <w:rsid w:val="007C30EB"/>
    <w:rsid w:val="007E063C"/>
    <w:rsid w:val="007E2A4B"/>
    <w:rsid w:val="007E307D"/>
    <w:rsid w:val="007E6A4E"/>
    <w:rsid w:val="007E6C94"/>
    <w:rsid w:val="007F1005"/>
    <w:rsid w:val="007F25E0"/>
    <w:rsid w:val="007F38D6"/>
    <w:rsid w:val="007F5328"/>
    <w:rsid w:val="00804F5A"/>
    <w:rsid w:val="00806A37"/>
    <w:rsid w:val="00810767"/>
    <w:rsid w:val="00810C6D"/>
    <w:rsid w:val="00812887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A36CF"/>
    <w:rsid w:val="008A3BC4"/>
    <w:rsid w:val="008A6849"/>
    <w:rsid w:val="008B403C"/>
    <w:rsid w:val="008B48E1"/>
    <w:rsid w:val="008B7983"/>
    <w:rsid w:val="008C2511"/>
    <w:rsid w:val="008C3DB8"/>
    <w:rsid w:val="008C4AFE"/>
    <w:rsid w:val="008C5360"/>
    <w:rsid w:val="008D026D"/>
    <w:rsid w:val="008D23AB"/>
    <w:rsid w:val="008D2CB3"/>
    <w:rsid w:val="008D4B8B"/>
    <w:rsid w:val="008D5A78"/>
    <w:rsid w:val="008D7395"/>
    <w:rsid w:val="008E7B64"/>
    <w:rsid w:val="008F5DCD"/>
    <w:rsid w:val="00900951"/>
    <w:rsid w:val="00910687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3E6"/>
    <w:rsid w:val="0093760E"/>
    <w:rsid w:val="00942A98"/>
    <w:rsid w:val="00946044"/>
    <w:rsid w:val="0094660B"/>
    <w:rsid w:val="00946A33"/>
    <w:rsid w:val="0095260E"/>
    <w:rsid w:val="009578DD"/>
    <w:rsid w:val="00957B1E"/>
    <w:rsid w:val="00961124"/>
    <w:rsid w:val="009621B6"/>
    <w:rsid w:val="00974F2D"/>
    <w:rsid w:val="00977524"/>
    <w:rsid w:val="00977E88"/>
    <w:rsid w:val="00984920"/>
    <w:rsid w:val="0099303A"/>
    <w:rsid w:val="009950DD"/>
    <w:rsid w:val="009959AD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C72E9"/>
    <w:rsid w:val="009D3B5A"/>
    <w:rsid w:val="009D62D5"/>
    <w:rsid w:val="009E0C05"/>
    <w:rsid w:val="009E0D1C"/>
    <w:rsid w:val="009E2214"/>
    <w:rsid w:val="009E355A"/>
    <w:rsid w:val="009E63E2"/>
    <w:rsid w:val="009F04D2"/>
    <w:rsid w:val="009F05CF"/>
    <w:rsid w:val="009F0F3A"/>
    <w:rsid w:val="00A01592"/>
    <w:rsid w:val="00A01D0C"/>
    <w:rsid w:val="00A0643F"/>
    <w:rsid w:val="00A067EE"/>
    <w:rsid w:val="00A10FCE"/>
    <w:rsid w:val="00A16D91"/>
    <w:rsid w:val="00A174CC"/>
    <w:rsid w:val="00A2073D"/>
    <w:rsid w:val="00A20751"/>
    <w:rsid w:val="00A23B6D"/>
    <w:rsid w:val="00A27E2D"/>
    <w:rsid w:val="00A3166D"/>
    <w:rsid w:val="00A31D99"/>
    <w:rsid w:val="00A357BA"/>
    <w:rsid w:val="00A35ADC"/>
    <w:rsid w:val="00A402A3"/>
    <w:rsid w:val="00A53681"/>
    <w:rsid w:val="00A53CD9"/>
    <w:rsid w:val="00A633D4"/>
    <w:rsid w:val="00A6461A"/>
    <w:rsid w:val="00A84504"/>
    <w:rsid w:val="00A8672F"/>
    <w:rsid w:val="00A93057"/>
    <w:rsid w:val="00A968B0"/>
    <w:rsid w:val="00A9697A"/>
    <w:rsid w:val="00AB2672"/>
    <w:rsid w:val="00AB2817"/>
    <w:rsid w:val="00AB43C4"/>
    <w:rsid w:val="00AC32E7"/>
    <w:rsid w:val="00AC3A9F"/>
    <w:rsid w:val="00AC4A35"/>
    <w:rsid w:val="00AC6D2F"/>
    <w:rsid w:val="00AC70AC"/>
    <w:rsid w:val="00AE2745"/>
    <w:rsid w:val="00AE2F64"/>
    <w:rsid w:val="00AF42CB"/>
    <w:rsid w:val="00AF483F"/>
    <w:rsid w:val="00AF5E07"/>
    <w:rsid w:val="00AF5F06"/>
    <w:rsid w:val="00AF64EE"/>
    <w:rsid w:val="00B00A25"/>
    <w:rsid w:val="00B1422A"/>
    <w:rsid w:val="00B17000"/>
    <w:rsid w:val="00B1765C"/>
    <w:rsid w:val="00B213C4"/>
    <w:rsid w:val="00B266D5"/>
    <w:rsid w:val="00B40C60"/>
    <w:rsid w:val="00B479A9"/>
    <w:rsid w:val="00B52EDF"/>
    <w:rsid w:val="00B70917"/>
    <w:rsid w:val="00B71188"/>
    <w:rsid w:val="00B76A41"/>
    <w:rsid w:val="00B76ED9"/>
    <w:rsid w:val="00B87D4C"/>
    <w:rsid w:val="00B93646"/>
    <w:rsid w:val="00BA0B38"/>
    <w:rsid w:val="00BA1DBB"/>
    <w:rsid w:val="00BA4510"/>
    <w:rsid w:val="00BA529A"/>
    <w:rsid w:val="00BB612A"/>
    <w:rsid w:val="00BD499F"/>
    <w:rsid w:val="00BD56DE"/>
    <w:rsid w:val="00BF2406"/>
    <w:rsid w:val="00BF27AA"/>
    <w:rsid w:val="00C06E43"/>
    <w:rsid w:val="00C1393D"/>
    <w:rsid w:val="00C16315"/>
    <w:rsid w:val="00C17C9A"/>
    <w:rsid w:val="00C3091E"/>
    <w:rsid w:val="00C32F3A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A5A"/>
    <w:rsid w:val="00C71D1E"/>
    <w:rsid w:val="00C71D7D"/>
    <w:rsid w:val="00C74833"/>
    <w:rsid w:val="00C850A0"/>
    <w:rsid w:val="00C85A86"/>
    <w:rsid w:val="00C978F0"/>
    <w:rsid w:val="00CA58FE"/>
    <w:rsid w:val="00CB1CB1"/>
    <w:rsid w:val="00CB6BC1"/>
    <w:rsid w:val="00CB6CB8"/>
    <w:rsid w:val="00CC0CBA"/>
    <w:rsid w:val="00CC1A68"/>
    <w:rsid w:val="00CC2123"/>
    <w:rsid w:val="00CD2BFD"/>
    <w:rsid w:val="00CE5AD6"/>
    <w:rsid w:val="00CE617F"/>
    <w:rsid w:val="00CE78EF"/>
    <w:rsid w:val="00D048F7"/>
    <w:rsid w:val="00D0517E"/>
    <w:rsid w:val="00D140FC"/>
    <w:rsid w:val="00D21D8C"/>
    <w:rsid w:val="00D31357"/>
    <w:rsid w:val="00D33220"/>
    <w:rsid w:val="00D334D1"/>
    <w:rsid w:val="00D4431A"/>
    <w:rsid w:val="00D44C89"/>
    <w:rsid w:val="00D516CD"/>
    <w:rsid w:val="00D535EC"/>
    <w:rsid w:val="00D668E6"/>
    <w:rsid w:val="00D70670"/>
    <w:rsid w:val="00D74D80"/>
    <w:rsid w:val="00D758E0"/>
    <w:rsid w:val="00D76624"/>
    <w:rsid w:val="00D87570"/>
    <w:rsid w:val="00D91CB9"/>
    <w:rsid w:val="00D93C54"/>
    <w:rsid w:val="00D97989"/>
    <w:rsid w:val="00D97D8D"/>
    <w:rsid w:val="00DA352E"/>
    <w:rsid w:val="00DC7694"/>
    <w:rsid w:val="00DD1BF6"/>
    <w:rsid w:val="00DD2F9B"/>
    <w:rsid w:val="00DE1FB4"/>
    <w:rsid w:val="00DE2513"/>
    <w:rsid w:val="00DE26E8"/>
    <w:rsid w:val="00DE62B2"/>
    <w:rsid w:val="00DF6F36"/>
    <w:rsid w:val="00E0084C"/>
    <w:rsid w:val="00E025AB"/>
    <w:rsid w:val="00E02B23"/>
    <w:rsid w:val="00E06F40"/>
    <w:rsid w:val="00E07CE8"/>
    <w:rsid w:val="00E22488"/>
    <w:rsid w:val="00E26A07"/>
    <w:rsid w:val="00E302BD"/>
    <w:rsid w:val="00E32595"/>
    <w:rsid w:val="00E37CFD"/>
    <w:rsid w:val="00E41A26"/>
    <w:rsid w:val="00E46BCB"/>
    <w:rsid w:val="00E51CAF"/>
    <w:rsid w:val="00E60F04"/>
    <w:rsid w:val="00E62AAC"/>
    <w:rsid w:val="00E67C2F"/>
    <w:rsid w:val="00E67EF5"/>
    <w:rsid w:val="00E804EA"/>
    <w:rsid w:val="00E80A71"/>
    <w:rsid w:val="00E82337"/>
    <w:rsid w:val="00E92499"/>
    <w:rsid w:val="00E945EA"/>
    <w:rsid w:val="00E949AF"/>
    <w:rsid w:val="00E96077"/>
    <w:rsid w:val="00EA0A06"/>
    <w:rsid w:val="00EA3A09"/>
    <w:rsid w:val="00EA6243"/>
    <w:rsid w:val="00EA6426"/>
    <w:rsid w:val="00EA74AB"/>
    <w:rsid w:val="00EB3D1B"/>
    <w:rsid w:val="00EC274E"/>
    <w:rsid w:val="00ED1D89"/>
    <w:rsid w:val="00ED23EB"/>
    <w:rsid w:val="00ED66BC"/>
    <w:rsid w:val="00EF233A"/>
    <w:rsid w:val="00EF303E"/>
    <w:rsid w:val="00EF3A40"/>
    <w:rsid w:val="00EF79F6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44EAC"/>
    <w:rsid w:val="00F55335"/>
    <w:rsid w:val="00F56DD0"/>
    <w:rsid w:val="00F6491C"/>
    <w:rsid w:val="00F67BBB"/>
    <w:rsid w:val="00F86A9A"/>
    <w:rsid w:val="00F87D92"/>
    <w:rsid w:val="00F90AA7"/>
    <w:rsid w:val="00F92498"/>
    <w:rsid w:val="00F9496B"/>
    <w:rsid w:val="00F970C9"/>
    <w:rsid w:val="00FA06A8"/>
    <w:rsid w:val="00FA3DF5"/>
    <w:rsid w:val="00FA741F"/>
    <w:rsid w:val="00FB4E07"/>
    <w:rsid w:val="00FB755A"/>
    <w:rsid w:val="00FC60A2"/>
    <w:rsid w:val="00FD1871"/>
    <w:rsid w:val="00FD203E"/>
    <w:rsid w:val="00FD3110"/>
    <w:rsid w:val="00FE37E7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5E91A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6D4578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8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82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82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5754687CDD8240EABD844E7B0905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38FD-A82A-4079-85ED-F3135401131C}"/>
      </w:docPartPr>
      <w:docPartBody>
        <w:p w:rsidR="001F5E0B" w:rsidRDefault="0096571C" w:rsidP="0096571C">
          <w:pPr>
            <w:pStyle w:val="5754687CDD8240EABD844E7B0905CC99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050294"/>
    <w:rsid w:val="0010665E"/>
    <w:rsid w:val="00170294"/>
    <w:rsid w:val="001C2EA8"/>
    <w:rsid w:val="001F5E0B"/>
    <w:rsid w:val="00874A54"/>
    <w:rsid w:val="008D223E"/>
    <w:rsid w:val="0096571C"/>
    <w:rsid w:val="00D21A9F"/>
    <w:rsid w:val="00E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71C"/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243CD0EF05F14789906DDD93BE6AA9C5">
    <w:name w:val="243CD0EF05F14789906DDD93BE6AA9C5"/>
    <w:rsid w:val="0010665E"/>
  </w:style>
  <w:style w:type="paragraph" w:customStyle="1" w:styleId="9E967EC27E084D33AFE1E4881564AC7A">
    <w:name w:val="9E967EC27E084D33AFE1E4881564AC7A"/>
    <w:rsid w:val="0010665E"/>
  </w:style>
  <w:style w:type="paragraph" w:customStyle="1" w:styleId="0BBCCEC5BBCB41F9A5A34103C9AEC223">
    <w:name w:val="0BBCCEC5BBCB41F9A5A34103C9AEC223"/>
    <w:rsid w:val="0010665E"/>
  </w:style>
  <w:style w:type="paragraph" w:customStyle="1" w:styleId="B9CB058807244743815669469E8E2B01">
    <w:name w:val="B9CB058807244743815669469E8E2B01"/>
    <w:rsid w:val="0010665E"/>
  </w:style>
  <w:style w:type="paragraph" w:customStyle="1" w:styleId="B880406366B4498491259E5653C4499E">
    <w:name w:val="B880406366B4498491259E5653C4499E"/>
    <w:rsid w:val="00170294"/>
  </w:style>
  <w:style w:type="paragraph" w:customStyle="1" w:styleId="9F4509B796CF42DDB457300570BEF19D">
    <w:name w:val="9F4509B796CF42DDB457300570BEF19D"/>
    <w:rsid w:val="00170294"/>
  </w:style>
  <w:style w:type="paragraph" w:customStyle="1" w:styleId="5754687CDD8240EABD844E7B0905CC99">
    <w:name w:val="5754687CDD8240EABD844E7B0905CC99"/>
    <w:rsid w:val="00965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C699-EB06-40BC-A47B-1BDE980C8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57552-BE7B-4093-9357-52F56C241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86B62-7551-4CC1-9AF4-CC4287A6EA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54d604-3e62-4e70-ba33-9e9084b96a6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A8E419-6402-417D-BF66-31AF88DF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2019-11-15T03:38:00Z</dcterms:created>
  <dcterms:modified xsi:type="dcterms:W3CDTF">2019-12-03T01:53:00Z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