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390713BA" w14:textId="2E22F2FA" w:rsidR="00BD499F" w:rsidRPr="004C23F4" w:rsidRDefault="008D7791" w:rsidP="00B40C60">
          <w:pPr>
            <w:pStyle w:val="Heading1"/>
            <w:jc w:val="center"/>
            <w:rPr>
              <w:rFonts w:ascii="Arial" w:hAnsi="Arial" w:cs="Arial"/>
            </w:rPr>
          </w:pPr>
          <w:r w:rsidRPr="00212059">
            <w:rPr>
              <w:rFonts w:ascii="Arial" w:hAnsi="Arial" w:cs="Arial"/>
            </w:rPr>
            <w:t>Dimethyl sul</w:t>
          </w:r>
          <w:r>
            <w:rPr>
              <w:rFonts w:ascii="Arial" w:hAnsi="Arial" w:cs="Arial"/>
            </w:rPr>
            <w:t>ph</w:t>
          </w:r>
          <w:r w:rsidRPr="00212059">
            <w:rPr>
              <w:rFonts w:ascii="Arial" w:hAnsi="Arial" w:cs="Arial"/>
            </w:rPr>
            <w:t>ate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90"/>
        <w:gridCol w:w="5036"/>
      </w:tblGrid>
      <w:tr w:rsidR="00F43AD5" w:rsidRPr="004C23F4" w14:paraId="78B69940" w14:textId="77777777" w:rsidTr="00B76A41">
        <w:trPr>
          <w:cantSplit/>
          <w:tblHeader/>
        </w:trPr>
        <w:tc>
          <w:tcPr>
            <w:tcW w:w="4077" w:type="dxa"/>
          </w:tcPr>
          <w:p w14:paraId="5F8CA281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31432A32" w14:textId="230D7BE2" w:rsidR="00F43AD5" w:rsidRPr="00717D45" w:rsidRDefault="00212059" w:rsidP="00B76A41">
            <w:pPr>
              <w:pStyle w:val="Tablefont"/>
            </w:pPr>
            <w:r w:rsidRPr="00212059">
              <w:t>77-78-1</w:t>
            </w:r>
          </w:p>
        </w:tc>
      </w:tr>
      <w:tr w:rsidR="00F43AD5" w:rsidRPr="004C23F4" w14:paraId="33E6E398" w14:textId="77777777" w:rsidTr="00B76A41">
        <w:trPr>
          <w:cantSplit/>
        </w:trPr>
        <w:tc>
          <w:tcPr>
            <w:tcW w:w="4077" w:type="dxa"/>
          </w:tcPr>
          <w:p w14:paraId="10222B55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09E511C2" w14:textId="0487612C" w:rsidR="00F43AD5" w:rsidRPr="00717D45" w:rsidRDefault="00212059" w:rsidP="00B76A41">
            <w:pPr>
              <w:pStyle w:val="Tablefont"/>
            </w:pPr>
            <w:r>
              <w:t xml:space="preserve">DMS, </w:t>
            </w:r>
            <w:r w:rsidR="00352694">
              <w:t xml:space="preserve">methyl </w:t>
            </w:r>
            <w:proofErr w:type="spellStart"/>
            <w:r>
              <w:t>sul</w:t>
            </w:r>
            <w:r w:rsidR="00F45842">
              <w:t>f</w:t>
            </w:r>
            <w:r>
              <w:t>ate</w:t>
            </w:r>
            <w:proofErr w:type="spellEnd"/>
            <w:r w:rsidR="005C1DFB">
              <w:t xml:space="preserve">, dimethyl sulphate </w:t>
            </w:r>
          </w:p>
        </w:tc>
      </w:tr>
      <w:tr w:rsidR="00F43AD5" w:rsidRPr="004C23F4" w14:paraId="527E60CC" w14:textId="77777777" w:rsidTr="00B76A41">
        <w:trPr>
          <w:cantSplit/>
        </w:trPr>
        <w:tc>
          <w:tcPr>
            <w:tcW w:w="4077" w:type="dxa"/>
          </w:tcPr>
          <w:p w14:paraId="3BB606D3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5130A6DE" w14:textId="7ABF033F" w:rsidR="00F43AD5" w:rsidRPr="00717D45" w:rsidRDefault="00212059" w:rsidP="00B76A41">
            <w:pPr>
              <w:pStyle w:val="Tablefont"/>
            </w:pPr>
            <w:r>
              <w:t>C</w:t>
            </w:r>
            <w:r w:rsidRPr="00212059">
              <w:rPr>
                <w:vertAlign w:val="subscript"/>
              </w:rPr>
              <w:t>2</w:t>
            </w:r>
            <w:r>
              <w:t>H</w:t>
            </w:r>
            <w:r w:rsidRPr="00212059">
              <w:rPr>
                <w:vertAlign w:val="subscript"/>
              </w:rPr>
              <w:t>6</w:t>
            </w:r>
            <w:r>
              <w:t>SO</w:t>
            </w:r>
            <w:r w:rsidRPr="00212059">
              <w:rPr>
                <w:vertAlign w:val="subscript"/>
              </w:rPr>
              <w:t>4</w:t>
            </w:r>
          </w:p>
        </w:tc>
      </w:tr>
      <w:tr w:rsidR="00F43AD5" w:rsidRPr="004C23F4" w14:paraId="7BED2268" w14:textId="77777777" w:rsidTr="00B76A41">
        <w:trPr>
          <w:cantSplit/>
        </w:trPr>
        <w:tc>
          <w:tcPr>
            <w:tcW w:w="4077" w:type="dxa"/>
          </w:tcPr>
          <w:p w14:paraId="55545D41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208A7D14" w14:textId="4A245925" w:rsidR="00F43AD5" w:rsidRPr="00352694" w:rsidRDefault="00212059" w:rsidP="00B76A41">
            <w:pPr>
              <w:pStyle w:val="Tablerowheading"/>
              <w:rPr>
                <w:b w:val="0"/>
              </w:rPr>
            </w:pPr>
            <w:r w:rsidRPr="0071581F">
              <w:rPr>
                <w:b w:val="0"/>
              </w:rPr>
              <w:t>—</w:t>
            </w:r>
          </w:p>
        </w:tc>
      </w:tr>
    </w:tbl>
    <w:p w14:paraId="534DEE2F" w14:textId="32F525DA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8238C2">
            <w:rPr>
              <w:rStyle w:val="WESstatus"/>
            </w:rPr>
            <w:t>(interim)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94"/>
        <w:gridCol w:w="5032"/>
      </w:tblGrid>
      <w:tr w:rsidR="002C7AFE" w:rsidRPr="004C23F4" w14:paraId="1602B0B3" w14:textId="77777777" w:rsidTr="0071581F">
        <w:trPr>
          <w:cantSplit/>
          <w:tblHeader/>
        </w:trPr>
        <w:tc>
          <w:tcPr>
            <w:tcW w:w="3994" w:type="dxa"/>
            <w:vAlign w:val="center"/>
          </w:tcPr>
          <w:p w14:paraId="6FB76B65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32" w:type="dxa"/>
          </w:tcPr>
          <w:p w14:paraId="6A9FF83A" w14:textId="192B3C53" w:rsidR="002C7AFE" w:rsidRPr="00EB3D1B" w:rsidRDefault="008D7791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3</w:t>
            </w:r>
            <w:r w:rsidR="00BE3D0D">
              <w:rPr>
                <w:b/>
              </w:rPr>
              <w:t xml:space="preserve"> pp</w:t>
            </w:r>
            <w:r w:rsidR="00A26C65">
              <w:rPr>
                <w:b/>
              </w:rPr>
              <w:t>b</w:t>
            </w:r>
            <w:r w:rsidR="00BE3D0D">
              <w:rPr>
                <w:b/>
              </w:rPr>
              <w:t xml:space="preserve"> (0.</w:t>
            </w:r>
            <w:r w:rsidR="005C1DFB">
              <w:rPr>
                <w:b/>
              </w:rPr>
              <w:t>0</w:t>
            </w:r>
            <w:r w:rsidR="00432B5E">
              <w:rPr>
                <w:b/>
              </w:rPr>
              <w:t>15</w:t>
            </w:r>
            <w:r w:rsidR="00BE3D0D">
              <w:rPr>
                <w:b/>
              </w:rPr>
              <w:t xml:space="preserve"> </w:t>
            </w:r>
            <w:r w:rsidR="00432B5E">
              <w:rPr>
                <w:rFonts w:cs="Arial"/>
                <w:b/>
              </w:rPr>
              <w:t>m</w:t>
            </w:r>
            <w:r w:rsidR="00BE3D0D">
              <w:rPr>
                <w:b/>
              </w:rPr>
              <w:t>g/m</w:t>
            </w:r>
            <w:r w:rsidR="00BE3D0D" w:rsidRPr="00BE3D0D">
              <w:rPr>
                <w:b/>
                <w:vertAlign w:val="superscript"/>
              </w:rPr>
              <w:t>3</w:t>
            </w:r>
            <w:r w:rsidR="00BE3D0D">
              <w:rPr>
                <w:b/>
              </w:rPr>
              <w:t>)</w:t>
            </w:r>
          </w:p>
        </w:tc>
      </w:tr>
      <w:tr w:rsidR="002C7AFE" w:rsidRPr="004C23F4" w14:paraId="64651776" w14:textId="77777777" w:rsidTr="0071581F">
        <w:trPr>
          <w:cantSplit/>
        </w:trPr>
        <w:tc>
          <w:tcPr>
            <w:tcW w:w="3994" w:type="dxa"/>
            <w:vAlign w:val="center"/>
          </w:tcPr>
          <w:p w14:paraId="00417E86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32" w:type="dxa"/>
          </w:tcPr>
          <w:p w14:paraId="6B9F96B2" w14:textId="75C75C8A" w:rsidR="002C7AFE" w:rsidRPr="00EB3D1B" w:rsidRDefault="00352694" w:rsidP="00017C82">
            <w:pPr>
              <w:pStyle w:val="Tablefont"/>
              <w:rPr>
                <w:b/>
              </w:rPr>
            </w:pPr>
            <w:r w:rsidRPr="0071581F">
              <w:rPr>
                <w:b/>
              </w:rPr>
              <w:t>—</w:t>
            </w:r>
          </w:p>
        </w:tc>
      </w:tr>
      <w:tr w:rsidR="002C7AFE" w:rsidRPr="004C23F4" w14:paraId="7138C86D" w14:textId="77777777" w:rsidTr="0071581F">
        <w:trPr>
          <w:cantSplit/>
        </w:trPr>
        <w:tc>
          <w:tcPr>
            <w:tcW w:w="3994" w:type="dxa"/>
            <w:vAlign w:val="center"/>
          </w:tcPr>
          <w:p w14:paraId="1541E834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32" w:type="dxa"/>
          </w:tcPr>
          <w:p w14:paraId="1C75E0AB" w14:textId="7C35FEAF" w:rsidR="002C7AFE" w:rsidRPr="00EB3D1B" w:rsidRDefault="00352694" w:rsidP="00017C82">
            <w:pPr>
              <w:pStyle w:val="Tablefont"/>
              <w:rPr>
                <w:b/>
              </w:rPr>
            </w:pPr>
            <w:r w:rsidRPr="00DA54B2">
              <w:rPr>
                <w:b/>
              </w:rPr>
              <w:t>—</w:t>
            </w:r>
          </w:p>
        </w:tc>
      </w:tr>
      <w:tr w:rsidR="002C7AFE" w:rsidRPr="004C23F4" w14:paraId="20925DF6" w14:textId="77777777" w:rsidTr="0071581F">
        <w:trPr>
          <w:cantSplit/>
        </w:trPr>
        <w:tc>
          <w:tcPr>
            <w:tcW w:w="3994" w:type="dxa"/>
          </w:tcPr>
          <w:p w14:paraId="2A6DE24E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32" w:type="dxa"/>
          </w:tcPr>
          <w:p w14:paraId="548F829B" w14:textId="0C0A0EDB" w:rsidR="002C7AFE" w:rsidRPr="00EB3D1B" w:rsidRDefault="0071581F" w:rsidP="008A36CF">
            <w:pPr>
              <w:pStyle w:val="Tablefont"/>
              <w:rPr>
                <w:b/>
              </w:rPr>
            </w:pPr>
            <w:proofErr w:type="spellStart"/>
            <w:r>
              <w:rPr>
                <w:b/>
              </w:rPr>
              <w:t>Carc</w:t>
            </w:r>
            <w:proofErr w:type="spellEnd"/>
            <w:r>
              <w:rPr>
                <w:b/>
              </w:rPr>
              <w:t xml:space="preserve">. 1B, </w:t>
            </w:r>
            <w:r w:rsidR="00154180">
              <w:rPr>
                <w:b/>
              </w:rPr>
              <w:t xml:space="preserve">Sk., </w:t>
            </w:r>
            <w:r w:rsidR="006533AB">
              <w:rPr>
                <w:b/>
              </w:rPr>
              <w:t>DSEN</w:t>
            </w:r>
          </w:p>
        </w:tc>
      </w:tr>
      <w:tr w:rsidR="002C7AFE" w:rsidRPr="004C23F4" w14:paraId="2F4E8D21" w14:textId="77777777" w:rsidTr="0071581F">
        <w:trPr>
          <w:cantSplit/>
        </w:trPr>
        <w:tc>
          <w:tcPr>
            <w:tcW w:w="3994" w:type="dxa"/>
            <w:vAlign w:val="center"/>
          </w:tcPr>
          <w:p w14:paraId="2A2B5E31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32" w:type="dxa"/>
          </w:tcPr>
          <w:p w14:paraId="5CC93DA3" w14:textId="353285D2" w:rsidR="002C7AFE" w:rsidRPr="00EB3D1B" w:rsidRDefault="00873E09" w:rsidP="00017C82">
            <w:pPr>
              <w:pStyle w:val="Tablefont"/>
              <w:rPr>
                <w:b/>
              </w:rPr>
            </w:pPr>
            <w:r w:rsidRPr="00DA54B2">
              <w:rPr>
                <w:b/>
              </w:rPr>
              <w:t>—</w:t>
            </w:r>
          </w:p>
        </w:tc>
      </w:tr>
      <w:tr w:rsidR="0071581F" w:rsidRPr="004C23F4" w14:paraId="0D73EAA0" w14:textId="77777777" w:rsidTr="00AB0BFA">
        <w:trPr>
          <w:cantSplit/>
        </w:trPr>
        <w:tc>
          <w:tcPr>
            <w:tcW w:w="9026" w:type="dxa"/>
            <w:gridSpan w:val="2"/>
            <w:vAlign w:val="center"/>
          </w:tcPr>
          <w:p w14:paraId="664F5B71" w14:textId="6E44932A" w:rsidR="0071581F" w:rsidRPr="00EB3D1B" w:rsidRDefault="0071581F" w:rsidP="0071581F">
            <w:pPr>
              <w:pStyle w:val="Tablerowright"/>
              <w:jc w:val="left"/>
            </w:pPr>
            <w: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b w:val="0"/>
                  <w:color w:val="auto"/>
                </w:rPr>
                <w:id w:val="-2105258949"/>
                <w:placeholder>
                  <w:docPart w:val="CC9FD64F3E1B4CD3A2D4FAEC6D2F59E4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="00DC21F2">
                  <w:rPr>
                    <w:rStyle w:val="WESstatus"/>
                    <w:b w:val="0"/>
                    <w:color w:val="auto"/>
                  </w:rPr>
                  <w:t>The recommended value is likely to be below the current limit of detection for standard sampling and analysis techniques.</w:t>
                </w:r>
              </w:sdtContent>
            </w:sdt>
          </w:p>
        </w:tc>
      </w:tr>
    </w:tbl>
    <w:p w14:paraId="32FCB72B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240BCB8F" w14:textId="05D52EE2" w:rsidR="006639B4" w:rsidRDefault="00BE3D0D" w:rsidP="000C139A">
      <w:pPr>
        <w:rPr>
          <w:rFonts w:cs="Arial"/>
        </w:rPr>
      </w:pPr>
      <w:r>
        <w:rPr>
          <w:rFonts w:cs="Arial"/>
        </w:rPr>
        <w:t>A</w:t>
      </w:r>
      <w:r w:rsidR="001E0046">
        <w:rPr>
          <w:rFonts w:cs="Arial"/>
        </w:rPr>
        <w:t>n interim</w:t>
      </w:r>
      <w:r>
        <w:rPr>
          <w:rFonts w:cs="Arial"/>
        </w:rPr>
        <w:t xml:space="preserve"> TWA of </w:t>
      </w:r>
      <w:r w:rsidR="00432B5E">
        <w:rPr>
          <w:rFonts w:cs="Arial"/>
        </w:rPr>
        <w:t>3</w:t>
      </w:r>
      <w:r>
        <w:rPr>
          <w:rFonts w:cs="Arial"/>
        </w:rPr>
        <w:t xml:space="preserve"> pp</w:t>
      </w:r>
      <w:r w:rsidR="00A26C65">
        <w:rPr>
          <w:rFonts w:cs="Arial"/>
        </w:rPr>
        <w:t>b</w:t>
      </w:r>
      <w:r>
        <w:rPr>
          <w:rFonts w:cs="Arial"/>
        </w:rPr>
        <w:t xml:space="preserve"> (0.</w:t>
      </w:r>
      <w:r w:rsidR="00432B5E">
        <w:rPr>
          <w:rFonts w:cs="Arial"/>
        </w:rPr>
        <w:t xml:space="preserve">015 </w:t>
      </w:r>
      <w:r>
        <w:rPr>
          <w:rFonts w:cs="Arial"/>
        </w:rPr>
        <w:t>mg/m</w:t>
      </w:r>
      <w:r w:rsidRPr="00BE3D0D">
        <w:rPr>
          <w:rFonts w:cs="Arial"/>
          <w:vertAlign w:val="superscript"/>
        </w:rPr>
        <w:t>3</w:t>
      </w:r>
      <w:r>
        <w:rPr>
          <w:rFonts w:cs="Arial"/>
        </w:rPr>
        <w:t xml:space="preserve">) is </w:t>
      </w:r>
      <w:r w:rsidR="00194E1F">
        <w:rPr>
          <w:rFonts w:cs="Arial"/>
        </w:rPr>
        <w:t>recommended</w:t>
      </w:r>
      <w:r>
        <w:rPr>
          <w:rFonts w:cs="Arial"/>
        </w:rPr>
        <w:t xml:space="preserve"> to protect for </w:t>
      </w:r>
      <w:r w:rsidR="005C1DFB">
        <w:rPr>
          <w:rFonts w:cs="Arial"/>
        </w:rPr>
        <w:t>cancer</w:t>
      </w:r>
      <w:r w:rsidR="00817FD0">
        <w:rPr>
          <w:rFonts w:cs="Arial"/>
        </w:rPr>
        <w:t xml:space="preserve"> in exposed workers</w:t>
      </w:r>
      <w:r>
        <w:rPr>
          <w:rFonts w:cs="Arial"/>
        </w:rPr>
        <w:t>.</w:t>
      </w:r>
    </w:p>
    <w:p w14:paraId="537F58A1" w14:textId="36D39D35" w:rsidR="00F051F9" w:rsidRDefault="00F051F9" w:rsidP="000C139A">
      <w:pPr>
        <w:rPr>
          <w:rFonts w:cs="Arial"/>
        </w:rPr>
      </w:pPr>
      <w:r>
        <w:rPr>
          <w:rFonts w:cs="Arial"/>
        </w:rPr>
        <w:t xml:space="preserve">A </w:t>
      </w:r>
      <w:r w:rsidR="00BF4029">
        <w:rPr>
          <w:rFonts w:cs="Arial"/>
        </w:rPr>
        <w:t>review</w:t>
      </w:r>
      <w:r>
        <w:rPr>
          <w:rFonts w:cs="Arial"/>
        </w:rPr>
        <w:t xml:space="preserve"> of the available </w:t>
      </w:r>
      <w:r w:rsidR="008D7791">
        <w:rPr>
          <w:rFonts w:cs="Arial"/>
        </w:rPr>
        <w:t>data sources</w:t>
      </w:r>
      <w:r>
        <w:rPr>
          <w:rFonts w:cs="Arial"/>
        </w:rPr>
        <w:t xml:space="preserve"> is recommended</w:t>
      </w:r>
      <w:r w:rsidR="00BF4029">
        <w:rPr>
          <w:rFonts w:cs="Arial"/>
        </w:rPr>
        <w:t xml:space="preserve"> as a priority</w:t>
      </w:r>
      <w:r w:rsidR="003B40A6">
        <w:rPr>
          <w:rFonts w:cs="Arial"/>
        </w:rPr>
        <w:t xml:space="preserve"> at the next WES review</w:t>
      </w:r>
      <w:r w:rsidR="00BF4029">
        <w:rPr>
          <w:rFonts w:cs="Arial"/>
        </w:rPr>
        <w:t>.</w:t>
      </w:r>
    </w:p>
    <w:p w14:paraId="738CE5BE" w14:textId="5658A201" w:rsidR="00C7155E" w:rsidRPr="004C23F4" w:rsidRDefault="00F10C97" w:rsidP="003365A5">
      <w:pPr>
        <w:pStyle w:val="Heading2"/>
      </w:pPr>
      <w:r>
        <w:t>Discussion and conclusions</w:t>
      </w:r>
    </w:p>
    <w:p w14:paraId="7D3659F9" w14:textId="7B757F96" w:rsidR="00D11638" w:rsidRDefault="00BE3D0D" w:rsidP="00A26C65">
      <w:pPr>
        <w:rPr>
          <w:rFonts w:cs="Arial"/>
        </w:rPr>
      </w:pPr>
      <w:r>
        <w:rPr>
          <w:rFonts w:cs="Arial"/>
        </w:rPr>
        <w:t>Dimethyl sul</w:t>
      </w:r>
      <w:r w:rsidR="008D7791">
        <w:rPr>
          <w:rFonts w:cs="Arial"/>
        </w:rPr>
        <w:t>ph</w:t>
      </w:r>
      <w:r>
        <w:rPr>
          <w:rFonts w:cs="Arial"/>
        </w:rPr>
        <w:t>ate is used as a methylating agent in the manufactur</w:t>
      </w:r>
      <w:r w:rsidR="00DE1E07">
        <w:rPr>
          <w:rFonts w:cs="Arial"/>
        </w:rPr>
        <w:t>e</w:t>
      </w:r>
      <w:r>
        <w:rPr>
          <w:rFonts w:cs="Arial"/>
        </w:rPr>
        <w:t xml:space="preserve"> of </w:t>
      </w:r>
      <w:r w:rsidR="00053F7B">
        <w:rPr>
          <w:rFonts w:cs="Arial"/>
        </w:rPr>
        <w:t xml:space="preserve">many organic chemicals including </w:t>
      </w:r>
      <w:r>
        <w:rPr>
          <w:rFonts w:cs="Arial"/>
        </w:rPr>
        <w:t>dyes, perfumes, pharmaceuticals</w:t>
      </w:r>
      <w:r w:rsidR="00655A68">
        <w:rPr>
          <w:rFonts w:cs="Arial"/>
        </w:rPr>
        <w:t>, separation of mineral oils and analysis of automobile fluids (</w:t>
      </w:r>
      <w:r w:rsidR="00C46B39">
        <w:rPr>
          <w:rFonts w:cs="Arial"/>
        </w:rPr>
        <w:t xml:space="preserve">ACGIH, 2018; </w:t>
      </w:r>
      <w:r w:rsidR="00655A68">
        <w:rPr>
          <w:rFonts w:cs="Arial"/>
        </w:rPr>
        <w:t xml:space="preserve">HCOTN, 2014). </w:t>
      </w:r>
    </w:p>
    <w:p w14:paraId="166D0830" w14:textId="4978A759" w:rsidR="00E56BE0" w:rsidRDefault="00194E1F" w:rsidP="00A26C65">
      <w:r>
        <w:rPr>
          <w:rFonts w:cs="Arial"/>
        </w:rPr>
        <w:t xml:space="preserve">Critical effects include severe </w:t>
      </w:r>
      <w:r>
        <w:t>skin and eye irritation</w:t>
      </w:r>
      <w:r w:rsidR="001078D0">
        <w:t xml:space="preserve"> and</w:t>
      </w:r>
      <w:r>
        <w:t xml:space="preserve"> potential reproductive effects and bronchial and nasal cancers.</w:t>
      </w:r>
      <w:r w:rsidR="00D11638">
        <w:t xml:space="preserve"> </w:t>
      </w:r>
      <w:r w:rsidR="00A26C65">
        <w:t>Based on evidence in animals</w:t>
      </w:r>
      <w:r w:rsidR="00A967D2">
        <w:t xml:space="preserve"> (HCOTN, 2014; NICNAS, 2013)</w:t>
      </w:r>
      <w:r w:rsidR="00A26C65">
        <w:t xml:space="preserve">, it is </w:t>
      </w:r>
      <w:r w:rsidR="00A967D2">
        <w:t xml:space="preserve">characterised </w:t>
      </w:r>
      <w:r w:rsidR="001078D0">
        <w:t xml:space="preserve">as </w:t>
      </w:r>
      <w:r w:rsidR="00A26C65">
        <w:t>a non-threshold based genotoxic carcinogen</w:t>
      </w:r>
      <w:r w:rsidR="00A967D2">
        <w:t xml:space="preserve">. </w:t>
      </w:r>
      <w:r w:rsidR="00A26C65">
        <w:t xml:space="preserve">Carcinogenicity is likely to act </w:t>
      </w:r>
      <w:r w:rsidR="00A26C65" w:rsidRPr="00D11638">
        <w:rPr>
          <w:i/>
        </w:rPr>
        <w:t>via</w:t>
      </w:r>
      <w:r w:rsidR="00A26C65">
        <w:t xml:space="preserve"> a mutagenic mode of action</w:t>
      </w:r>
      <w:r w:rsidR="00A967D2">
        <w:t>.</w:t>
      </w:r>
      <w:r w:rsidR="00432B5E">
        <w:t xml:space="preserve"> A statistically significant increase in tumours </w:t>
      </w:r>
      <w:r w:rsidR="00432B5E" w:rsidRPr="00432B5E">
        <w:t xml:space="preserve">(mainly lung adenoma) </w:t>
      </w:r>
      <w:r w:rsidR="00432B5E">
        <w:t>was observed in mice exposed at concentrations at 3 ppm for 6 months (SCOEL, 2004).</w:t>
      </w:r>
    </w:p>
    <w:p w14:paraId="6E35FAA6" w14:textId="1B148718" w:rsidR="00A26C65" w:rsidRDefault="00A26C65" w:rsidP="00A26C65">
      <w:r>
        <w:rPr>
          <w:rFonts w:cs="Arial"/>
        </w:rPr>
        <w:t xml:space="preserve">At present, Inhalation Unit Risk or Oral Slope Factors could not be identified to derive a TWA. Using the </w:t>
      </w:r>
      <w:r w:rsidR="00432B5E">
        <w:rPr>
          <w:rFonts w:cs="Arial"/>
        </w:rPr>
        <w:t>concentration of 3 ppm, associated with tumour development, reported in mice</w:t>
      </w:r>
      <w:r>
        <w:rPr>
          <w:rFonts w:cs="Arial"/>
        </w:rPr>
        <w:t xml:space="preserve"> as a starting point and </w:t>
      </w:r>
      <w:r w:rsidR="00432B5E">
        <w:t>applying an uncertainty factor of 1,000 (to account for interspecies variation,</w:t>
      </w:r>
      <w:r w:rsidR="00033E28">
        <w:t xml:space="preserve"> </w:t>
      </w:r>
      <w:r w:rsidR="00432B5E">
        <w:t xml:space="preserve">lack of chronic data and severity of effect), </w:t>
      </w:r>
      <w:r w:rsidR="009B1E74">
        <w:t>result</w:t>
      </w:r>
      <w:r w:rsidR="00F45842">
        <w:t>s</w:t>
      </w:r>
      <w:r w:rsidR="009B1E74">
        <w:t xml:space="preserve"> in a</w:t>
      </w:r>
      <w:r>
        <w:t xml:space="preserve"> recommended TWA of </w:t>
      </w:r>
      <w:r w:rsidR="00432B5E">
        <w:t>3</w:t>
      </w:r>
      <w:r>
        <w:t xml:space="preserve"> ppb</w:t>
      </w:r>
      <w:r w:rsidR="009B1E74">
        <w:t xml:space="preserve"> (0.</w:t>
      </w:r>
      <w:r w:rsidR="00432B5E">
        <w:t xml:space="preserve">015 </w:t>
      </w:r>
      <w:r w:rsidR="00432B5E">
        <w:rPr>
          <w:rFonts w:cs="Arial"/>
        </w:rPr>
        <w:t>m</w:t>
      </w:r>
      <w:r w:rsidR="009B1E74" w:rsidRPr="00F45842">
        <w:t>g/m</w:t>
      </w:r>
      <w:r w:rsidR="009B1E74" w:rsidRPr="00F45842">
        <w:rPr>
          <w:vertAlign w:val="superscript"/>
        </w:rPr>
        <w:t>3</w:t>
      </w:r>
      <w:r w:rsidR="009B1E74">
        <w:t>)</w:t>
      </w:r>
      <w:r>
        <w:t xml:space="preserve">. </w:t>
      </w:r>
      <w:r w:rsidR="009A2B14">
        <w:t xml:space="preserve">The TWA of 3 ppb is recommended in the interim to protect for listed effects in exposed workers. </w:t>
      </w:r>
      <w:r w:rsidR="00BF4029">
        <w:t xml:space="preserve">A priority review of the available </w:t>
      </w:r>
      <w:r w:rsidR="008D7791">
        <w:t>data sources</w:t>
      </w:r>
      <w:r w:rsidR="00BF4029">
        <w:t xml:space="preserve"> is recommended.</w:t>
      </w:r>
    </w:p>
    <w:p w14:paraId="38FB99C5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034ACF39" w14:textId="7D43CC8C" w:rsidR="00212059" w:rsidRPr="007034F3" w:rsidRDefault="006B7760" w:rsidP="00212059">
      <w:pPr>
        <w:rPr>
          <w:rFonts w:cs="Arial"/>
        </w:rPr>
      </w:pPr>
      <w:r>
        <w:rPr>
          <w:rFonts w:cs="Arial"/>
        </w:rPr>
        <w:t>C</w:t>
      </w:r>
      <w:r w:rsidR="00212059" w:rsidRPr="007034F3">
        <w:rPr>
          <w:rFonts w:cs="Arial"/>
        </w:rPr>
        <w:t xml:space="preserve">lassified as a </w:t>
      </w:r>
      <w:r w:rsidR="00250E3D">
        <w:rPr>
          <w:rFonts w:cs="Arial"/>
        </w:rPr>
        <w:t>category 1B c</w:t>
      </w:r>
      <w:r w:rsidR="00212059" w:rsidRPr="007034F3">
        <w:rPr>
          <w:rFonts w:cs="Arial"/>
        </w:rPr>
        <w:t>arcinogen according to the Globally Harmonized System of Classification and Labelling o</w:t>
      </w:r>
      <w:r w:rsidR="0071581F">
        <w:rPr>
          <w:rFonts w:cs="Arial"/>
        </w:rPr>
        <w:t>f</w:t>
      </w:r>
      <w:r w:rsidR="00212059" w:rsidRPr="007034F3">
        <w:rPr>
          <w:rFonts w:cs="Arial"/>
        </w:rPr>
        <w:t xml:space="preserve"> Chemicals (GHS). </w:t>
      </w:r>
    </w:p>
    <w:p w14:paraId="775664FE" w14:textId="45C59411" w:rsidR="006533AB" w:rsidRPr="004C23F4" w:rsidRDefault="003E1164" w:rsidP="006533AB">
      <w:pPr>
        <w:rPr>
          <w:rFonts w:cs="Arial"/>
        </w:rPr>
      </w:pPr>
      <w:r>
        <w:rPr>
          <w:rFonts w:cs="Arial"/>
        </w:rPr>
        <w:t>C</w:t>
      </w:r>
      <w:r w:rsidR="00212059" w:rsidRPr="007034F3">
        <w:rPr>
          <w:rFonts w:cs="Arial"/>
        </w:rPr>
        <w:t xml:space="preserve">lassified as a skin </w:t>
      </w:r>
      <w:r w:rsidR="006533AB" w:rsidRPr="007034F3">
        <w:rPr>
          <w:rFonts w:cs="Arial"/>
        </w:rPr>
        <w:t xml:space="preserve">sensitiser </w:t>
      </w:r>
      <w:r w:rsidR="00D11638">
        <w:rPr>
          <w:rFonts w:cs="Arial"/>
        </w:rPr>
        <w:t>and</w:t>
      </w:r>
      <w:r w:rsidR="006533AB">
        <w:rPr>
          <w:rFonts w:cs="Arial"/>
        </w:rPr>
        <w:t xml:space="preserve"> not a</w:t>
      </w:r>
      <w:r w:rsidR="00212059" w:rsidRPr="007034F3">
        <w:rPr>
          <w:rFonts w:cs="Arial"/>
        </w:rPr>
        <w:t xml:space="preserve"> respiratory sensitiser according to the GHS.</w:t>
      </w:r>
    </w:p>
    <w:p w14:paraId="096C5D76" w14:textId="54192597" w:rsidR="006533AB" w:rsidRPr="005C1DFB" w:rsidRDefault="006533AB" w:rsidP="00212059">
      <w:pPr>
        <w:rPr>
          <w:rFonts w:cs="Arial"/>
        </w:rPr>
      </w:pPr>
      <w:r w:rsidRPr="006533AB">
        <w:rPr>
          <w:rFonts w:cs="Arial"/>
        </w:rPr>
        <w:lastRenderedPageBreak/>
        <w:t>A skin notation</w:t>
      </w:r>
      <w:r w:rsidR="00D11638">
        <w:rPr>
          <w:rFonts w:cs="Arial"/>
        </w:rPr>
        <w:t xml:space="preserve"> is</w:t>
      </w:r>
      <w:r w:rsidRPr="006533AB">
        <w:rPr>
          <w:rFonts w:cs="Arial"/>
        </w:rPr>
        <w:t xml:space="preserve"> recommended based on evidence suggesting dermal absorption and adverse systemic effects in </w:t>
      </w:r>
      <w:r>
        <w:rPr>
          <w:rFonts w:cs="Arial"/>
        </w:rPr>
        <w:t xml:space="preserve">humans and </w:t>
      </w:r>
      <w:r w:rsidRPr="006533AB">
        <w:rPr>
          <w:rFonts w:cs="Arial"/>
        </w:rPr>
        <w:t>animals.</w:t>
      </w:r>
    </w:p>
    <w:p w14:paraId="68D510B3" w14:textId="6D80E512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50EE89E7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6A2D4BD1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4D3B9F38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66C27627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603E103F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357F426" w14:textId="2C08E43E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212059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212059">
                  <w:t>TWA: 0.1 ppm (0.52 mg/m</w:t>
                </w:r>
                <w:r w:rsidR="00212059" w:rsidRPr="00212059">
                  <w:rPr>
                    <w:vertAlign w:val="superscript"/>
                  </w:rPr>
                  <w:t>3</w:t>
                </w:r>
                <w:r w:rsidR="00212059">
                  <w:t>)</w:t>
                </w:r>
              </w:sdtContent>
            </w:sdt>
          </w:p>
        </w:tc>
      </w:tr>
      <w:tr w:rsidR="00C978F0" w:rsidRPr="00DA352E" w14:paraId="17B0763D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80234CD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1E2417CC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7B4CCDD" w14:textId="1D575188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212059">
                  <w:t>2001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212059">
                  <w:t>TLV-TWA: 0.1 ppm (0.5 mg/m</w:t>
                </w:r>
                <w:r w:rsidR="00212059" w:rsidRPr="00212059">
                  <w:rPr>
                    <w:vertAlign w:val="superscript"/>
                  </w:rPr>
                  <w:t>3</w:t>
                </w:r>
                <w:r w:rsidR="00212059">
                  <w:t>)</w:t>
                </w:r>
              </w:sdtContent>
            </w:sdt>
          </w:p>
        </w:tc>
      </w:tr>
      <w:tr w:rsidR="00C978F0" w:rsidRPr="00DA352E" w14:paraId="625E3EA4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060E6DB5" w14:textId="2B2326D9" w:rsidR="00D11638" w:rsidRDefault="00625B81" w:rsidP="003365A5">
            <w:pPr>
              <w:pStyle w:val="Tabletextprimarysource"/>
            </w:pPr>
            <w:r>
              <w:t>TLV</w:t>
            </w:r>
            <w:r w:rsidR="00D22F69">
              <w:t>-TWA</w:t>
            </w:r>
            <w:r>
              <w:t xml:space="preserve"> </w:t>
            </w:r>
            <w:r w:rsidR="00F66653">
              <w:t xml:space="preserve">recommended to protect against skin and eye irritation and potential reproductive effects reported in </w:t>
            </w:r>
            <w:r w:rsidR="00D22F69">
              <w:t>rodent</w:t>
            </w:r>
            <w:r w:rsidR="00F66653">
              <w:t>s</w:t>
            </w:r>
            <w:r w:rsidR="00053F7B">
              <w:t xml:space="preserve">. </w:t>
            </w:r>
          </w:p>
          <w:p w14:paraId="7E9613A4" w14:textId="43146627" w:rsidR="001078D0" w:rsidRDefault="001078D0" w:rsidP="003365A5">
            <w:pPr>
              <w:pStyle w:val="Tabletextprimarysource"/>
            </w:pPr>
            <w:r>
              <w:t>TLV-TWA is derived from evidence of irritation in workers at 1</w:t>
            </w:r>
            <w:r w:rsidR="00033E28">
              <w:t xml:space="preserve"> </w:t>
            </w:r>
            <w:r>
              <w:t>ppm; no further information</w:t>
            </w:r>
          </w:p>
          <w:p w14:paraId="5048E5E8" w14:textId="77777777" w:rsidR="00F66653" w:rsidRDefault="00F66653" w:rsidP="003365A5">
            <w:pPr>
              <w:pStyle w:val="Tabletextprimarysource"/>
            </w:pPr>
            <w:r>
              <w:t>Summary of human data:</w:t>
            </w:r>
          </w:p>
          <w:p w14:paraId="6080EFBF" w14:textId="77777777" w:rsidR="00F66653" w:rsidRDefault="00F66653" w:rsidP="003365A5">
            <w:pPr>
              <w:pStyle w:val="Tabletextprimarysource"/>
            </w:pPr>
            <w:r>
              <w:t>Human data</w:t>
            </w:r>
          </w:p>
          <w:p w14:paraId="5272CAE2" w14:textId="36B60751" w:rsidR="00D11638" w:rsidRDefault="006E5A7A" w:rsidP="005670E9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Symptoms include </w:t>
            </w:r>
            <w:r w:rsidR="00301C66">
              <w:t>h</w:t>
            </w:r>
            <w:r w:rsidR="00D117BE">
              <w:t xml:space="preserve">eadache and giddiness with burning of the eyes reaching maximal intensity </w:t>
            </w:r>
            <w:r w:rsidR="006533AB">
              <w:t>between 2</w:t>
            </w:r>
            <w:r w:rsidR="00C46B39">
              <w:t>–</w:t>
            </w:r>
            <w:r w:rsidR="00D117BE">
              <w:t>10 h</w:t>
            </w:r>
            <w:r w:rsidR="008715A6">
              <w:t>:</w:t>
            </w:r>
          </w:p>
          <w:p w14:paraId="7BFF069F" w14:textId="56B12E82" w:rsidR="00D11638" w:rsidRDefault="00D117BE" w:rsidP="001E0046">
            <w:pPr>
              <w:pStyle w:val="Tabletextprimarysource"/>
              <w:numPr>
                <w:ilvl w:val="0"/>
                <w:numId w:val="7"/>
              </w:numPr>
              <w:ind w:left="1094" w:hanging="357"/>
            </w:pPr>
            <w:r>
              <w:t>progress</w:t>
            </w:r>
            <w:r w:rsidR="001E0046">
              <w:t>ing</w:t>
            </w:r>
            <w:r>
              <w:t xml:space="preserve"> to painful, reddened eyes, photophobia, irritation of nose and throat, cough and oppression </w:t>
            </w:r>
            <w:r w:rsidR="00301C66">
              <w:t xml:space="preserve">in the </w:t>
            </w:r>
            <w:r>
              <w:t>chest</w:t>
            </w:r>
          </w:p>
          <w:p w14:paraId="0BA8D1CC" w14:textId="38607B78" w:rsidR="00D11638" w:rsidRDefault="00DC57D3" w:rsidP="001E0046">
            <w:pPr>
              <w:pStyle w:val="Tabletextprimarysource"/>
              <w:numPr>
                <w:ilvl w:val="0"/>
                <w:numId w:val="7"/>
              </w:numPr>
              <w:ind w:left="1094" w:hanging="357"/>
            </w:pPr>
            <w:r>
              <w:t xml:space="preserve">followed </w:t>
            </w:r>
            <w:r w:rsidR="005670E9">
              <w:t>by</w:t>
            </w:r>
            <w:r>
              <w:t xml:space="preserve"> </w:t>
            </w:r>
            <w:r w:rsidR="00D117BE">
              <w:t>difficulty</w:t>
            </w:r>
            <w:r w:rsidR="00301C66">
              <w:t xml:space="preserve"> breathing, swallowing, vomiting, diarrh</w:t>
            </w:r>
            <w:r w:rsidR="006533AB">
              <w:t>o</w:t>
            </w:r>
            <w:r w:rsidR="00301C66">
              <w:t>ea</w:t>
            </w:r>
            <w:r w:rsidR="00D117BE">
              <w:t xml:space="preserve"> </w:t>
            </w:r>
            <w:r>
              <w:t xml:space="preserve">and </w:t>
            </w:r>
            <w:r w:rsidR="00D117BE">
              <w:t>painful urination persisting 3</w:t>
            </w:r>
            <w:r w:rsidR="00C46B39">
              <w:t>–</w:t>
            </w:r>
            <w:r w:rsidR="00D117BE">
              <w:t>4 d</w:t>
            </w:r>
          </w:p>
          <w:p w14:paraId="3DA75451" w14:textId="1735380F" w:rsidR="00D11638" w:rsidRDefault="00D11638" w:rsidP="001E0046">
            <w:pPr>
              <w:pStyle w:val="Tabletextprimarysource"/>
              <w:numPr>
                <w:ilvl w:val="0"/>
                <w:numId w:val="7"/>
              </w:numPr>
              <w:ind w:left="1094" w:hanging="357"/>
            </w:pPr>
            <w:r>
              <w:t>e</w:t>
            </w:r>
            <w:r w:rsidR="00194E1F">
              <w:t xml:space="preserve">ye effects </w:t>
            </w:r>
            <w:r>
              <w:t xml:space="preserve">are </w:t>
            </w:r>
            <w:r w:rsidR="00194E1F">
              <w:t xml:space="preserve">caused by metabolism of dimethyl sulphate to methanol and </w:t>
            </w:r>
            <w:proofErr w:type="spellStart"/>
            <w:r w:rsidR="00194E1F">
              <w:t>sulfuric</w:t>
            </w:r>
            <w:proofErr w:type="spellEnd"/>
            <w:r w:rsidR="00194E1F">
              <w:t xml:space="preserve"> acid</w:t>
            </w:r>
          </w:p>
          <w:p w14:paraId="06E77500" w14:textId="3E8F5733" w:rsidR="00194E1F" w:rsidRDefault="00D11638" w:rsidP="001E0046">
            <w:pPr>
              <w:pStyle w:val="Tabletextprimarysource"/>
              <w:numPr>
                <w:ilvl w:val="0"/>
                <w:numId w:val="7"/>
              </w:numPr>
              <w:ind w:left="1094" w:hanging="357"/>
            </w:pPr>
            <w:r>
              <w:t>d</w:t>
            </w:r>
            <w:r w:rsidR="00194E1F">
              <w:t xml:space="preserve">eath as a result of circulatory failure </w:t>
            </w:r>
            <w:r>
              <w:t xml:space="preserve">reported </w:t>
            </w:r>
            <w:r w:rsidR="00194E1F">
              <w:t>in some cases</w:t>
            </w:r>
          </w:p>
          <w:p w14:paraId="74A8E480" w14:textId="5F98CF27" w:rsidR="005670E9" w:rsidRDefault="00194E1F" w:rsidP="005670E9">
            <w:pPr>
              <w:pStyle w:val="Tabletextprimarysource"/>
              <w:numPr>
                <w:ilvl w:val="0"/>
                <w:numId w:val="1"/>
              </w:numPr>
            </w:pPr>
            <w:r>
              <w:t>Chronic symptoms include i</w:t>
            </w:r>
            <w:r w:rsidR="005670E9">
              <w:t xml:space="preserve">mpairment of liver function and reduction in visual fields for various colours reported after 6 </w:t>
            </w:r>
            <w:proofErr w:type="spellStart"/>
            <w:r w:rsidR="00352694">
              <w:t>yr</w:t>
            </w:r>
            <w:proofErr w:type="spellEnd"/>
          </w:p>
          <w:p w14:paraId="044FEFE0" w14:textId="5905277B" w:rsidR="008238C2" w:rsidRDefault="008238C2" w:rsidP="008238C2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A review of medical records of 25 workers with employment between 8 and 25 </w:t>
            </w:r>
            <w:proofErr w:type="spellStart"/>
            <w:r>
              <w:t>yr</w:t>
            </w:r>
            <w:proofErr w:type="spellEnd"/>
            <w:r>
              <w:t xml:space="preserve">; irritation of the eyes and skin at </w:t>
            </w:r>
            <w:r w:rsidR="003B40A6">
              <w:t>~</w:t>
            </w:r>
            <w:r>
              <w:t>1 ppm</w:t>
            </w:r>
            <w:r w:rsidR="003B40A6">
              <w:t xml:space="preserve"> (averaged)</w:t>
            </w:r>
            <w:r>
              <w:t>; no evidence of excess cancer deaths</w:t>
            </w:r>
          </w:p>
          <w:p w14:paraId="37185C79" w14:textId="010FCEC2" w:rsidR="003D1DEA" w:rsidRDefault="003D1DEA" w:rsidP="003D1DEA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Epidemiologic study covering a period of 15 </w:t>
            </w:r>
            <w:proofErr w:type="spellStart"/>
            <w:r>
              <w:t>yr</w:t>
            </w:r>
            <w:proofErr w:type="spellEnd"/>
            <w:r>
              <w:t xml:space="preserve"> showed no excess incidence of cancers of the respiratory tract among the dimethyl </w:t>
            </w:r>
            <w:proofErr w:type="spellStart"/>
            <w:r>
              <w:t>sulfate</w:t>
            </w:r>
            <w:proofErr w:type="spellEnd"/>
            <w:r>
              <w:t xml:space="preserve"> workers</w:t>
            </w:r>
          </w:p>
          <w:p w14:paraId="429AE4C8" w14:textId="31AB5716" w:rsidR="00C922D7" w:rsidRDefault="00C922D7" w:rsidP="00C922D7">
            <w:pPr>
              <w:pStyle w:val="Tabletextprimarysource"/>
              <w:numPr>
                <w:ilvl w:val="0"/>
                <w:numId w:val="1"/>
              </w:numPr>
            </w:pPr>
            <w:r>
              <w:t>Skin absorption caused blistering, ulceration, necrosis and systematic toxicity at multiple sites</w:t>
            </w:r>
          </w:p>
          <w:p w14:paraId="284C123E" w14:textId="72AAA99C" w:rsidR="00C46B39" w:rsidRDefault="00C922D7" w:rsidP="00D11638">
            <w:pPr>
              <w:pStyle w:val="Tabletextprimarysource"/>
              <w:numPr>
                <w:ilvl w:val="0"/>
                <w:numId w:val="1"/>
              </w:numPr>
            </w:pPr>
            <w:r>
              <w:t>Inadequate evidence for carcinogenicity</w:t>
            </w:r>
            <w:r w:rsidR="005670E9">
              <w:t xml:space="preserve"> in humans</w:t>
            </w:r>
            <w:r w:rsidR="00662DD2">
              <w:t>.</w:t>
            </w:r>
          </w:p>
          <w:p w14:paraId="47351890" w14:textId="77777777" w:rsidR="001A11EB" w:rsidRDefault="001A11EB" w:rsidP="001A11EB">
            <w:pPr>
              <w:pStyle w:val="Tabletextprimarysource"/>
            </w:pPr>
            <w:r>
              <w:t>Animal data</w:t>
            </w:r>
          </w:p>
          <w:p w14:paraId="438748C5" w14:textId="69222085" w:rsidR="00D11638" w:rsidRDefault="00B87750" w:rsidP="00321CB2">
            <w:pPr>
              <w:pStyle w:val="Tabletextprimarysource"/>
              <w:numPr>
                <w:ilvl w:val="0"/>
                <w:numId w:val="2"/>
              </w:numPr>
            </w:pPr>
            <w:r>
              <w:t>4</w:t>
            </w:r>
            <w:r w:rsidR="00352694">
              <w:t xml:space="preserve"> </w:t>
            </w:r>
            <w:r>
              <w:t>h inhalation</w:t>
            </w:r>
            <w:r w:rsidR="001A11EB">
              <w:t xml:space="preserve"> </w:t>
            </w:r>
            <w:r>
              <w:t xml:space="preserve">at </w:t>
            </w:r>
            <w:r w:rsidR="001A11EB">
              <w:t>30 ppm</w:t>
            </w:r>
            <w:r>
              <w:t xml:space="preserve"> </w:t>
            </w:r>
            <w:r w:rsidR="001E0046">
              <w:t xml:space="preserve">resulted in death (rats), </w:t>
            </w:r>
            <w:r w:rsidR="001A11EB">
              <w:t xml:space="preserve">at 15 ppm </w:t>
            </w:r>
            <w:r w:rsidR="001E0046">
              <w:t>rats survived</w:t>
            </w:r>
            <w:r w:rsidR="008715A6">
              <w:t>:</w:t>
            </w:r>
          </w:p>
          <w:p w14:paraId="4A59AA9C" w14:textId="12EDD2AF" w:rsidR="001A11EB" w:rsidRDefault="00B87750" w:rsidP="001E0046">
            <w:pPr>
              <w:pStyle w:val="Tabletextprimarysource"/>
              <w:numPr>
                <w:ilvl w:val="0"/>
                <w:numId w:val="7"/>
              </w:numPr>
              <w:ind w:left="1094" w:hanging="357"/>
            </w:pPr>
            <w:r>
              <w:t>a</w:t>
            </w:r>
            <w:r w:rsidR="001A11EB">
              <w:t xml:space="preserve">t 26 ppm, cats died in 1.5 </w:t>
            </w:r>
            <w:proofErr w:type="spellStart"/>
            <w:r w:rsidR="001A11EB">
              <w:t>wk</w:t>
            </w:r>
            <w:proofErr w:type="spellEnd"/>
            <w:r w:rsidR="001A11EB">
              <w:t xml:space="preserve"> and monkeys lived only 3 d</w:t>
            </w:r>
          </w:p>
          <w:p w14:paraId="4F57C46F" w14:textId="6D26EFCE" w:rsidR="001A11EB" w:rsidRDefault="003D1DEA" w:rsidP="001A11EB">
            <w:pPr>
              <w:pStyle w:val="Tabletextprimarysource"/>
              <w:numPr>
                <w:ilvl w:val="0"/>
                <w:numId w:val="2"/>
              </w:numPr>
            </w:pPr>
            <w:r>
              <w:t>Inhalation study in rats</w:t>
            </w:r>
            <w:r w:rsidR="001A11EB">
              <w:t xml:space="preserve"> </w:t>
            </w:r>
            <w:r>
              <w:t xml:space="preserve">exposed for </w:t>
            </w:r>
            <w:r w:rsidR="001A11EB">
              <w:t>1 h/d, 5 d/</w:t>
            </w:r>
            <w:proofErr w:type="spellStart"/>
            <w:r w:rsidR="001A11EB">
              <w:t>wk</w:t>
            </w:r>
            <w:proofErr w:type="spellEnd"/>
            <w:r w:rsidR="001A11EB">
              <w:t xml:space="preserve"> for </w:t>
            </w:r>
            <w:r w:rsidR="009117D7">
              <w:t xml:space="preserve">30 d </w:t>
            </w:r>
            <w:r>
              <w:t xml:space="preserve">at </w:t>
            </w:r>
            <w:r w:rsidR="009117D7">
              <w:t>10 or 3 ppm</w:t>
            </w:r>
            <w:r>
              <w:t xml:space="preserve"> (calculated</w:t>
            </w:r>
            <w:r w:rsidR="003B40A6">
              <w:t>,</w:t>
            </w:r>
            <w:r>
              <w:t xml:space="preserve"> not measured); intense irritation and suppuration of the rats' noses; some deaths; malignant tumours among the survivors 643 d post-exposure; no further information</w:t>
            </w:r>
          </w:p>
          <w:p w14:paraId="7218022D" w14:textId="63B77A15" w:rsidR="009117D7" w:rsidRDefault="009117D7" w:rsidP="001A11EB">
            <w:pPr>
              <w:pStyle w:val="Tabletextprimarysource"/>
              <w:numPr>
                <w:ilvl w:val="0"/>
                <w:numId w:val="2"/>
              </w:numPr>
            </w:pPr>
            <w:r>
              <w:t xml:space="preserve">Cancers in offspring (late life) after pregnant rats injected with 20 mg/kg on </w:t>
            </w:r>
            <w:r w:rsidR="00D11638">
              <w:t xml:space="preserve">GD </w:t>
            </w:r>
            <w:r>
              <w:t>15</w:t>
            </w:r>
          </w:p>
          <w:p w14:paraId="4DBB2E87" w14:textId="77777777" w:rsidR="00194E1F" w:rsidRDefault="00C84FDF" w:rsidP="001A11EB">
            <w:pPr>
              <w:pStyle w:val="Tabletextprimarysource"/>
              <w:numPr>
                <w:ilvl w:val="0"/>
                <w:numId w:val="2"/>
              </w:numPr>
            </w:pPr>
            <w:r>
              <w:t xml:space="preserve">Noted </w:t>
            </w:r>
            <w:r w:rsidR="009117D7">
              <w:t>IARC classification Group 2A, probably carcinogenic to humans.</w:t>
            </w:r>
            <w:r w:rsidR="00194E1F">
              <w:t xml:space="preserve"> </w:t>
            </w:r>
          </w:p>
          <w:p w14:paraId="1E59F74D" w14:textId="77777777" w:rsidR="00194E1F" w:rsidRDefault="00194E1F" w:rsidP="00194E1F">
            <w:pPr>
              <w:pStyle w:val="Tabletextprimarysource"/>
            </w:pPr>
          </w:p>
          <w:p w14:paraId="659191E0" w14:textId="77777777" w:rsidR="009117D7" w:rsidRDefault="00194E1F" w:rsidP="00194E1F">
            <w:pPr>
              <w:pStyle w:val="Tabletextprimarysource"/>
            </w:pPr>
            <w:r>
              <w:t>Insufficient data to recommend a SEN notation or TLV-STEL.</w:t>
            </w:r>
          </w:p>
          <w:p w14:paraId="69B1BAF5" w14:textId="561E5AE3" w:rsidR="00C46B39" w:rsidRPr="00DA352E" w:rsidRDefault="00C46B39" w:rsidP="00194E1F">
            <w:pPr>
              <w:pStyle w:val="Tabletextprimarysource"/>
            </w:pPr>
          </w:p>
        </w:tc>
      </w:tr>
      <w:tr w:rsidR="00C978F0" w:rsidRPr="00DA352E" w14:paraId="18AAD5E8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5495FA29" w14:textId="0120CAD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B87750">
                  <w:t>1980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212059">
                  <w:t>Not assigned</w:t>
                </w:r>
              </w:sdtContent>
            </w:sdt>
          </w:p>
        </w:tc>
      </w:tr>
      <w:tr w:rsidR="00C978F0" w:rsidRPr="00DA352E" w14:paraId="714BC6F0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6CDCE50B" w14:textId="428BA203" w:rsidR="00C978F0" w:rsidRPr="00DA352E" w:rsidRDefault="00CD7F1D" w:rsidP="003365A5">
            <w:pPr>
              <w:pStyle w:val="Tabletextprimarysource"/>
            </w:pPr>
            <w:r>
              <w:t xml:space="preserve">No further </w:t>
            </w:r>
            <w:r w:rsidR="00241AB8">
              <w:t>information</w:t>
            </w:r>
            <w:r>
              <w:t xml:space="preserve">. </w:t>
            </w:r>
          </w:p>
        </w:tc>
      </w:tr>
      <w:tr w:rsidR="00C978F0" w:rsidRPr="00DA352E" w14:paraId="5CA42875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031BCD6B" w14:textId="0473634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212059">
                  <w:t>2004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r w:rsidR="00212059">
                  <w:t>Not assigned</w:t>
                </w:r>
              </w:sdtContent>
            </w:sdt>
          </w:p>
        </w:tc>
      </w:tr>
      <w:tr w:rsidR="00C978F0" w:rsidRPr="00DA352E" w14:paraId="413D1690" w14:textId="77777777" w:rsidTr="00D11638">
        <w:trPr>
          <w:gridAfter w:val="1"/>
          <w:wAfter w:w="8" w:type="pct"/>
        </w:trPr>
        <w:tc>
          <w:tcPr>
            <w:tcW w:w="4992" w:type="pct"/>
          </w:tcPr>
          <w:p w14:paraId="4BB27996" w14:textId="374DDC43" w:rsidR="00C46B39" w:rsidRDefault="00C46B39" w:rsidP="003365A5">
            <w:pPr>
              <w:pStyle w:val="Tabletextprimarysource"/>
            </w:pPr>
            <w:r>
              <w:t>Summary of additional data:</w:t>
            </w:r>
          </w:p>
          <w:p w14:paraId="5F47302E" w14:textId="6DEA2C4D" w:rsidR="00C978F0" w:rsidRDefault="002B763B" w:rsidP="003365A5">
            <w:pPr>
              <w:pStyle w:val="Tabletextprimarysource"/>
            </w:pPr>
            <w:r>
              <w:lastRenderedPageBreak/>
              <w:t>Human data:</w:t>
            </w:r>
          </w:p>
          <w:p w14:paraId="7F001F6F" w14:textId="1524A672" w:rsidR="002B763B" w:rsidRDefault="00137090" w:rsidP="002B763B">
            <w:pPr>
              <w:pStyle w:val="Tabletextprimarysource"/>
              <w:numPr>
                <w:ilvl w:val="0"/>
                <w:numId w:val="3"/>
              </w:numPr>
            </w:pPr>
            <w:r>
              <w:t>Symptoms following inhalation are i</w:t>
            </w:r>
            <w:r w:rsidR="001C39FA">
              <w:t>rrita</w:t>
            </w:r>
            <w:r>
              <w:t>tion of upper respiratory tract, fever, irritation of</w:t>
            </w:r>
            <w:r w:rsidR="001C39FA">
              <w:t xml:space="preserve"> conjunctivae, glottis oede</w:t>
            </w:r>
            <w:r w:rsidR="00D11638">
              <w:t>ma and oedema of lung and brain</w:t>
            </w:r>
            <w:r w:rsidR="001C39FA">
              <w:t xml:space="preserve"> and</w:t>
            </w:r>
            <w:r>
              <w:t xml:space="preserve"> corrosion of respiratory tract</w:t>
            </w:r>
          </w:p>
          <w:p w14:paraId="75587ADB" w14:textId="0DF60186" w:rsidR="001C39FA" w:rsidRDefault="001C39FA" w:rsidP="002B763B">
            <w:pPr>
              <w:pStyle w:val="Tabletextprimarysource"/>
              <w:numPr>
                <w:ilvl w:val="0"/>
                <w:numId w:val="3"/>
              </w:numPr>
            </w:pPr>
            <w:r>
              <w:t>Erythema and o</w:t>
            </w:r>
            <w:r w:rsidR="00194E1F">
              <w:t>edema following dermal exposure</w:t>
            </w:r>
          </w:p>
          <w:p w14:paraId="492EA4FE" w14:textId="77777777" w:rsidR="004B1A6F" w:rsidRDefault="001C39FA" w:rsidP="002B763B">
            <w:pPr>
              <w:pStyle w:val="Tabletextprimarysource"/>
              <w:numPr>
                <w:ilvl w:val="0"/>
                <w:numId w:val="3"/>
              </w:numPr>
            </w:pPr>
            <w:r>
              <w:t xml:space="preserve">Increased chromosome and chromatid aberrations in lymphocytes reported </w:t>
            </w:r>
            <w:r w:rsidR="00D11638">
              <w:t>at</w:t>
            </w:r>
            <w:r>
              <w:t xml:space="preserve"> </w:t>
            </w:r>
          </w:p>
          <w:p w14:paraId="187E5D70" w14:textId="648B259B" w:rsidR="001C39FA" w:rsidRDefault="001C39FA" w:rsidP="00F45842">
            <w:pPr>
              <w:pStyle w:val="Tabletextprimarysource"/>
              <w:ind w:left="720"/>
            </w:pPr>
            <w:r>
              <w:t>0.2</w:t>
            </w:r>
            <w:r w:rsidR="00C46B39">
              <w:t>–</w:t>
            </w:r>
            <w:r>
              <w:t>20 mg/m</w:t>
            </w:r>
            <w:r w:rsidRPr="001C39FA">
              <w:rPr>
                <w:vertAlign w:val="superscript"/>
              </w:rPr>
              <w:t>3</w:t>
            </w:r>
          </w:p>
          <w:p w14:paraId="4BECD36E" w14:textId="1CF009B6" w:rsidR="00C46B39" w:rsidRDefault="001C39FA" w:rsidP="00D11638">
            <w:pPr>
              <w:pStyle w:val="Tabletextprimarysource"/>
              <w:numPr>
                <w:ilvl w:val="0"/>
                <w:numId w:val="3"/>
              </w:numPr>
            </w:pPr>
            <w:r>
              <w:t xml:space="preserve">Bronchial cancer after 11 </w:t>
            </w:r>
            <w:proofErr w:type="spellStart"/>
            <w:r>
              <w:t>yr</w:t>
            </w:r>
            <w:proofErr w:type="spellEnd"/>
            <w:r>
              <w:t xml:space="preserve"> exposure following several acute poisoning incidents, choroidal melanoma reported after 6 </w:t>
            </w:r>
            <w:proofErr w:type="spellStart"/>
            <w:r>
              <w:t>yr</w:t>
            </w:r>
            <w:proofErr w:type="spellEnd"/>
            <w:r>
              <w:t xml:space="preserve"> exposure</w:t>
            </w:r>
            <w:r w:rsidR="00662DD2">
              <w:t>.</w:t>
            </w:r>
          </w:p>
          <w:p w14:paraId="3FDF063A" w14:textId="23890A6A" w:rsidR="001C39FA" w:rsidRDefault="001C39FA" w:rsidP="001C39FA">
            <w:pPr>
              <w:pStyle w:val="Tabletextprimarysource"/>
            </w:pPr>
            <w:r>
              <w:t>Animal data:</w:t>
            </w:r>
          </w:p>
          <w:p w14:paraId="257FCEBA" w14:textId="705E81AA" w:rsidR="00C84FDF" w:rsidRDefault="001C39FA" w:rsidP="002B763B">
            <w:pPr>
              <w:pStyle w:val="Tabletextprimarysource"/>
              <w:numPr>
                <w:ilvl w:val="0"/>
                <w:numId w:val="3"/>
              </w:numPr>
            </w:pPr>
            <w:r>
              <w:t>LD</w:t>
            </w:r>
            <w:r w:rsidRPr="002334F0">
              <w:rPr>
                <w:vertAlign w:val="subscript"/>
              </w:rPr>
              <w:t>50</w:t>
            </w:r>
            <w:r>
              <w:t xml:space="preserve">: </w:t>
            </w:r>
            <w:r w:rsidR="00A70A8F">
              <w:t>106–440 mg/kg (rats</w:t>
            </w:r>
            <w:r w:rsidR="00C84FDF">
              <w:t>, oral</w:t>
            </w:r>
            <w:r w:rsidR="00A70A8F">
              <w:t>)</w:t>
            </w:r>
            <w:r w:rsidR="002E794F">
              <w:t xml:space="preserve">; </w:t>
            </w:r>
            <w:r w:rsidR="00194E1F">
              <w:t>dyspnoea</w:t>
            </w:r>
            <w:r w:rsidR="00A70A8F">
              <w:t>, c</w:t>
            </w:r>
            <w:r w:rsidR="00194E1F">
              <w:t>onvulsions and apathy reported</w:t>
            </w:r>
          </w:p>
          <w:p w14:paraId="5027516F" w14:textId="3566F269" w:rsidR="001C39FA" w:rsidRDefault="008E356D" w:rsidP="002B763B">
            <w:pPr>
              <w:pStyle w:val="Tabletextprimarysource"/>
              <w:numPr>
                <w:ilvl w:val="0"/>
                <w:numId w:val="3"/>
              </w:numPr>
            </w:pPr>
            <w:r>
              <w:t>LC</w:t>
            </w:r>
            <w:r w:rsidRPr="002334F0">
              <w:rPr>
                <w:vertAlign w:val="subscript"/>
              </w:rPr>
              <w:t>50</w:t>
            </w:r>
            <w:r>
              <w:t>: 335 mg/m</w:t>
            </w:r>
            <w:r w:rsidRPr="002334F0">
              <w:rPr>
                <w:vertAlign w:val="superscript"/>
              </w:rPr>
              <w:t>3</w:t>
            </w:r>
            <w:r>
              <w:t xml:space="preserve"> for 1 h</w:t>
            </w:r>
            <w:r w:rsidR="00C84FDF">
              <w:t>;</w:t>
            </w:r>
            <w:r>
              <w:t xml:space="preserve"> 45 mg/m</w:t>
            </w:r>
            <w:r w:rsidRPr="002334F0">
              <w:rPr>
                <w:vertAlign w:val="superscript"/>
              </w:rPr>
              <w:t>3</w:t>
            </w:r>
            <w:r>
              <w:t xml:space="preserve"> for 4 h</w:t>
            </w:r>
            <w:r w:rsidR="002E794F">
              <w:t xml:space="preserve">; </w:t>
            </w:r>
            <w:r>
              <w:t>cyanosis of mucosa, hyperaemia of lung, haemorrhage and nasal discharge</w:t>
            </w:r>
          </w:p>
          <w:p w14:paraId="6B0BCB1F" w14:textId="6227DE8A" w:rsidR="008E356D" w:rsidRDefault="008E356D" w:rsidP="008E356D">
            <w:pPr>
              <w:pStyle w:val="Tabletextprimarysource"/>
              <w:numPr>
                <w:ilvl w:val="0"/>
                <w:numId w:val="3"/>
              </w:numPr>
            </w:pPr>
            <w:r>
              <w:t>Nasal epithelial cell proliferation, hypertrophy, hyperplasia and squamous metaplasia in respiratory epithelium in rats in 2</w:t>
            </w:r>
            <w:r w:rsidR="00352694">
              <w:t xml:space="preserve"> </w:t>
            </w:r>
            <w:proofErr w:type="spellStart"/>
            <w:r>
              <w:t>wk</w:t>
            </w:r>
            <w:proofErr w:type="spellEnd"/>
            <w:r>
              <w:t xml:space="preserve"> inhalation study (0.5</w:t>
            </w:r>
            <w:r w:rsidR="00352694">
              <w:t>–</w:t>
            </w:r>
            <w:r>
              <w:t>6.3 mg/m</w:t>
            </w:r>
            <w:r w:rsidRPr="002334F0">
              <w:rPr>
                <w:vertAlign w:val="superscript"/>
              </w:rPr>
              <w:t>3</w:t>
            </w:r>
            <w:r>
              <w:t>, 6 h/d, 5 d/</w:t>
            </w:r>
            <w:proofErr w:type="spellStart"/>
            <w:r>
              <w:t>wk</w:t>
            </w:r>
            <w:proofErr w:type="spellEnd"/>
            <w:r>
              <w:t xml:space="preserve">) </w:t>
            </w:r>
          </w:p>
          <w:p w14:paraId="15727216" w14:textId="496E7EDC" w:rsidR="008E356D" w:rsidRDefault="008E356D" w:rsidP="008E356D">
            <w:pPr>
              <w:pStyle w:val="Tabletextprimarysource"/>
              <w:numPr>
                <w:ilvl w:val="0"/>
                <w:numId w:val="3"/>
              </w:numPr>
            </w:pPr>
            <w:r>
              <w:t>Change</w:t>
            </w:r>
            <w:r w:rsidR="00C84FDF">
              <w:t>s</w:t>
            </w:r>
            <w:r>
              <w:t xml:space="preserve"> in CNS function, kidney, respiratory organs and peripheral bloo</w:t>
            </w:r>
            <w:r w:rsidR="002E794F">
              <w:t>d</w:t>
            </w:r>
            <w:r>
              <w:t xml:space="preserve"> parameters reported in inhalati</w:t>
            </w:r>
            <w:r w:rsidR="002E794F">
              <w:t>on</w:t>
            </w:r>
            <w:r>
              <w:t xml:space="preserve"> exposure </w:t>
            </w:r>
            <w:r w:rsidR="002E794F">
              <w:t xml:space="preserve">in </w:t>
            </w:r>
            <w:r>
              <w:t xml:space="preserve">rats and guinea pigs </w:t>
            </w:r>
            <w:r w:rsidR="00255895">
              <w:t>(0.29 mg/m</w:t>
            </w:r>
            <w:r w:rsidR="00255895" w:rsidRPr="00255895">
              <w:rPr>
                <w:vertAlign w:val="superscript"/>
              </w:rPr>
              <w:t>3</w:t>
            </w:r>
            <w:r w:rsidR="00255895">
              <w:t xml:space="preserve"> for 4 </w:t>
            </w:r>
            <w:proofErr w:type="spellStart"/>
            <w:r w:rsidR="00255895">
              <w:t>mo</w:t>
            </w:r>
            <w:proofErr w:type="spellEnd"/>
            <w:r w:rsidR="00255895">
              <w:t>)</w:t>
            </w:r>
          </w:p>
          <w:p w14:paraId="603C3B68" w14:textId="5A22A678" w:rsidR="001078D0" w:rsidRDefault="001078D0" w:rsidP="001078D0">
            <w:pPr>
              <w:pStyle w:val="Tabletextprimarysource"/>
              <w:numPr>
                <w:ilvl w:val="0"/>
                <w:numId w:val="3"/>
              </w:numPr>
            </w:pPr>
            <w:r>
              <w:t>Inhalation study in mice 2 h/d, 5 d/</w:t>
            </w:r>
            <w:proofErr w:type="spellStart"/>
            <w:r>
              <w:t>wk</w:t>
            </w:r>
            <w:proofErr w:type="spellEnd"/>
            <w:r>
              <w:t xml:space="preserve"> for 6 </w:t>
            </w:r>
            <w:proofErr w:type="spellStart"/>
            <w:r>
              <w:t>mo</w:t>
            </w:r>
            <w:proofErr w:type="spellEnd"/>
            <w:r>
              <w:t>; statistically significant increase in tumours (mainly lung adenoma) observed at concentrations ≥3 ppm (1.62 mg/m</w:t>
            </w:r>
            <w:r>
              <w:rPr>
                <w:vertAlign w:val="superscript"/>
              </w:rPr>
              <w:t>3</w:t>
            </w:r>
            <w:r>
              <w:t>)</w:t>
            </w:r>
          </w:p>
          <w:p w14:paraId="5EAD186A" w14:textId="311878AF" w:rsidR="001078D0" w:rsidRDefault="00D24E8E" w:rsidP="008E356D">
            <w:pPr>
              <w:pStyle w:val="Tabletextprimarysource"/>
              <w:numPr>
                <w:ilvl w:val="0"/>
                <w:numId w:val="3"/>
              </w:numPr>
            </w:pPr>
            <w:r>
              <w:t>N</w:t>
            </w:r>
            <w:r w:rsidR="00817FD0">
              <w:t>asal induced tumours with rats more sensitive than other test specie</w:t>
            </w:r>
            <w:r w:rsidR="001078D0">
              <w:t>s</w:t>
            </w:r>
          </w:p>
          <w:p w14:paraId="20B0FF41" w14:textId="328C0781" w:rsidR="00C46B39" w:rsidRPr="00DA352E" w:rsidRDefault="00C46B39" w:rsidP="003B40A6">
            <w:pPr>
              <w:pStyle w:val="Tabletextprimarysource"/>
              <w:ind w:left="720"/>
            </w:pPr>
          </w:p>
        </w:tc>
      </w:tr>
      <w:tr w:rsidR="00DA352E" w:rsidRPr="00DA352E" w14:paraId="4DDAF453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5F9763C2" w14:textId="6B39DCFC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212059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212059">
                  <w:t>NA</w:t>
                </w:r>
                <w:proofErr w:type="spellEnd"/>
              </w:sdtContent>
            </w:sdt>
          </w:p>
        </w:tc>
      </w:tr>
      <w:tr w:rsidR="00DA352E" w:rsidRPr="00DA352E" w14:paraId="0762B9A8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63DBEEBD" w14:textId="7BA0E91D" w:rsidR="00DA352E" w:rsidRPr="00DA352E" w:rsidRDefault="00212059" w:rsidP="003365A5">
            <w:pPr>
              <w:pStyle w:val="Tabletextprimarysource"/>
            </w:pPr>
            <w:r>
              <w:t>No report</w:t>
            </w:r>
            <w:r w:rsidR="00C84FDF">
              <w:t>.</w:t>
            </w:r>
          </w:p>
        </w:tc>
      </w:tr>
      <w:tr w:rsidR="00DA352E" w:rsidRPr="00DA352E" w14:paraId="4CBC7397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71791235" w14:textId="545DBF0C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6E383A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6E383A">
                  <w:t>NA</w:t>
                </w:r>
                <w:proofErr w:type="spellEnd"/>
              </w:sdtContent>
            </w:sdt>
          </w:p>
        </w:tc>
      </w:tr>
      <w:tr w:rsidR="00DA352E" w:rsidRPr="00DA352E" w14:paraId="67662DF5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70ED22F" w14:textId="77777777" w:rsidR="00321CB2" w:rsidRDefault="00834841" w:rsidP="004D3B96">
            <w:pPr>
              <w:pStyle w:val="Tabletextprimarysource"/>
              <w:numPr>
                <w:ilvl w:val="0"/>
                <w:numId w:val="3"/>
              </w:numPr>
            </w:pPr>
            <w:r>
              <w:t>Recommends classification in category 1B (substance presumed to be carcinogenic to humans</w:t>
            </w:r>
            <w:r w:rsidR="00321CB2">
              <w:t>)</w:t>
            </w:r>
            <w:r>
              <w:t xml:space="preserve"> </w:t>
            </w:r>
          </w:p>
          <w:p w14:paraId="0F35E0EB" w14:textId="217EDF91" w:rsidR="00DA352E" w:rsidRDefault="00321CB2" w:rsidP="004D3B96">
            <w:pPr>
              <w:pStyle w:val="Tabletextprimarysource"/>
              <w:numPr>
                <w:ilvl w:val="0"/>
                <w:numId w:val="3"/>
              </w:numPr>
            </w:pPr>
            <w:r>
              <w:t>Potent direct-acting genotoxi</w:t>
            </w:r>
            <w:r w:rsidR="00667730">
              <w:t xml:space="preserve">c </w:t>
            </w:r>
            <w:r>
              <w:t xml:space="preserve">based on </w:t>
            </w:r>
            <w:r w:rsidR="003E2997" w:rsidRPr="003E2997">
              <w:rPr>
                <w:i/>
              </w:rPr>
              <w:t>in-vitro</w:t>
            </w:r>
            <w:r>
              <w:t xml:space="preserve"> test results for pri</w:t>
            </w:r>
            <w:r w:rsidR="00D11638">
              <w:t>mary DNA damage, gene mutations</w:t>
            </w:r>
            <w:r>
              <w:t xml:space="preserve"> and </w:t>
            </w:r>
            <w:r w:rsidR="003E2997">
              <w:t>chromosome aberrations</w:t>
            </w:r>
            <w:r w:rsidR="00834841">
              <w:t>.</w:t>
            </w:r>
          </w:p>
          <w:p w14:paraId="74AB36E7" w14:textId="052C4A95" w:rsidR="00D11638" w:rsidRPr="00DA352E" w:rsidRDefault="00D11638" w:rsidP="00D11638">
            <w:pPr>
              <w:pStyle w:val="Tabletextprimarysource"/>
            </w:pPr>
          </w:p>
        </w:tc>
      </w:tr>
    </w:tbl>
    <w:p w14:paraId="55FDFB86" w14:textId="77777777" w:rsidR="00A20751" w:rsidRPr="004C23F4" w:rsidRDefault="00A20751" w:rsidP="003365A5">
      <w:pPr>
        <w:pStyle w:val="Heading3"/>
      </w:pPr>
      <w:bookmarkStart w:id="0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0"/>
        <w:gridCol w:w="423"/>
        <w:gridCol w:w="717"/>
        <w:gridCol w:w="6396"/>
      </w:tblGrid>
      <w:tr w:rsidR="004966BF" w:rsidRPr="00263255" w14:paraId="783DBFE4" w14:textId="77777777" w:rsidTr="004C1B17">
        <w:trPr>
          <w:cantSplit/>
          <w:trHeight w:val="393"/>
          <w:tblHeader/>
        </w:trPr>
        <w:tc>
          <w:tcPr>
            <w:tcW w:w="1498" w:type="dxa"/>
            <w:shd w:val="clear" w:color="auto" w:fill="BFBFBF" w:themeFill="background1" w:themeFillShade="BF"/>
            <w:vAlign w:val="center"/>
          </w:tcPr>
          <w:p w14:paraId="0BA736A0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14:paraId="28E73DAA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50" w:type="dxa"/>
            <w:shd w:val="clear" w:color="auto" w:fill="BFBFBF" w:themeFill="background1" w:themeFillShade="BF"/>
            <w:vAlign w:val="center"/>
          </w:tcPr>
          <w:p w14:paraId="4A357CAC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54" w:type="dxa"/>
            <w:shd w:val="clear" w:color="auto" w:fill="BFBFBF" w:themeFill="background1" w:themeFillShade="BF"/>
            <w:vAlign w:val="center"/>
          </w:tcPr>
          <w:p w14:paraId="00FCAB21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C84FDF" w:rsidRPr="004C23F4" w14:paraId="300CD1B6" w14:textId="77777777" w:rsidTr="004C1B17">
        <w:trPr>
          <w:cantSplit/>
        </w:trPr>
        <w:tc>
          <w:tcPr>
            <w:tcW w:w="1498" w:type="dxa"/>
          </w:tcPr>
          <w:p w14:paraId="48CF09E4" w14:textId="1DA04DC0" w:rsidR="00C84FDF" w:rsidRDefault="00C84FDF" w:rsidP="00224EE2">
            <w:pPr>
              <w:pStyle w:val="Tablefont"/>
            </w:pPr>
            <w:r>
              <w:t>NICNAS</w:t>
            </w:r>
          </w:p>
        </w:tc>
        <w:tc>
          <w:tcPr>
            <w:tcW w:w="424" w:type="dxa"/>
          </w:tcPr>
          <w:p w14:paraId="49BB48D8" w14:textId="60F5DA19" w:rsidR="00C84FDF" w:rsidRDefault="00C32C66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335137012"/>
                <w:placeholder>
                  <w:docPart w:val="DE20AA52C277491A973AE99F95927AA3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C84FD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50" w:type="dxa"/>
          </w:tcPr>
          <w:p w14:paraId="30E65837" w14:textId="249E84AA" w:rsidR="00C84FDF" w:rsidRDefault="00A26C65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2013</w:t>
            </w:r>
          </w:p>
        </w:tc>
        <w:tc>
          <w:tcPr>
            <w:tcW w:w="6454" w:type="dxa"/>
          </w:tcPr>
          <w:p w14:paraId="37388611" w14:textId="77777777" w:rsidR="003347CF" w:rsidRPr="00154180" w:rsidRDefault="00873E09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137090">
              <w:rPr>
                <w:rStyle w:val="checkbox"/>
                <w:rFonts w:ascii="Arial" w:hAnsi="Arial" w:cs="Arial"/>
              </w:rPr>
              <w:t>Restricted carcinogen in Australia, approval required to use</w:t>
            </w:r>
          </w:p>
          <w:p w14:paraId="3AF074D9" w14:textId="77777777" w:rsidR="003347CF" w:rsidRPr="00137090" w:rsidRDefault="003347CF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/>
              </w:rPr>
            </w:pPr>
            <w:r w:rsidRPr="00137090">
              <w:rPr>
                <w:rStyle w:val="checkbox"/>
                <w:rFonts w:ascii="Arial" w:hAnsi="Arial"/>
              </w:rPr>
              <w:t>DNA damage and/or mutations in bacteria, yeast or human cell lines</w:t>
            </w:r>
          </w:p>
          <w:p w14:paraId="50A36233" w14:textId="74CEFB0D" w:rsidR="00873E09" w:rsidRDefault="003347CF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137090">
              <w:rPr>
                <w:rStyle w:val="checkbox"/>
                <w:rFonts w:ascii="Arial" w:hAnsi="Arial"/>
              </w:rPr>
              <w:t>in vivo rodent studies (with oral, inhalation or intraperitoneal</w:t>
            </w:r>
            <w:r w:rsidR="005D5091" w:rsidRPr="00137090">
              <w:rPr>
                <w:rStyle w:val="checkbox"/>
                <w:rFonts w:ascii="Arial" w:hAnsi="Arial"/>
              </w:rPr>
              <w:t xml:space="preserve"> </w:t>
            </w:r>
            <w:r w:rsidRPr="00137090">
              <w:rPr>
                <w:rStyle w:val="checkbox"/>
                <w:rFonts w:ascii="Arial" w:hAnsi="Arial"/>
              </w:rPr>
              <w:t xml:space="preserve">administration) showing </w:t>
            </w:r>
            <w:proofErr w:type="spellStart"/>
            <w:r w:rsidRPr="00137090">
              <w:rPr>
                <w:rStyle w:val="checkbox"/>
                <w:rFonts w:ascii="Arial" w:hAnsi="Arial"/>
              </w:rPr>
              <w:t>genotoxicity</w:t>
            </w:r>
            <w:proofErr w:type="spellEnd"/>
          </w:p>
          <w:p w14:paraId="6AA97796" w14:textId="095EA615" w:rsidR="00A26C65" w:rsidRDefault="00A26C65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137090">
              <w:rPr>
                <w:rStyle w:val="checkbox"/>
                <w:rFonts w:ascii="Arial" w:hAnsi="Arial" w:cs="Arial"/>
              </w:rPr>
              <w:t>Carcinogenic, mutagenic, corrosive and a skin sensitiser; very toxic by inhalation and toxic by ingestion</w:t>
            </w:r>
            <w:r w:rsidR="00662DD2" w:rsidRPr="00137090">
              <w:rPr>
                <w:rStyle w:val="checkbox"/>
                <w:rFonts w:ascii="Arial" w:hAnsi="Arial" w:cs="Arial"/>
              </w:rPr>
              <w:t>.</w:t>
            </w:r>
          </w:p>
          <w:p w14:paraId="17542E41" w14:textId="4DA4D384" w:rsidR="00873E09" w:rsidRDefault="00873E09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Human data:</w:t>
            </w:r>
          </w:p>
          <w:p w14:paraId="3784A15E" w14:textId="45C5D43B" w:rsidR="00C84FDF" w:rsidRDefault="00137090" w:rsidP="00137090">
            <w:pPr>
              <w:pStyle w:val="Tabletextprimarysource"/>
              <w:numPr>
                <w:ilvl w:val="0"/>
                <w:numId w:val="7"/>
              </w:numPr>
              <w:ind w:left="1094" w:hanging="357"/>
            </w:pPr>
            <w:proofErr w:type="gramStart"/>
            <w:r>
              <w:t>l</w:t>
            </w:r>
            <w:r w:rsidR="00C84FDF">
              <w:t>owest</w:t>
            </w:r>
            <w:proofErr w:type="gramEnd"/>
            <w:r w:rsidR="00C84FDF">
              <w:t xml:space="preserve"> published lethal concentrati</w:t>
            </w:r>
            <w:r w:rsidR="00873E09">
              <w:t>on 97 ppm/10 min</w:t>
            </w:r>
            <w:r w:rsidR="00C46B39">
              <w:t>.</w:t>
            </w:r>
            <w:r w:rsidR="00C84FDF">
              <w:t> </w:t>
            </w:r>
          </w:p>
          <w:p w14:paraId="1CF642E3" w14:textId="4A5858CA" w:rsidR="005D5091" w:rsidRDefault="00873E09" w:rsidP="00137090">
            <w:pPr>
              <w:pStyle w:val="ListBullet"/>
              <w:tabs>
                <w:tab w:val="clear" w:pos="360"/>
                <w:tab w:val="num" w:pos="657"/>
              </w:tabs>
              <w:spacing w:before="60" w:after="60"/>
              <w:ind w:left="714" w:hanging="357"/>
              <w:contextualSpacing w:val="0"/>
            </w:pPr>
            <w:r>
              <w:t>Animal data:</w:t>
            </w:r>
          </w:p>
          <w:p w14:paraId="0FD31657" w14:textId="71DA7C57" w:rsidR="00873E09" w:rsidRPr="00FA3762" w:rsidRDefault="00873E09" w:rsidP="00137090">
            <w:pPr>
              <w:pStyle w:val="Tabletextprimarysource"/>
              <w:numPr>
                <w:ilvl w:val="0"/>
                <w:numId w:val="7"/>
              </w:numPr>
              <w:ind w:left="1094" w:hanging="357"/>
              <w:rPr>
                <w:rStyle w:val="checkbox"/>
                <w:rFonts w:ascii="Arial" w:hAnsi="Arial"/>
              </w:rPr>
            </w:pPr>
            <w:r w:rsidRPr="00137090">
              <w:t>LLNA gave positive results</w:t>
            </w:r>
            <w:r w:rsidR="00662DD2" w:rsidRPr="00137090">
              <w:t xml:space="preserve"> for skin sensitisation (mouse).</w:t>
            </w:r>
          </w:p>
        </w:tc>
      </w:tr>
      <w:tr w:rsidR="004966BF" w:rsidRPr="004C23F4" w14:paraId="78D795D5" w14:textId="77777777" w:rsidTr="004C1B17">
        <w:trPr>
          <w:cantSplit/>
        </w:trPr>
        <w:tc>
          <w:tcPr>
            <w:tcW w:w="1498" w:type="dxa"/>
          </w:tcPr>
          <w:p w14:paraId="115AB371" w14:textId="74C43390" w:rsidR="004966BF" w:rsidRPr="004C23F4" w:rsidRDefault="004966BF" w:rsidP="00224EE2">
            <w:pPr>
              <w:pStyle w:val="Tablefont"/>
            </w:pPr>
            <w:r>
              <w:lastRenderedPageBreak/>
              <w:t>US EPA</w:t>
            </w:r>
          </w:p>
        </w:tc>
        <w:tc>
          <w:tcPr>
            <w:tcW w:w="424" w:type="dxa"/>
          </w:tcPr>
          <w:p w14:paraId="5FA29EA9" w14:textId="4421A8AA" w:rsidR="004966BF" w:rsidRPr="00CE617F" w:rsidRDefault="00C32C66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CFFDE270CB50461B826B0194984892C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4C1B17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50" w:type="dxa"/>
          </w:tcPr>
          <w:p w14:paraId="7CADA477" w14:textId="7FD3EC0F" w:rsidR="004966BF" w:rsidRPr="004C23F4" w:rsidRDefault="004C1B17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1988, 1992</w:t>
            </w:r>
          </w:p>
        </w:tc>
        <w:tc>
          <w:tcPr>
            <w:tcW w:w="6454" w:type="dxa"/>
          </w:tcPr>
          <w:p w14:paraId="59E3377E" w14:textId="270761FC" w:rsidR="004C1B17" w:rsidRDefault="00881C16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Inadequate data</w:t>
            </w:r>
            <w:r w:rsidR="00E736F8">
              <w:rPr>
                <w:rStyle w:val="checkbox"/>
                <w:rFonts w:ascii="Arial" w:hAnsi="Arial" w:cs="Arial"/>
              </w:rPr>
              <w:t xml:space="preserve"> available for carcinogenicity classification; cases reported cancer-related deaths including respiratory tract and bronchial carcinomas </w:t>
            </w:r>
          </w:p>
          <w:p w14:paraId="4B069EE5" w14:textId="676DBFDC" w:rsidR="005D5091" w:rsidRDefault="001C4B92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  <w:lang w:eastAsia="en-US"/>
              </w:rPr>
            </w:pPr>
            <w:r>
              <w:rPr>
                <w:rStyle w:val="checkbox"/>
                <w:rFonts w:ascii="Arial" w:hAnsi="Arial" w:cs="Arial"/>
              </w:rPr>
              <w:t>Q</w:t>
            </w:r>
            <w:r w:rsidR="00E736F8">
              <w:rPr>
                <w:rStyle w:val="checkbox"/>
                <w:rFonts w:ascii="Arial" w:hAnsi="Arial" w:cs="Arial"/>
              </w:rPr>
              <w:t xml:space="preserve">uantitative estimate of oral CSF and inhalation IUR </w:t>
            </w:r>
            <w:r w:rsidR="009F56DF">
              <w:rPr>
                <w:rStyle w:val="checkbox"/>
                <w:rFonts w:ascii="Arial" w:hAnsi="Arial" w:cs="Arial"/>
              </w:rPr>
              <w:t>not available</w:t>
            </w:r>
          </w:p>
          <w:p w14:paraId="2108BE1D" w14:textId="77777777" w:rsidR="009F56DF" w:rsidRPr="00FA3762" w:rsidRDefault="009F56DF" w:rsidP="00137090">
            <w:pPr>
              <w:pStyle w:val="Tablefont"/>
              <w:numPr>
                <w:ilvl w:val="0"/>
                <w:numId w:val="4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FA3762">
              <w:rPr>
                <w:rStyle w:val="checkbox"/>
                <w:rFonts w:ascii="Arial" w:hAnsi="Arial" w:cs="Arial"/>
              </w:rPr>
              <w:t>Animal data:</w:t>
            </w:r>
          </w:p>
          <w:p w14:paraId="2C8B58BA" w14:textId="2D461C2A" w:rsidR="009F56DF" w:rsidRPr="004C23F4" w:rsidRDefault="007D3269" w:rsidP="00137090">
            <w:pPr>
              <w:pStyle w:val="Tabletextprimarysource"/>
              <w:numPr>
                <w:ilvl w:val="0"/>
                <w:numId w:val="7"/>
              </w:numPr>
              <w:ind w:left="1094" w:hanging="357"/>
              <w:rPr>
                <w:rStyle w:val="checkbox"/>
                <w:rFonts w:ascii="Arial" w:hAnsi="Arial" w:cs="Arial"/>
              </w:rPr>
            </w:pPr>
            <w:r w:rsidRPr="00137090">
              <w:t xml:space="preserve">B2 probable human carcinogen based on induction of local carcinomas following inhalation </w:t>
            </w:r>
            <w:r w:rsidR="0090459E" w:rsidRPr="00137090">
              <w:t xml:space="preserve">in test species (rats, mice and hamsters), </w:t>
            </w:r>
            <w:r w:rsidRPr="00137090">
              <w:t xml:space="preserve">subcutaneous exposures in rats, </w:t>
            </w:r>
            <w:r w:rsidR="0090459E" w:rsidRPr="00137090">
              <w:t>and prenatal exposures</w:t>
            </w:r>
            <w:r w:rsidR="00352694" w:rsidRPr="00137090">
              <w:t>.</w:t>
            </w:r>
          </w:p>
        </w:tc>
      </w:tr>
    </w:tbl>
    <w:bookmarkEnd w:id="0"/>
    <w:p w14:paraId="6E6693D3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9"/>
        <w:gridCol w:w="2417"/>
      </w:tblGrid>
      <w:tr w:rsidR="002E0D61" w14:paraId="289649C3" w14:textId="77777777" w:rsidTr="0071581F">
        <w:trPr>
          <w:trHeight w:val="454"/>
          <w:tblHeader/>
        </w:trPr>
        <w:tc>
          <w:tcPr>
            <w:tcW w:w="6609" w:type="dxa"/>
            <w:vAlign w:val="center"/>
          </w:tcPr>
          <w:p w14:paraId="7041F777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1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17" w:type="dxa"/>
                <w:vAlign w:val="center"/>
              </w:tcPr>
              <w:p w14:paraId="2DBF8D23" w14:textId="05C14CF9" w:rsidR="002E0D61" w:rsidRDefault="00A01A71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Yes</w:t>
                </w:r>
              </w:p>
            </w:tc>
          </w:sdtContent>
        </w:sdt>
      </w:tr>
      <w:tr w:rsidR="008A36CF" w14:paraId="19DD2E4A" w14:textId="77777777" w:rsidTr="0071581F">
        <w:trPr>
          <w:trHeight w:val="454"/>
        </w:trPr>
        <w:tc>
          <w:tcPr>
            <w:tcW w:w="6609" w:type="dxa"/>
            <w:vAlign w:val="center"/>
          </w:tcPr>
          <w:p w14:paraId="289893B6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  <w:r>
              <w:t>Is the chemical carcinogenic with a mutagenic mechanism of action?</w:t>
            </w:r>
          </w:p>
        </w:tc>
        <w:sdt>
          <w:sdtPr>
            <w:id w:val="-1035572737"/>
            <w:placeholder>
              <w:docPart w:val="5CBFEC560F894890BBD09B93174FFAE0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  <w:listItem w:displayText="NA" w:value="NA"/>
            </w:comboBox>
          </w:sdtPr>
          <w:sdtEndPr/>
          <w:sdtContent>
            <w:tc>
              <w:tcPr>
                <w:tcW w:w="2417" w:type="dxa"/>
                <w:vAlign w:val="center"/>
              </w:tcPr>
              <w:p w14:paraId="006766BE" w14:textId="08445CB1" w:rsidR="008A36CF" w:rsidRDefault="00A01A71" w:rsidP="008A36CF">
                <w:pPr>
                  <w:pStyle w:val="Tablefont"/>
                  <w:keepNext/>
                  <w:keepLines/>
                  <w:spacing w:before="40" w:after="40"/>
                </w:pPr>
                <w:r>
                  <w:t>Yes</w:t>
                </w:r>
              </w:p>
            </w:tc>
          </w:sdtContent>
        </w:sdt>
      </w:tr>
      <w:tr w:rsidR="008A36CF" w14:paraId="4D437E45" w14:textId="77777777" w:rsidTr="0071581F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9" w:type="dxa"/>
                <w:vAlign w:val="center"/>
              </w:tcPr>
              <w:p w14:paraId="55458741" w14:textId="1257192A" w:rsidR="008A36CF" w:rsidRPr="006901A2" w:rsidRDefault="00C84FDF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a non-threshold based genotoxic carcinogen.</w:t>
                </w:r>
              </w:p>
            </w:tc>
          </w:sdtContent>
        </w:sdt>
        <w:tc>
          <w:tcPr>
            <w:tcW w:w="2417" w:type="dxa"/>
            <w:vAlign w:val="center"/>
          </w:tcPr>
          <w:p w14:paraId="67629D90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  <w:tr w:rsidR="008A36CF" w14:paraId="500BCAA0" w14:textId="77777777" w:rsidTr="0071581F">
        <w:trPr>
          <w:trHeight w:val="454"/>
        </w:trPr>
        <w:tc>
          <w:tcPr>
            <w:tcW w:w="6609" w:type="dxa"/>
            <w:vAlign w:val="center"/>
          </w:tcPr>
          <w:p w14:paraId="314FF88E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  <w:r w:rsidRPr="008A36CF">
              <w:t>Is a cancer slope factor or inhalation unit risk value available?</w:t>
            </w:r>
          </w:p>
        </w:tc>
        <w:sdt>
          <w:sdtPr>
            <w:id w:val="1304347970"/>
            <w:placeholder>
              <w:docPart w:val="047AD93791DC493F8562BB3488160D64"/>
            </w:placeholder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2417" w:type="dxa"/>
                <w:vAlign w:val="center"/>
              </w:tcPr>
              <w:p w14:paraId="63FF311B" w14:textId="1E10478A" w:rsidR="008A36CF" w:rsidRDefault="00A01A71" w:rsidP="008A36CF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</w:tbl>
    <w:bookmarkEnd w:id="1"/>
    <w:p w14:paraId="4A400DC9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42187BB4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165DB11D" w14:textId="77777777" w:rsidR="00687890" w:rsidRPr="004C23F4" w:rsidRDefault="00687890" w:rsidP="00263255">
            <w:pPr>
              <w:pStyle w:val="Tableheader"/>
            </w:pPr>
            <w:bookmarkStart w:id="2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236057E4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4C40909D" w14:textId="77777777" w:rsidTr="00812887">
        <w:trPr>
          <w:cantSplit/>
        </w:trPr>
        <w:tc>
          <w:tcPr>
            <w:tcW w:w="3227" w:type="dxa"/>
          </w:tcPr>
          <w:p w14:paraId="404E72DF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1C999D9F" w14:textId="512DC683" w:rsidR="00687890" w:rsidRPr="00DD2F9B" w:rsidRDefault="00F50F05" w:rsidP="00DD2F9B">
            <w:pPr>
              <w:pStyle w:val="Tablefont"/>
            </w:pPr>
            <w:proofErr w:type="spellStart"/>
            <w:r w:rsidRPr="00F50F05">
              <w:t>Carc</w:t>
            </w:r>
            <w:proofErr w:type="spellEnd"/>
            <w:r w:rsidRPr="00F50F05">
              <w:t>. 1B</w:t>
            </w:r>
            <w:r>
              <w:t xml:space="preserve">, </w:t>
            </w:r>
            <w:r w:rsidRPr="00F50F05">
              <w:t>Skin</w:t>
            </w:r>
            <w:r>
              <w:t xml:space="preserve">, </w:t>
            </w:r>
            <w:r w:rsidRPr="00F50F05">
              <w:t>Sen</w:t>
            </w:r>
          </w:p>
        </w:tc>
      </w:tr>
      <w:tr w:rsidR="007925F0" w:rsidRPr="004C23F4" w14:paraId="12E445CF" w14:textId="77777777" w:rsidTr="00812887">
        <w:trPr>
          <w:cantSplit/>
        </w:trPr>
        <w:tc>
          <w:tcPr>
            <w:tcW w:w="3227" w:type="dxa"/>
          </w:tcPr>
          <w:p w14:paraId="63F8A52F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54E5E739" w14:textId="2CC86663" w:rsidR="007925F0" w:rsidRPr="00DD2F9B" w:rsidRDefault="00337AE9" w:rsidP="00DD2F9B">
            <w:pPr>
              <w:pStyle w:val="Tablefont"/>
            </w:pPr>
            <w:r w:rsidRPr="00337AE9">
              <w:t>Carcinogenicity – category 1B</w:t>
            </w:r>
            <w:r>
              <w:t xml:space="preserve">, </w:t>
            </w:r>
            <w:r w:rsidRPr="00337AE9">
              <w:t>Skin sensitisation – category 1</w:t>
            </w:r>
          </w:p>
        </w:tc>
      </w:tr>
      <w:tr w:rsidR="00AF483F" w:rsidRPr="004C23F4" w14:paraId="066B6EFB" w14:textId="77777777" w:rsidTr="00812887">
        <w:trPr>
          <w:cantSplit/>
        </w:trPr>
        <w:tc>
          <w:tcPr>
            <w:tcW w:w="3227" w:type="dxa"/>
          </w:tcPr>
          <w:p w14:paraId="5A56D058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4F839802" w14:textId="0188DC1D" w:rsidR="00AF483F" w:rsidRPr="00DD2F9B" w:rsidRDefault="00337AE9" w:rsidP="00DD2F9B">
            <w:pPr>
              <w:pStyle w:val="Tablefont"/>
            </w:pPr>
            <w:proofErr w:type="spellStart"/>
            <w:r w:rsidRPr="00337AE9">
              <w:t>Carc</w:t>
            </w:r>
            <w:proofErr w:type="spellEnd"/>
            <w:r w:rsidRPr="00337AE9">
              <w:t>. Cat 2</w:t>
            </w:r>
          </w:p>
        </w:tc>
      </w:tr>
      <w:tr w:rsidR="00687890" w:rsidRPr="004C23F4" w14:paraId="67F2F8D6" w14:textId="77777777" w:rsidTr="00812887">
        <w:trPr>
          <w:cantSplit/>
        </w:trPr>
        <w:tc>
          <w:tcPr>
            <w:tcW w:w="3227" w:type="dxa"/>
          </w:tcPr>
          <w:p w14:paraId="628D3606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5E5E6FC6" w14:textId="3A321CC5" w:rsidR="00687890" w:rsidRPr="00DD2F9B" w:rsidRDefault="00F50F05" w:rsidP="00DD2F9B">
            <w:pPr>
              <w:pStyle w:val="Tablefont"/>
            </w:pPr>
            <w:r w:rsidRPr="00F50F05">
              <w:t>Carcinogenicity – category 1B</w:t>
            </w:r>
          </w:p>
        </w:tc>
      </w:tr>
      <w:tr w:rsidR="00E41A26" w:rsidRPr="004C23F4" w14:paraId="013A7650" w14:textId="77777777" w:rsidTr="00812887">
        <w:trPr>
          <w:cantSplit/>
        </w:trPr>
        <w:tc>
          <w:tcPr>
            <w:tcW w:w="3227" w:type="dxa"/>
          </w:tcPr>
          <w:p w14:paraId="6F4117E2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2F3E39C1" w14:textId="79002DA7" w:rsidR="00E41A26" w:rsidRPr="00DD2F9B" w:rsidRDefault="00F50F05" w:rsidP="00DD2F9B">
            <w:pPr>
              <w:pStyle w:val="Tablefont"/>
            </w:pPr>
            <w:proofErr w:type="spellStart"/>
            <w:r w:rsidRPr="00F50F05">
              <w:t>Carc</w:t>
            </w:r>
            <w:proofErr w:type="spellEnd"/>
            <w:r w:rsidRPr="00F50F05">
              <w:t>. 1B</w:t>
            </w:r>
          </w:p>
        </w:tc>
      </w:tr>
      <w:tr w:rsidR="002E0D61" w:rsidRPr="004C23F4" w14:paraId="0700E143" w14:textId="77777777" w:rsidTr="00812887">
        <w:trPr>
          <w:cantSplit/>
        </w:trPr>
        <w:tc>
          <w:tcPr>
            <w:tcW w:w="3227" w:type="dxa"/>
          </w:tcPr>
          <w:p w14:paraId="3AD97C55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4483953B" w14:textId="54D57855" w:rsidR="002E0D61" w:rsidRPr="00DD2F9B" w:rsidRDefault="00F50F05" w:rsidP="00DD2F9B">
            <w:pPr>
              <w:pStyle w:val="Tablefont"/>
            </w:pPr>
            <w:r w:rsidRPr="00F50F05">
              <w:t>Carcinogenicity – A3</w:t>
            </w:r>
            <w:r w:rsidR="006533AB">
              <w:t>, Skin</w:t>
            </w:r>
          </w:p>
        </w:tc>
      </w:tr>
      <w:tr w:rsidR="002E0D61" w:rsidRPr="004C23F4" w14:paraId="48C8AF85" w14:textId="77777777" w:rsidTr="00812887">
        <w:trPr>
          <w:cantSplit/>
        </w:trPr>
        <w:tc>
          <w:tcPr>
            <w:tcW w:w="3227" w:type="dxa"/>
          </w:tcPr>
          <w:p w14:paraId="47CE7F3C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57F40DF7" w14:textId="0B50D0C8" w:rsidR="002E0D61" w:rsidRPr="00DD2F9B" w:rsidRDefault="006E383A" w:rsidP="00DD2F9B">
            <w:pPr>
              <w:pStyle w:val="Tablefont"/>
            </w:pPr>
            <w:r w:rsidRPr="006E383A">
              <w:t>Carcinogenicity – 2</w:t>
            </w:r>
            <w:r w:rsidR="006533AB" w:rsidRPr="00127E51">
              <w:t xml:space="preserve"> H</w:t>
            </w:r>
            <w:r w:rsidR="006533AB">
              <w:t>,</w:t>
            </w:r>
            <w:r w:rsidR="006533AB" w:rsidRPr="00127E51">
              <w:t xml:space="preserve"> (skin)</w:t>
            </w:r>
          </w:p>
        </w:tc>
      </w:tr>
      <w:tr w:rsidR="002E0D61" w:rsidRPr="004C23F4" w14:paraId="34548FF9" w14:textId="77777777" w:rsidTr="00812887">
        <w:trPr>
          <w:cantSplit/>
        </w:trPr>
        <w:tc>
          <w:tcPr>
            <w:tcW w:w="3227" w:type="dxa"/>
          </w:tcPr>
          <w:p w14:paraId="560265A5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35024D19" w14:textId="41BD229E" w:rsidR="002E0D61" w:rsidRPr="00DD2F9B" w:rsidRDefault="00127E51" w:rsidP="00DD2F9B">
            <w:pPr>
              <w:pStyle w:val="Tablefont"/>
            </w:pPr>
            <w:r>
              <w:t>Skin</w:t>
            </w:r>
          </w:p>
        </w:tc>
      </w:tr>
      <w:tr w:rsidR="002E0D61" w:rsidRPr="004C23F4" w14:paraId="6D984FEF" w14:textId="77777777" w:rsidTr="00812887">
        <w:trPr>
          <w:cantSplit/>
        </w:trPr>
        <w:tc>
          <w:tcPr>
            <w:tcW w:w="3227" w:type="dxa"/>
          </w:tcPr>
          <w:p w14:paraId="2B241FC5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23E39A04" w14:textId="0FCC317C" w:rsidR="002E0D61" w:rsidRPr="00DD2F9B" w:rsidRDefault="006E383A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5E286425" w14:textId="77777777" w:rsidTr="00812887">
        <w:trPr>
          <w:cantSplit/>
        </w:trPr>
        <w:tc>
          <w:tcPr>
            <w:tcW w:w="3227" w:type="dxa"/>
          </w:tcPr>
          <w:p w14:paraId="073F84C8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2AD59100" w14:textId="6BEE3292" w:rsidR="00386093" w:rsidRPr="00DD2F9B" w:rsidRDefault="006E383A" w:rsidP="00DD2F9B">
            <w:pPr>
              <w:pStyle w:val="Tablefont"/>
            </w:pPr>
            <w:r w:rsidRPr="006E383A">
              <w:t>Carcinogenicity – Group 2A</w:t>
            </w:r>
          </w:p>
        </w:tc>
      </w:tr>
      <w:tr w:rsidR="00386093" w:rsidRPr="004C23F4" w14:paraId="167FC7EC" w14:textId="77777777" w:rsidTr="00812887">
        <w:trPr>
          <w:cantSplit/>
        </w:trPr>
        <w:tc>
          <w:tcPr>
            <w:tcW w:w="3227" w:type="dxa"/>
          </w:tcPr>
          <w:p w14:paraId="4E96D3A8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0B42A34F" w14:textId="055B01C3" w:rsidR="00386093" w:rsidRPr="00DD2F9B" w:rsidRDefault="006E383A" w:rsidP="00D87570">
            <w:pPr>
              <w:pStyle w:val="Tablefont"/>
              <w:keepNext/>
            </w:pPr>
            <w:r w:rsidRPr="006E383A">
              <w:t>SK:SYS</w:t>
            </w:r>
          </w:p>
        </w:tc>
      </w:tr>
    </w:tbl>
    <w:bookmarkEnd w:id="2"/>
    <w:p w14:paraId="3F256161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1815AC5E" w14:textId="77777777" w:rsidR="00474E33" w:rsidRDefault="00474E33" w:rsidP="00474E33">
      <w:pPr>
        <w:pStyle w:val="Heading3"/>
      </w:pPr>
      <w:r>
        <w:lastRenderedPageBreak/>
        <w:t>Skin notation assessment</w:t>
      </w:r>
    </w:p>
    <w:tbl>
      <w:tblPr>
        <w:tblStyle w:val="TableGrid"/>
        <w:tblW w:w="4958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8950"/>
      </w:tblGrid>
      <w:tr w:rsidR="00932DCE" w:rsidRPr="004C23F4" w14:paraId="2E05D6A6" w14:textId="77777777" w:rsidTr="00FC0E0D">
        <w:trPr>
          <w:cantSplit/>
          <w:trHeight w:val="325"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12825BBB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3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28EE038B" w14:textId="77777777" w:rsidTr="00FC0E0D">
        <w:trPr>
          <w:cantSplit/>
          <w:trHeight w:val="3367"/>
          <w:tblHeader/>
        </w:trPr>
        <w:tc>
          <w:tcPr>
            <w:tcW w:w="5000" w:type="pct"/>
            <w:vAlign w:val="center"/>
          </w:tcPr>
          <w:tbl>
            <w:tblPr>
              <w:tblW w:w="8732" w:type="dxa"/>
              <w:tblLook w:val="04A0" w:firstRow="1" w:lastRow="0" w:firstColumn="1" w:lastColumn="0" w:noHBand="0" w:noVBand="1"/>
            </w:tblPr>
            <w:tblGrid>
              <w:gridCol w:w="1236"/>
              <w:gridCol w:w="855"/>
              <w:gridCol w:w="2869"/>
              <w:gridCol w:w="855"/>
              <w:gridCol w:w="855"/>
              <w:gridCol w:w="1031"/>
              <w:gridCol w:w="1031"/>
            </w:tblGrid>
            <w:tr w:rsidR="00C84FDF" w:rsidRPr="00C84FDF" w14:paraId="06D32004" w14:textId="77777777" w:rsidTr="00FC0E0D">
              <w:trPr>
                <w:trHeight w:val="217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7ECFB72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Conclusion: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976E995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1EBB033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9D381C6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2265C54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4B0BC5C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B36F7F3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84FDF" w:rsidRPr="00C84FDF" w14:paraId="46B84B00" w14:textId="77777777" w:rsidTr="00FC0E0D">
              <w:trPr>
                <w:trHeight w:val="309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C7FDAF2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FFF572B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1C00423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3E6B5B67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79E4A19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4.00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E8D7D18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504DDA8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84FDF" w:rsidRPr="00C84FDF" w14:paraId="0149CED1" w14:textId="77777777" w:rsidTr="00FC0E0D">
              <w:trPr>
                <w:trHeight w:val="309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7221817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2030312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899A5C7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9798DC6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740AD89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74E3AFC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F39A3B3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84FDF" w:rsidRPr="00C84FDF" w14:paraId="127078F0" w14:textId="77777777" w:rsidTr="00FC0E0D">
              <w:trPr>
                <w:trHeight w:val="309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78FD1AA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36B20E8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FDA2176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E427E66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7F7FF09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FFFD4AF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48F244D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84FDF" w:rsidRPr="00C84FDF" w14:paraId="309F1535" w14:textId="77777777" w:rsidTr="00FC0E0D">
              <w:trPr>
                <w:trHeight w:val="309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FDC564A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2E7638C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1E2C5B4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3C76E0C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4D58C2B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F6EFDE1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0E5351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84FDF" w:rsidRPr="00C84FDF" w14:paraId="7F6D85D3" w14:textId="77777777" w:rsidTr="00FC0E0D">
              <w:trPr>
                <w:trHeight w:val="309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1FD505E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E01163E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ABF182D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0F2D0C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13FEFC3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DDF3D8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9E05D72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84FDF" w:rsidRPr="00C84FDF" w14:paraId="01F81F86" w14:textId="77777777" w:rsidTr="00FC0E0D">
              <w:trPr>
                <w:trHeight w:val="309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7B3DE53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A64D491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93BA447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01A1D53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4E3B159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E178603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77D0366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84FDF" w:rsidRPr="00C84FDF" w14:paraId="79FF1989" w14:textId="77777777" w:rsidTr="00FC0E0D">
              <w:trPr>
                <w:trHeight w:val="309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6DE0563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E81792A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81214B4" w14:textId="77777777" w:rsidR="00C84FDF" w:rsidRPr="00C84FDF" w:rsidRDefault="00C84FDF" w:rsidP="00C84FD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8B10C11" w14:textId="77777777" w:rsidR="00C84FDF" w:rsidRPr="00C84FDF" w:rsidRDefault="00C84FDF" w:rsidP="00C84FD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B28B760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0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40FB77D" w14:textId="77777777" w:rsidR="00C84FDF" w:rsidRPr="00C84FDF" w:rsidRDefault="00C84FDF" w:rsidP="00C84FDF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84FDF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warranted</w:t>
                  </w:r>
                </w:p>
              </w:tc>
            </w:tr>
          </w:tbl>
          <w:p w14:paraId="31085D3F" w14:textId="59D3C509" w:rsidR="00932DCE" w:rsidRPr="004C23F4" w:rsidRDefault="00932DCE" w:rsidP="00F9496B">
            <w:pPr>
              <w:pStyle w:val="Tablefont"/>
            </w:pPr>
          </w:p>
        </w:tc>
      </w:tr>
    </w:tbl>
    <w:bookmarkEnd w:id="3"/>
    <w:p w14:paraId="4E0AB42D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0"/>
        <w:gridCol w:w="4766"/>
      </w:tblGrid>
      <w:tr w:rsidR="00EB3D1B" w14:paraId="012C87DA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0BAF0388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5427426F" w14:textId="3472D31A" w:rsidR="00EB3D1B" w:rsidRDefault="00873E09" w:rsidP="00EB3D1B">
                <w:pPr>
                  <w:pStyle w:val="Tablefont"/>
                </w:pPr>
                <w:r>
                  <w:t>No, the chemical is a genotoxic carcinogen</w:t>
                </w:r>
              </w:p>
            </w:tc>
          </w:sdtContent>
        </w:sdt>
      </w:tr>
    </w:tbl>
    <w:p w14:paraId="24645C69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5"/>
        <w:gridCol w:w="5031"/>
      </w:tblGrid>
      <w:tr w:rsidR="001B79E5" w:rsidRPr="004C23F4" w14:paraId="616B742E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3939F40C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7F5455C5" w14:textId="0708CAFC" w:rsidR="001B79E5" w:rsidRDefault="006E383A" w:rsidP="001B79E5">
                <w:pPr>
                  <w:pStyle w:val="Tablefont"/>
                </w:pPr>
                <w:r w:rsidRPr="006E383A">
                  <w:t>126.13</w:t>
                </w:r>
              </w:p>
            </w:tc>
          </w:sdtContent>
        </w:sdt>
      </w:tr>
      <w:tr w:rsidR="00A31D99" w:rsidRPr="004C23F4" w14:paraId="40D80DAD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7254EE3C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3F4478B8" w14:textId="55895499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6E383A">
                  <w:t>5.15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6E383A">
                  <w:t>0.194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7A10A359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3B916FBA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55781028" w14:textId="77777777" w:rsidR="00687890" w:rsidRPr="004C23F4" w:rsidRDefault="00E46BCB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19619FD2" w14:textId="77777777" w:rsidTr="00EA6243">
        <w:trPr>
          <w:cantSplit/>
        </w:trPr>
        <w:tc>
          <w:tcPr>
            <w:tcW w:w="4077" w:type="dxa"/>
            <w:vAlign w:val="center"/>
          </w:tcPr>
          <w:p w14:paraId="6B577ED9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6AA2BDE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211A86C0" w14:textId="77777777" w:rsidTr="00EA6243">
        <w:trPr>
          <w:cantSplit/>
        </w:trPr>
        <w:tc>
          <w:tcPr>
            <w:tcW w:w="4077" w:type="dxa"/>
            <w:vAlign w:val="center"/>
          </w:tcPr>
          <w:p w14:paraId="513CE94B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28CED051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3A2BDC4A" w14:textId="77777777" w:rsidTr="00EA6243">
        <w:trPr>
          <w:cantSplit/>
        </w:trPr>
        <w:tc>
          <w:tcPr>
            <w:tcW w:w="4077" w:type="dxa"/>
            <w:vAlign w:val="center"/>
          </w:tcPr>
          <w:p w14:paraId="11B026A1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2DC6AEC7" w14:textId="3231E7CF" w:rsidR="00E06F40" w:rsidRPr="00A006A0" w:rsidRDefault="00C32C66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E383A">
                  <w:sym w:font="Wingdings" w:char="F0FC"/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3FAECE1C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4661FBAD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3025F019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4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3A78C673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4E8B8831" w14:textId="77777777" w:rsidTr="00F053FA">
        <w:trPr>
          <w:tblHeader/>
        </w:trPr>
        <w:sdt>
          <w:sdtPr>
            <w:id w:val="-25557549"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3800E3C8" w14:textId="77AD5149" w:rsidR="007F1005" w:rsidRPr="004C23F4" w:rsidRDefault="00845EC6" w:rsidP="00EB3D1B">
                <w:pPr>
                  <w:pStyle w:val="Tablefont"/>
                  <w:keepLines/>
                </w:pPr>
                <w:r>
                  <w:t>1991</w:t>
                </w:r>
              </w:p>
            </w:tc>
          </w:sdtContent>
        </w:sdt>
        <w:tc>
          <w:tcPr>
            <w:tcW w:w="5165" w:type="dxa"/>
            <w:vAlign w:val="center"/>
          </w:tcPr>
          <w:p w14:paraId="152F3185" w14:textId="74ACC834" w:rsidR="007F1005" w:rsidRPr="004C23F4" w:rsidRDefault="00845EC6" w:rsidP="00EB3D1B">
            <w:pPr>
              <w:pStyle w:val="Tablefont"/>
              <w:keepLines/>
            </w:pPr>
            <w:r>
              <w:t>0.1 ppm (0.5</w:t>
            </w:r>
            <w:r w:rsidR="003C5AF2">
              <w:t>2</w:t>
            </w:r>
            <w:r>
              <w:t xml:space="preserve"> mg/m</w:t>
            </w:r>
            <w:r w:rsidRPr="00845EC6">
              <w:rPr>
                <w:vertAlign w:val="superscript"/>
              </w:rPr>
              <w:t>3</w:t>
            </w:r>
            <w:r>
              <w:t>)</w:t>
            </w:r>
          </w:p>
        </w:tc>
      </w:tr>
    </w:tbl>
    <w:bookmarkEnd w:id="4"/>
    <w:p w14:paraId="59F4A793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19CDA233" w14:textId="580524B8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42E5300E" w14:textId="77777777" w:rsidR="00A449EA" w:rsidRDefault="00A449EA" w:rsidP="00A449EA">
      <w:r w:rsidRPr="002022B6">
        <w:t xml:space="preserve">Deutsche </w:t>
      </w:r>
      <w:proofErr w:type="spellStart"/>
      <w:r w:rsidRPr="002022B6">
        <w:t>Forschungsgemeinschaft</w:t>
      </w:r>
      <w:proofErr w:type="spellEnd"/>
      <w:r w:rsidRPr="002022B6">
        <w:t xml:space="preserve"> (DFG)</w:t>
      </w:r>
      <w:r>
        <w:t xml:space="preserve"> (1998) </w:t>
      </w:r>
      <w:r w:rsidRPr="006E383A">
        <w:t xml:space="preserve">Dimethyl </w:t>
      </w:r>
      <w:proofErr w:type="spellStart"/>
      <w:r w:rsidRPr="006E383A">
        <w:t>sulfate</w:t>
      </w:r>
      <w:proofErr w:type="spellEnd"/>
      <w:r>
        <w:t xml:space="preserve"> – MAK value documentation.</w:t>
      </w:r>
    </w:p>
    <w:p w14:paraId="46DB5D05" w14:textId="68F113E9" w:rsidR="006E383A" w:rsidRDefault="006E383A" w:rsidP="006E383A">
      <w:r>
        <w:t xml:space="preserve">European </w:t>
      </w:r>
      <w:r w:rsidR="00A449EA">
        <w:t xml:space="preserve">Chemicals Agency (ECHA) (2019) </w:t>
      </w:r>
      <w:r>
        <w:t>Dimethyl sulphate – REACH assessment.</w:t>
      </w:r>
    </w:p>
    <w:p w14:paraId="585E9B95" w14:textId="195076A4" w:rsidR="006E383A" w:rsidRDefault="006E383A" w:rsidP="006E383A">
      <w:r w:rsidRPr="002022B6">
        <w:t>EU Scientific Committee on Occupational Exposure Limits (SCOEL)</w:t>
      </w:r>
      <w:r>
        <w:t xml:space="preserve"> (2004) Recommendation from the Scientific Committee on Occupational Exposure Limits for Dimethyl sulphate. SCOEL/</w:t>
      </w:r>
      <w:r w:rsidRPr="006E383A">
        <w:t>SUM/111</w:t>
      </w:r>
      <w:r>
        <w:t>.</w:t>
      </w:r>
    </w:p>
    <w:p w14:paraId="59441079" w14:textId="627FB061" w:rsidR="00AE71DE" w:rsidRDefault="00AE71DE" w:rsidP="00084859">
      <w:r>
        <w:t>Health Council of the Netherlands (HCOTN) (2014) Dimethyl sulphate. Health-based calculated occupational cancer risk values. The Hague: Health Council of the Netherlands, 2014; publication no. 204/27.</w:t>
      </w:r>
    </w:p>
    <w:p w14:paraId="06A9808C" w14:textId="5472F594" w:rsidR="006E383A" w:rsidRDefault="006E383A" w:rsidP="00084859">
      <w:r w:rsidRPr="002022B6">
        <w:t>International Agency for Research on Cancer</w:t>
      </w:r>
      <w:r>
        <w:t xml:space="preserve"> (IARC) (</w:t>
      </w:r>
      <w:r w:rsidR="008C0927" w:rsidRPr="008C0927">
        <w:t>1999</w:t>
      </w:r>
      <w:r>
        <w:t xml:space="preserve">) </w:t>
      </w:r>
      <w:r w:rsidR="008C0927" w:rsidRPr="008C0927">
        <w:t xml:space="preserve">Dimethyl </w:t>
      </w:r>
      <w:proofErr w:type="spellStart"/>
      <w:r w:rsidR="008C0927" w:rsidRPr="008C0927">
        <w:t>sulfate</w:t>
      </w:r>
      <w:proofErr w:type="spellEnd"/>
      <w:r>
        <w:t>. IARC Monographs on the evaluation of the carcinogenic risk to humans.</w:t>
      </w:r>
    </w:p>
    <w:p w14:paraId="3BEC0318" w14:textId="77777777" w:rsidR="00A449EA" w:rsidRDefault="00337AE9" w:rsidP="00A449EA">
      <w:r>
        <w:t xml:space="preserve">National Industrial Chemicals Notification and Assessment Scheme (NICNAS) (2013) </w:t>
      </w:r>
      <w:proofErr w:type="spellStart"/>
      <w:r w:rsidRPr="00337AE9">
        <w:t>Sulfuric</w:t>
      </w:r>
      <w:proofErr w:type="spellEnd"/>
      <w:r w:rsidRPr="00337AE9">
        <w:t xml:space="preserve"> acid, dimethyl ester</w:t>
      </w:r>
      <w:r>
        <w:t>: Human health tier II assessment – IMAP report.</w:t>
      </w:r>
      <w:r w:rsidR="00A449EA" w:rsidRPr="00A449EA">
        <w:t xml:space="preserve"> </w:t>
      </w:r>
    </w:p>
    <w:p w14:paraId="47F0FCE4" w14:textId="45BE9878" w:rsidR="00A449EA" w:rsidRDefault="00A449EA" w:rsidP="00A449EA">
      <w:r w:rsidRPr="0035432C">
        <w:t>Tenth Adaptation to Technical Progress Commission Regulation (EU) No 2017/776 amending, for the purposes of its adaptation to technical and scientific progress, Regulation (EC) No 1272/2008 of the European Parliament and of the Council on classification, labelling and packaging of substances and mixtures (the CLP Regulation).</w:t>
      </w:r>
    </w:p>
    <w:p w14:paraId="094CFAD2" w14:textId="53CF2E53" w:rsidR="00873E09" w:rsidRDefault="00873E09" w:rsidP="00873E09">
      <w:r w:rsidRPr="00385603">
        <w:t>U.S. Environmental P</w:t>
      </w:r>
      <w:r>
        <w:t>rotection Agency (US EPA). (1988</w:t>
      </w:r>
      <w:r w:rsidR="00D24E8E">
        <w:t>, 1992</w:t>
      </w:r>
      <w:r w:rsidRPr="00385603">
        <w:t xml:space="preserve">). Chemical Assessment Summary – </w:t>
      </w:r>
      <w:r>
        <w:t xml:space="preserve">Dimethyl </w:t>
      </w:r>
      <w:proofErr w:type="spellStart"/>
      <w:r>
        <w:t>sulfate</w:t>
      </w:r>
      <w:proofErr w:type="spellEnd"/>
      <w:r>
        <w:t>; CASRN 77-78-1</w:t>
      </w:r>
      <w:r w:rsidRPr="00385603">
        <w:t>. Integrated Risk Information System (IRIS).</w:t>
      </w:r>
    </w:p>
    <w:p w14:paraId="76F1F51F" w14:textId="77777777" w:rsidR="00A449EA" w:rsidRDefault="00A449EA" w:rsidP="00A449EA">
      <w:r w:rsidRPr="00D86E03">
        <w:t>US National Institute for Occupational Safety and Health (NIOSH)</w:t>
      </w:r>
      <w:r>
        <w:t xml:space="preserve"> (2017) </w:t>
      </w:r>
      <w:r w:rsidRPr="006B0272">
        <w:t xml:space="preserve">NIOSH Skin Notation Profiles: </w:t>
      </w:r>
      <w:r w:rsidRPr="008C0927">
        <w:t xml:space="preserve">Dimethyl </w:t>
      </w:r>
      <w:proofErr w:type="spellStart"/>
      <w:r w:rsidRPr="008C0927">
        <w:t>Sulfate</w:t>
      </w:r>
      <w:proofErr w:type="spellEnd"/>
      <w:r w:rsidRPr="008C0927">
        <w:t xml:space="preserve"> (DMS)</w:t>
      </w:r>
      <w:r>
        <w:t>.</w:t>
      </w:r>
    </w:p>
    <w:p w14:paraId="721DFE2B" w14:textId="3303C5BB" w:rsidR="00337AE9" w:rsidRPr="00351FE0" w:rsidRDefault="00337AE9" w:rsidP="00084859"/>
    <w:sectPr w:rsidR="00337AE9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A15E8D" w16cid:durableId="216E6451"/>
  <w16cid:commentId w16cid:paraId="44E8F116" w16cid:durableId="216E64A6"/>
  <w16cid:commentId w16cid:paraId="29207AA0" w16cid:durableId="216E653A"/>
  <w16cid:commentId w16cid:paraId="0DAC98D3" w16cid:durableId="21938DE8"/>
  <w16cid:commentId w16cid:paraId="13C0F382" w16cid:durableId="21938DE9"/>
  <w16cid:commentId w16cid:paraId="0A3D1F67" w16cid:durableId="216E6F97"/>
  <w16cid:commentId w16cid:paraId="7BEB62C5" w16cid:durableId="216E6F17"/>
  <w16cid:commentId w16cid:paraId="60185414" w16cid:durableId="21938DEC"/>
  <w16cid:commentId w16cid:paraId="6FDB61E3" w16cid:durableId="216E6E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1CDBD" w14:textId="77777777" w:rsidR="00BA6214" w:rsidRDefault="00BA6214" w:rsidP="00F43AD5">
      <w:pPr>
        <w:spacing w:after="0" w:line="240" w:lineRule="auto"/>
      </w:pPr>
      <w:r>
        <w:separator/>
      </w:r>
    </w:p>
  </w:endnote>
  <w:endnote w:type="continuationSeparator" w:id="0">
    <w:p w14:paraId="1C56BA3A" w14:textId="77777777" w:rsidR="00BA6214" w:rsidRDefault="00BA6214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EF44" w14:textId="77777777" w:rsidR="008A0275" w:rsidRDefault="008A0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5239FAF" w14:textId="1DE6A731" w:rsidR="00A01A71" w:rsidRDefault="00A01A71" w:rsidP="0034744C">
        <w:pPr>
          <w:pStyle w:val="Footer"/>
          <w:rPr>
            <w:sz w:val="18"/>
            <w:szCs w:val="18"/>
          </w:rPr>
        </w:pPr>
        <w:r w:rsidRPr="00212059">
          <w:rPr>
            <w:b/>
            <w:sz w:val="18"/>
            <w:szCs w:val="18"/>
          </w:rPr>
          <w:t xml:space="preserve">Dimethyl </w:t>
        </w:r>
        <w:proofErr w:type="spellStart"/>
        <w:r w:rsidR="005C1DFB">
          <w:rPr>
            <w:b/>
            <w:sz w:val="18"/>
            <w:szCs w:val="18"/>
          </w:rPr>
          <w:t>sulf</w:t>
        </w:r>
        <w:r w:rsidRPr="00212059">
          <w:rPr>
            <w:b/>
            <w:sz w:val="18"/>
            <w:szCs w:val="18"/>
          </w:rPr>
          <w:t>ate</w:t>
        </w:r>
        <w:proofErr w:type="spellEnd"/>
        <w:r>
          <w:rPr>
            <w:b/>
            <w:sz w:val="18"/>
            <w:szCs w:val="18"/>
          </w:rPr>
          <w:t xml:space="preserve"> (</w:t>
        </w:r>
        <w:r w:rsidRPr="00212059">
          <w:rPr>
            <w:b/>
            <w:sz w:val="18"/>
            <w:szCs w:val="18"/>
          </w:rPr>
          <w:t>77-78-1</w:t>
        </w:r>
        <w:proofErr w:type="gramStart"/>
        <w:r>
          <w:rPr>
            <w:b/>
            <w:sz w:val="18"/>
            <w:szCs w:val="18"/>
          </w:rPr>
          <w:t>)</w:t>
        </w:r>
        <w:proofErr w:type="gramEnd"/>
        <w:r w:rsidRPr="00F43AD5">
          <w:rPr>
            <w:sz w:val="18"/>
            <w:szCs w:val="18"/>
          </w:rPr>
          <w:br/>
          <w:t xml:space="preserve">Safe Work Australia </w:t>
        </w:r>
        <w:r w:rsidRPr="00F43AD5">
          <w:rPr>
            <w:rFonts w:ascii="Courier New" w:hAnsi="Courier New" w:cs="Courier New"/>
            <w:sz w:val="18"/>
            <w:szCs w:val="18"/>
          </w:rPr>
          <w:t>—</w:t>
        </w:r>
        <w:r w:rsidRPr="00F43AD5">
          <w:rPr>
            <w:sz w:val="18"/>
            <w:szCs w:val="18"/>
          </w:rPr>
          <w:t xml:space="preserve"> 201</w:t>
        </w:r>
        <w:r>
          <w:rPr>
            <w:sz w:val="18"/>
            <w:szCs w:val="18"/>
          </w:rPr>
          <w:t>9</w:t>
        </w:r>
      </w:p>
      <w:p w14:paraId="32B1C4BB" w14:textId="3A619F29" w:rsidR="00A01A71" w:rsidRPr="00F43AD5" w:rsidRDefault="00A01A71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C32C66">
          <w:rPr>
            <w:noProof/>
            <w:sz w:val="18"/>
            <w:szCs w:val="18"/>
          </w:rPr>
          <w:t>2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68FB3" w14:textId="77777777" w:rsidR="008A0275" w:rsidRDefault="008A0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2C2F" w14:textId="77777777" w:rsidR="00BA6214" w:rsidRDefault="00BA6214" w:rsidP="00F43AD5">
      <w:pPr>
        <w:spacing w:after="0" w:line="240" w:lineRule="auto"/>
      </w:pPr>
      <w:r>
        <w:separator/>
      </w:r>
    </w:p>
  </w:footnote>
  <w:footnote w:type="continuationSeparator" w:id="0">
    <w:p w14:paraId="646F5CB6" w14:textId="77777777" w:rsidR="00BA6214" w:rsidRDefault="00BA6214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D915" w14:textId="2C36DB56" w:rsidR="008A0275" w:rsidRDefault="00C32C66">
    <w:pPr>
      <w:pStyle w:val="Header"/>
    </w:pPr>
    <w:r>
      <w:rPr>
        <w:noProof/>
      </w:rPr>
      <w:pict w14:anchorId="6102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43704" o:spid="_x0000_s1024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F56F" w14:textId="17F5E338" w:rsidR="00A01A71" w:rsidRDefault="00C32C66" w:rsidP="00F43AD5">
    <w:pPr>
      <w:pStyle w:val="Header"/>
      <w:jc w:val="right"/>
    </w:pPr>
    <w:r>
      <w:rPr>
        <w:noProof/>
      </w:rPr>
      <w:pict w14:anchorId="181C7D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43705" o:spid="_x0000_s10243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A01A71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272FA" w14:textId="2C242086" w:rsidR="008A0275" w:rsidRDefault="00C32C66">
    <w:pPr>
      <w:pStyle w:val="Header"/>
    </w:pPr>
    <w:r>
      <w:rPr>
        <w:noProof/>
      </w:rPr>
      <w:pict w14:anchorId="02FFD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43703" o:spid="_x0000_s1024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6A54F" w14:textId="238531E1" w:rsidR="00C32C66" w:rsidRDefault="00C32C66">
    <w:pPr>
      <w:pStyle w:val="Header"/>
    </w:pPr>
    <w:r>
      <w:rPr>
        <w:noProof/>
      </w:rPr>
      <w:pict w14:anchorId="3A2B2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43707" o:spid="_x0000_s10245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A184" w14:textId="24ED0EE1" w:rsidR="00A01A71" w:rsidRDefault="00C32C66" w:rsidP="00F43AD5">
    <w:pPr>
      <w:pStyle w:val="Header"/>
      <w:jc w:val="right"/>
    </w:pPr>
    <w:r>
      <w:rPr>
        <w:noProof/>
      </w:rPr>
      <w:pict w14:anchorId="078C1A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43708" o:spid="_x0000_s10246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90DF" w14:textId="003F0DF7" w:rsidR="00C32C66" w:rsidRDefault="00C32C66">
    <w:pPr>
      <w:pStyle w:val="Header"/>
    </w:pPr>
    <w:r>
      <w:rPr>
        <w:noProof/>
      </w:rPr>
      <w:pict w14:anchorId="5820E0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43706" o:spid="_x0000_s10244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C643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64477"/>
    <w:multiLevelType w:val="hybridMultilevel"/>
    <w:tmpl w:val="99B66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4723"/>
    <w:multiLevelType w:val="hybridMultilevel"/>
    <w:tmpl w:val="951AA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54DC5"/>
    <w:multiLevelType w:val="hybridMultilevel"/>
    <w:tmpl w:val="8D9AE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57AE0"/>
    <w:multiLevelType w:val="hybridMultilevel"/>
    <w:tmpl w:val="4B8EF2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96A22"/>
    <w:multiLevelType w:val="hybridMultilevel"/>
    <w:tmpl w:val="E8689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F2A"/>
    <w:multiLevelType w:val="hybridMultilevel"/>
    <w:tmpl w:val="A3FEE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33E28"/>
    <w:rsid w:val="00046DF5"/>
    <w:rsid w:val="00052060"/>
    <w:rsid w:val="00053F7B"/>
    <w:rsid w:val="0005574A"/>
    <w:rsid w:val="00055FE1"/>
    <w:rsid w:val="00056EC2"/>
    <w:rsid w:val="00060B48"/>
    <w:rsid w:val="00067F32"/>
    <w:rsid w:val="00071807"/>
    <w:rsid w:val="000803E1"/>
    <w:rsid w:val="00084513"/>
    <w:rsid w:val="00084859"/>
    <w:rsid w:val="00091108"/>
    <w:rsid w:val="00092D94"/>
    <w:rsid w:val="000B0868"/>
    <w:rsid w:val="000B3E12"/>
    <w:rsid w:val="000B3E78"/>
    <w:rsid w:val="000B7B48"/>
    <w:rsid w:val="000C096D"/>
    <w:rsid w:val="000C139A"/>
    <w:rsid w:val="000C2053"/>
    <w:rsid w:val="000C248C"/>
    <w:rsid w:val="000D1B24"/>
    <w:rsid w:val="000D291C"/>
    <w:rsid w:val="000E5A54"/>
    <w:rsid w:val="000E63D3"/>
    <w:rsid w:val="000E67CF"/>
    <w:rsid w:val="0010461E"/>
    <w:rsid w:val="00106FAA"/>
    <w:rsid w:val="001078D0"/>
    <w:rsid w:val="00113443"/>
    <w:rsid w:val="001269A7"/>
    <w:rsid w:val="00127E51"/>
    <w:rsid w:val="00131092"/>
    <w:rsid w:val="001317C6"/>
    <w:rsid w:val="001363CE"/>
    <w:rsid w:val="00137090"/>
    <w:rsid w:val="00140E6A"/>
    <w:rsid w:val="00146545"/>
    <w:rsid w:val="00146B75"/>
    <w:rsid w:val="0015266D"/>
    <w:rsid w:val="0015288A"/>
    <w:rsid w:val="00154180"/>
    <w:rsid w:val="00160F47"/>
    <w:rsid w:val="00167B6C"/>
    <w:rsid w:val="00177CA1"/>
    <w:rsid w:val="00183823"/>
    <w:rsid w:val="00183942"/>
    <w:rsid w:val="00194E1F"/>
    <w:rsid w:val="001A009E"/>
    <w:rsid w:val="001A11EB"/>
    <w:rsid w:val="001A1287"/>
    <w:rsid w:val="001A3859"/>
    <w:rsid w:val="001A3C9D"/>
    <w:rsid w:val="001A43F8"/>
    <w:rsid w:val="001B79E5"/>
    <w:rsid w:val="001C39FA"/>
    <w:rsid w:val="001C4B92"/>
    <w:rsid w:val="001D56F0"/>
    <w:rsid w:val="001D663B"/>
    <w:rsid w:val="001D6BFA"/>
    <w:rsid w:val="001D7B41"/>
    <w:rsid w:val="001E0046"/>
    <w:rsid w:val="001E46DA"/>
    <w:rsid w:val="001E7D80"/>
    <w:rsid w:val="001F4B6C"/>
    <w:rsid w:val="001F62CB"/>
    <w:rsid w:val="001F6734"/>
    <w:rsid w:val="001F682B"/>
    <w:rsid w:val="001F6ED0"/>
    <w:rsid w:val="001F72E6"/>
    <w:rsid w:val="001F73C5"/>
    <w:rsid w:val="00203066"/>
    <w:rsid w:val="002046A6"/>
    <w:rsid w:val="00204956"/>
    <w:rsid w:val="00212059"/>
    <w:rsid w:val="00213640"/>
    <w:rsid w:val="00221547"/>
    <w:rsid w:val="002216FC"/>
    <w:rsid w:val="00222533"/>
    <w:rsid w:val="00222F30"/>
    <w:rsid w:val="00224EE2"/>
    <w:rsid w:val="00227EC7"/>
    <w:rsid w:val="002334F0"/>
    <w:rsid w:val="00241AB8"/>
    <w:rsid w:val="00244AD1"/>
    <w:rsid w:val="002463BC"/>
    <w:rsid w:val="002465CE"/>
    <w:rsid w:val="00250E3D"/>
    <w:rsid w:val="00255895"/>
    <w:rsid w:val="0025734A"/>
    <w:rsid w:val="00263255"/>
    <w:rsid w:val="00276494"/>
    <w:rsid w:val="00277B0C"/>
    <w:rsid w:val="002B1A2C"/>
    <w:rsid w:val="002B763B"/>
    <w:rsid w:val="002C34F2"/>
    <w:rsid w:val="002C58FF"/>
    <w:rsid w:val="002C7AFE"/>
    <w:rsid w:val="002D05D2"/>
    <w:rsid w:val="002E0D61"/>
    <w:rsid w:val="002E4C7B"/>
    <w:rsid w:val="002E794F"/>
    <w:rsid w:val="00301C66"/>
    <w:rsid w:val="0030740C"/>
    <w:rsid w:val="00315833"/>
    <w:rsid w:val="003215EE"/>
    <w:rsid w:val="00321CB2"/>
    <w:rsid w:val="003224BF"/>
    <w:rsid w:val="003241A8"/>
    <w:rsid w:val="003253F0"/>
    <w:rsid w:val="003337DA"/>
    <w:rsid w:val="003347CF"/>
    <w:rsid w:val="00334EFB"/>
    <w:rsid w:val="00335CDE"/>
    <w:rsid w:val="003365A5"/>
    <w:rsid w:val="00337AE9"/>
    <w:rsid w:val="00347192"/>
    <w:rsid w:val="0034744C"/>
    <w:rsid w:val="00351FE0"/>
    <w:rsid w:val="00352615"/>
    <w:rsid w:val="00352694"/>
    <w:rsid w:val="0035412B"/>
    <w:rsid w:val="00354B8C"/>
    <w:rsid w:val="003567A8"/>
    <w:rsid w:val="00362895"/>
    <w:rsid w:val="00370DBF"/>
    <w:rsid w:val="00386093"/>
    <w:rsid w:val="003904A4"/>
    <w:rsid w:val="00391841"/>
    <w:rsid w:val="00391B6D"/>
    <w:rsid w:val="00394922"/>
    <w:rsid w:val="003A0E32"/>
    <w:rsid w:val="003A2B94"/>
    <w:rsid w:val="003A6F41"/>
    <w:rsid w:val="003B387D"/>
    <w:rsid w:val="003B40A6"/>
    <w:rsid w:val="003C0D58"/>
    <w:rsid w:val="003C5AF2"/>
    <w:rsid w:val="003D1DEA"/>
    <w:rsid w:val="003D4FA3"/>
    <w:rsid w:val="003E0807"/>
    <w:rsid w:val="003E1164"/>
    <w:rsid w:val="003E2997"/>
    <w:rsid w:val="003E51FB"/>
    <w:rsid w:val="003E6B39"/>
    <w:rsid w:val="003F07E1"/>
    <w:rsid w:val="004000FA"/>
    <w:rsid w:val="004030BC"/>
    <w:rsid w:val="00403F7D"/>
    <w:rsid w:val="00406785"/>
    <w:rsid w:val="004079B4"/>
    <w:rsid w:val="00417A56"/>
    <w:rsid w:val="00420957"/>
    <w:rsid w:val="00422A10"/>
    <w:rsid w:val="00430179"/>
    <w:rsid w:val="00432B5E"/>
    <w:rsid w:val="004414B5"/>
    <w:rsid w:val="00444482"/>
    <w:rsid w:val="00444B42"/>
    <w:rsid w:val="00445E44"/>
    <w:rsid w:val="004509E2"/>
    <w:rsid w:val="004515EE"/>
    <w:rsid w:val="004529F0"/>
    <w:rsid w:val="00460A03"/>
    <w:rsid w:val="00472A11"/>
    <w:rsid w:val="00472AAD"/>
    <w:rsid w:val="00474E33"/>
    <w:rsid w:val="00476803"/>
    <w:rsid w:val="004809F8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B1A6F"/>
    <w:rsid w:val="004C1B17"/>
    <w:rsid w:val="004C1E3F"/>
    <w:rsid w:val="004C23F4"/>
    <w:rsid w:val="004C3475"/>
    <w:rsid w:val="004C58B6"/>
    <w:rsid w:val="004D16A3"/>
    <w:rsid w:val="004D1754"/>
    <w:rsid w:val="004D3B96"/>
    <w:rsid w:val="004D4AA1"/>
    <w:rsid w:val="004D6D68"/>
    <w:rsid w:val="004E54C8"/>
    <w:rsid w:val="004E5EDD"/>
    <w:rsid w:val="004F448A"/>
    <w:rsid w:val="004F493D"/>
    <w:rsid w:val="004F65E8"/>
    <w:rsid w:val="0050005E"/>
    <w:rsid w:val="00502B88"/>
    <w:rsid w:val="005142C4"/>
    <w:rsid w:val="0051509C"/>
    <w:rsid w:val="005272E2"/>
    <w:rsid w:val="0053108F"/>
    <w:rsid w:val="00532081"/>
    <w:rsid w:val="00532B56"/>
    <w:rsid w:val="00534B10"/>
    <w:rsid w:val="005446A2"/>
    <w:rsid w:val="00544D2F"/>
    <w:rsid w:val="00551BD8"/>
    <w:rsid w:val="005670E9"/>
    <w:rsid w:val="00581055"/>
    <w:rsid w:val="005825BC"/>
    <w:rsid w:val="00591E38"/>
    <w:rsid w:val="005A19C5"/>
    <w:rsid w:val="005A3034"/>
    <w:rsid w:val="005A462D"/>
    <w:rsid w:val="005B253B"/>
    <w:rsid w:val="005B771D"/>
    <w:rsid w:val="005C1DFB"/>
    <w:rsid w:val="005C5D16"/>
    <w:rsid w:val="005D3193"/>
    <w:rsid w:val="005D4A6E"/>
    <w:rsid w:val="005D5091"/>
    <w:rsid w:val="005E6979"/>
    <w:rsid w:val="005E75CB"/>
    <w:rsid w:val="006013C1"/>
    <w:rsid w:val="0060669E"/>
    <w:rsid w:val="00610F2E"/>
    <w:rsid w:val="00611399"/>
    <w:rsid w:val="00624C4E"/>
    <w:rsid w:val="00625200"/>
    <w:rsid w:val="00625B81"/>
    <w:rsid w:val="006363A8"/>
    <w:rsid w:val="00636DB7"/>
    <w:rsid w:val="00650905"/>
    <w:rsid w:val="006532ED"/>
    <w:rsid w:val="006533AB"/>
    <w:rsid w:val="006549F2"/>
    <w:rsid w:val="00655A68"/>
    <w:rsid w:val="006567B7"/>
    <w:rsid w:val="00657BFB"/>
    <w:rsid w:val="00662DD2"/>
    <w:rsid w:val="0066333C"/>
    <w:rsid w:val="006639B4"/>
    <w:rsid w:val="006650FE"/>
    <w:rsid w:val="00667730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B160A"/>
    <w:rsid w:val="006B4E6C"/>
    <w:rsid w:val="006B50B6"/>
    <w:rsid w:val="006B7760"/>
    <w:rsid w:val="006D79EA"/>
    <w:rsid w:val="006E383A"/>
    <w:rsid w:val="006E5A7A"/>
    <w:rsid w:val="006E5D05"/>
    <w:rsid w:val="00701053"/>
    <w:rsid w:val="00701507"/>
    <w:rsid w:val="00714021"/>
    <w:rsid w:val="0071581F"/>
    <w:rsid w:val="00716A0F"/>
    <w:rsid w:val="00717D45"/>
    <w:rsid w:val="007208F7"/>
    <w:rsid w:val="007218AF"/>
    <w:rsid w:val="007365D1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C30EB"/>
    <w:rsid w:val="007D3269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10C6D"/>
    <w:rsid w:val="00812887"/>
    <w:rsid w:val="00817FD0"/>
    <w:rsid w:val="008238C2"/>
    <w:rsid w:val="00826F21"/>
    <w:rsid w:val="00834841"/>
    <w:rsid w:val="00834CC8"/>
    <w:rsid w:val="00835E00"/>
    <w:rsid w:val="00837113"/>
    <w:rsid w:val="008414E4"/>
    <w:rsid w:val="00843E21"/>
    <w:rsid w:val="0084508E"/>
    <w:rsid w:val="00845EC6"/>
    <w:rsid w:val="00857A8A"/>
    <w:rsid w:val="0086305A"/>
    <w:rsid w:val="008630EE"/>
    <w:rsid w:val="00864D13"/>
    <w:rsid w:val="008715A6"/>
    <w:rsid w:val="00871CD5"/>
    <w:rsid w:val="00873E09"/>
    <w:rsid w:val="008745A2"/>
    <w:rsid w:val="008768A8"/>
    <w:rsid w:val="00881C16"/>
    <w:rsid w:val="0088798F"/>
    <w:rsid w:val="00887E4B"/>
    <w:rsid w:val="008915C8"/>
    <w:rsid w:val="008A0275"/>
    <w:rsid w:val="008A36CF"/>
    <w:rsid w:val="008A3BC4"/>
    <w:rsid w:val="008B403C"/>
    <w:rsid w:val="008B7983"/>
    <w:rsid w:val="008C0927"/>
    <w:rsid w:val="008C2511"/>
    <w:rsid w:val="008D026D"/>
    <w:rsid w:val="008D23AB"/>
    <w:rsid w:val="008D4B8B"/>
    <w:rsid w:val="008D5A78"/>
    <w:rsid w:val="008D7791"/>
    <w:rsid w:val="008E356D"/>
    <w:rsid w:val="008E7B64"/>
    <w:rsid w:val="008F5DCD"/>
    <w:rsid w:val="00900951"/>
    <w:rsid w:val="0090459E"/>
    <w:rsid w:val="009117D7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1124"/>
    <w:rsid w:val="009621B6"/>
    <w:rsid w:val="00974F2D"/>
    <w:rsid w:val="00977524"/>
    <w:rsid w:val="00977E88"/>
    <w:rsid w:val="00984920"/>
    <w:rsid w:val="0099303A"/>
    <w:rsid w:val="009971C2"/>
    <w:rsid w:val="009A1254"/>
    <w:rsid w:val="009A2B14"/>
    <w:rsid w:val="009B1E74"/>
    <w:rsid w:val="009B2FF2"/>
    <w:rsid w:val="009B380C"/>
    <w:rsid w:val="009B4843"/>
    <w:rsid w:val="009B6543"/>
    <w:rsid w:val="009C199D"/>
    <w:rsid w:val="009C278F"/>
    <w:rsid w:val="009C2B94"/>
    <w:rsid w:val="009C5874"/>
    <w:rsid w:val="009C76A6"/>
    <w:rsid w:val="009D073C"/>
    <w:rsid w:val="009D3B5A"/>
    <w:rsid w:val="009E0C05"/>
    <w:rsid w:val="009E0D1C"/>
    <w:rsid w:val="009E2214"/>
    <w:rsid w:val="009E355A"/>
    <w:rsid w:val="009E63E2"/>
    <w:rsid w:val="009F01E2"/>
    <w:rsid w:val="009F04D2"/>
    <w:rsid w:val="009F05CF"/>
    <w:rsid w:val="009F0F3A"/>
    <w:rsid w:val="009F56DF"/>
    <w:rsid w:val="009F6EB6"/>
    <w:rsid w:val="00A01A71"/>
    <w:rsid w:val="00A01D0C"/>
    <w:rsid w:val="00A0643F"/>
    <w:rsid w:val="00A067EE"/>
    <w:rsid w:val="00A10FCE"/>
    <w:rsid w:val="00A16D91"/>
    <w:rsid w:val="00A174CC"/>
    <w:rsid w:val="00A2073D"/>
    <w:rsid w:val="00A20751"/>
    <w:rsid w:val="00A26C65"/>
    <w:rsid w:val="00A27E2D"/>
    <w:rsid w:val="00A31D99"/>
    <w:rsid w:val="00A357BA"/>
    <w:rsid w:val="00A35ADC"/>
    <w:rsid w:val="00A402A3"/>
    <w:rsid w:val="00A449EA"/>
    <w:rsid w:val="00A52599"/>
    <w:rsid w:val="00A53681"/>
    <w:rsid w:val="00A633D4"/>
    <w:rsid w:val="00A6461A"/>
    <w:rsid w:val="00A70A8F"/>
    <w:rsid w:val="00A84504"/>
    <w:rsid w:val="00A8672F"/>
    <w:rsid w:val="00A93057"/>
    <w:rsid w:val="00A967D2"/>
    <w:rsid w:val="00A968B0"/>
    <w:rsid w:val="00AB2672"/>
    <w:rsid w:val="00AB2817"/>
    <w:rsid w:val="00AB43C4"/>
    <w:rsid w:val="00AC32E7"/>
    <w:rsid w:val="00AC3A9F"/>
    <w:rsid w:val="00AC6D2F"/>
    <w:rsid w:val="00AD3DFA"/>
    <w:rsid w:val="00AE22C3"/>
    <w:rsid w:val="00AE2745"/>
    <w:rsid w:val="00AE2F64"/>
    <w:rsid w:val="00AE71DE"/>
    <w:rsid w:val="00AF42CB"/>
    <w:rsid w:val="00AF483F"/>
    <w:rsid w:val="00AF5E07"/>
    <w:rsid w:val="00AF5F06"/>
    <w:rsid w:val="00B00A25"/>
    <w:rsid w:val="00B1422A"/>
    <w:rsid w:val="00B1765C"/>
    <w:rsid w:val="00B213C4"/>
    <w:rsid w:val="00B40C60"/>
    <w:rsid w:val="00B479A9"/>
    <w:rsid w:val="00B52EDF"/>
    <w:rsid w:val="00B71188"/>
    <w:rsid w:val="00B76A41"/>
    <w:rsid w:val="00B87750"/>
    <w:rsid w:val="00B87D4C"/>
    <w:rsid w:val="00B93646"/>
    <w:rsid w:val="00BA0B38"/>
    <w:rsid w:val="00BA1DBB"/>
    <w:rsid w:val="00BA4510"/>
    <w:rsid w:val="00BA529A"/>
    <w:rsid w:val="00BA6214"/>
    <w:rsid w:val="00BB612A"/>
    <w:rsid w:val="00BB6F2C"/>
    <w:rsid w:val="00BD499F"/>
    <w:rsid w:val="00BD56DE"/>
    <w:rsid w:val="00BE3D0D"/>
    <w:rsid w:val="00BF2406"/>
    <w:rsid w:val="00BF4029"/>
    <w:rsid w:val="00C06E43"/>
    <w:rsid w:val="00C16315"/>
    <w:rsid w:val="00C3091E"/>
    <w:rsid w:val="00C32C66"/>
    <w:rsid w:val="00C40FF1"/>
    <w:rsid w:val="00C419E2"/>
    <w:rsid w:val="00C46B39"/>
    <w:rsid w:val="00C5020E"/>
    <w:rsid w:val="00C57452"/>
    <w:rsid w:val="00C61EDF"/>
    <w:rsid w:val="00C6239D"/>
    <w:rsid w:val="00C624EE"/>
    <w:rsid w:val="00C6594B"/>
    <w:rsid w:val="00C67FFB"/>
    <w:rsid w:val="00C7155E"/>
    <w:rsid w:val="00C71D1E"/>
    <w:rsid w:val="00C71D7D"/>
    <w:rsid w:val="00C74833"/>
    <w:rsid w:val="00C84FDF"/>
    <w:rsid w:val="00C850A0"/>
    <w:rsid w:val="00C85A86"/>
    <w:rsid w:val="00C922D7"/>
    <w:rsid w:val="00C978F0"/>
    <w:rsid w:val="00CA58FE"/>
    <w:rsid w:val="00CB1CB1"/>
    <w:rsid w:val="00CB6BC1"/>
    <w:rsid w:val="00CB6CB8"/>
    <w:rsid w:val="00CC1A68"/>
    <w:rsid w:val="00CC2123"/>
    <w:rsid w:val="00CD2BFD"/>
    <w:rsid w:val="00CD7F1D"/>
    <w:rsid w:val="00CE5AD6"/>
    <w:rsid w:val="00CE617F"/>
    <w:rsid w:val="00CE78EF"/>
    <w:rsid w:val="00D048F7"/>
    <w:rsid w:val="00D0517E"/>
    <w:rsid w:val="00D11638"/>
    <w:rsid w:val="00D117BE"/>
    <w:rsid w:val="00D140FC"/>
    <w:rsid w:val="00D21D8C"/>
    <w:rsid w:val="00D22F69"/>
    <w:rsid w:val="00D24E8E"/>
    <w:rsid w:val="00D31357"/>
    <w:rsid w:val="00D33220"/>
    <w:rsid w:val="00D334D1"/>
    <w:rsid w:val="00D44C89"/>
    <w:rsid w:val="00D516CD"/>
    <w:rsid w:val="00D668E6"/>
    <w:rsid w:val="00D70670"/>
    <w:rsid w:val="00D74D80"/>
    <w:rsid w:val="00D76624"/>
    <w:rsid w:val="00D87570"/>
    <w:rsid w:val="00D91CB9"/>
    <w:rsid w:val="00D97989"/>
    <w:rsid w:val="00D97D8D"/>
    <w:rsid w:val="00DA352E"/>
    <w:rsid w:val="00DC21F2"/>
    <w:rsid w:val="00DC57D3"/>
    <w:rsid w:val="00DC7694"/>
    <w:rsid w:val="00DD1412"/>
    <w:rsid w:val="00DD1BF6"/>
    <w:rsid w:val="00DD2F9B"/>
    <w:rsid w:val="00DE1E07"/>
    <w:rsid w:val="00DE2513"/>
    <w:rsid w:val="00DE26E8"/>
    <w:rsid w:val="00DF6F36"/>
    <w:rsid w:val="00E0084C"/>
    <w:rsid w:val="00E025AB"/>
    <w:rsid w:val="00E02B23"/>
    <w:rsid w:val="00E06E14"/>
    <w:rsid w:val="00E06F40"/>
    <w:rsid w:val="00E07CE8"/>
    <w:rsid w:val="00E26A07"/>
    <w:rsid w:val="00E32595"/>
    <w:rsid w:val="00E37CFD"/>
    <w:rsid w:val="00E41A26"/>
    <w:rsid w:val="00E46BCB"/>
    <w:rsid w:val="00E51CAF"/>
    <w:rsid w:val="00E56BE0"/>
    <w:rsid w:val="00E60F04"/>
    <w:rsid w:val="00E62AAC"/>
    <w:rsid w:val="00E67C2F"/>
    <w:rsid w:val="00E67EF5"/>
    <w:rsid w:val="00E736F8"/>
    <w:rsid w:val="00E804EA"/>
    <w:rsid w:val="00E80A71"/>
    <w:rsid w:val="00E82337"/>
    <w:rsid w:val="00E92499"/>
    <w:rsid w:val="00E949AF"/>
    <w:rsid w:val="00E96077"/>
    <w:rsid w:val="00EA0A06"/>
    <w:rsid w:val="00EA6243"/>
    <w:rsid w:val="00EA74AB"/>
    <w:rsid w:val="00EB3D1B"/>
    <w:rsid w:val="00ED1D89"/>
    <w:rsid w:val="00ED66BC"/>
    <w:rsid w:val="00EF233A"/>
    <w:rsid w:val="00EF303E"/>
    <w:rsid w:val="00EF3A40"/>
    <w:rsid w:val="00EF7F78"/>
    <w:rsid w:val="00F01B08"/>
    <w:rsid w:val="00F01C4D"/>
    <w:rsid w:val="00F051F9"/>
    <w:rsid w:val="00F053FA"/>
    <w:rsid w:val="00F10C97"/>
    <w:rsid w:val="00F11C71"/>
    <w:rsid w:val="00F16019"/>
    <w:rsid w:val="00F20E68"/>
    <w:rsid w:val="00F22093"/>
    <w:rsid w:val="00F236DF"/>
    <w:rsid w:val="00F43AD5"/>
    <w:rsid w:val="00F4402E"/>
    <w:rsid w:val="00F45842"/>
    <w:rsid w:val="00F50F05"/>
    <w:rsid w:val="00F56DD0"/>
    <w:rsid w:val="00F6491C"/>
    <w:rsid w:val="00F66653"/>
    <w:rsid w:val="00F67BBB"/>
    <w:rsid w:val="00F725FB"/>
    <w:rsid w:val="00F87D92"/>
    <w:rsid w:val="00F90AA7"/>
    <w:rsid w:val="00F92498"/>
    <w:rsid w:val="00F9496B"/>
    <w:rsid w:val="00F970C9"/>
    <w:rsid w:val="00FA06A8"/>
    <w:rsid w:val="00FA3762"/>
    <w:rsid w:val="00FA3DF5"/>
    <w:rsid w:val="00FA741F"/>
    <w:rsid w:val="00FB4E07"/>
    <w:rsid w:val="00FB755A"/>
    <w:rsid w:val="00FC0E0D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352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6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6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694"/>
    <w:rPr>
      <w:b/>
      <w:bCs/>
      <w:szCs w:val="20"/>
    </w:rPr>
  </w:style>
  <w:style w:type="paragraph" w:styleId="ListBullet">
    <w:name w:val="List Bullet"/>
    <w:basedOn w:val="Normal"/>
    <w:uiPriority w:val="99"/>
    <w:unhideWhenUsed/>
    <w:rsid w:val="00873E09"/>
    <w:pPr>
      <w:numPr>
        <w:numId w:val="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6C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4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FFDE270CB50461B826B01949848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0F8-F751-45C7-BEFB-A7D3397CEB99}"/>
      </w:docPartPr>
      <w:docPartBody>
        <w:p w:rsidR="00D21A9F" w:rsidRDefault="00D21A9F">
          <w:pPr>
            <w:pStyle w:val="CFFDE270CB50461B826B0194984892C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5CBFEC560F894890BBD09B93174F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AA47-26C1-43F2-BE0B-3C03EF3669BD}"/>
      </w:docPartPr>
      <w:docPartBody>
        <w:p w:rsidR="00D21A9F" w:rsidRDefault="00D21A9F">
          <w:pPr>
            <w:pStyle w:val="5CBFEC560F894890BBD09B93174FFAE0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047AD93791DC493F8562BB3488160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63B6-C115-4EF7-97B0-A1A4995B6C1D}"/>
      </w:docPartPr>
      <w:docPartBody>
        <w:p w:rsidR="00D21A9F" w:rsidRDefault="00D21A9F">
          <w:pPr>
            <w:pStyle w:val="047AD93791DC493F8562BB3488160D64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FD64F3E1B4CD3A2D4FAEC6D2F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ADBC-7E46-4324-B731-6DB54CDD3B36}"/>
      </w:docPartPr>
      <w:docPartBody>
        <w:p w:rsidR="002A3044" w:rsidRDefault="00B040AE" w:rsidP="00B040AE">
          <w:pPr>
            <w:pStyle w:val="CC9FD64F3E1B4CD3A2D4FAEC6D2F59E4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DE20AA52C277491A973AE99F9592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F7A9-0C3A-457B-A95F-8C22F794EFEF}"/>
      </w:docPartPr>
      <w:docPartBody>
        <w:p w:rsidR="002A3044" w:rsidRDefault="00B040AE" w:rsidP="00B040AE">
          <w:pPr>
            <w:pStyle w:val="DE20AA52C277491A973AE99F95927AA3"/>
          </w:pPr>
          <w:r w:rsidRPr="00724F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1441D4"/>
    <w:rsid w:val="002A3044"/>
    <w:rsid w:val="00366DA3"/>
    <w:rsid w:val="008A4D1E"/>
    <w:rsid w:val="00B040AE"/>
    <w:rsid w:val="00B32437"/>
    <w:rsid w:val="00D21A9F"/>
    <w:rsid w:val="00E0611A"/>
    <w:rsid w:val="00F2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0AE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25F6813F27684D5CA951ADD356A39A9D">
    <w:name w:val="25F6813F27684D5CA951ADD356A39A9D"/>
    <w:rsid w:val="008A4D1E"/>
  </w:style>
  <w:style w:type="paragraph" w:customStyle="1" w:styleId="D9E54F6766964C9E8288C58674E92BF0">
    <w:name w:val="D9E54F6766964C9E8288C58674E92BF0"/>
    <w:rsid w:val="008A4D1E"/>
  </w:style>
  <w:style w:type="paragraph" w:customStyle="1" w:styleId="8205DA4FABD1436E90316D19F7BAEF7F">
    <w:name w:val="8205DA4FABD1436E90316D19F7BAEF7F"/>
    <w:rsid w:val="008A4D1E"/>
  </w:style>
  <w:style w:type="paragraph" w:customStyle="1" w:styleId="36EC37B56C1144078914BFF22BF906EA">
    <w:name w:val="36EC37B56C1144078914BFF22BF906EA"/>
    <w:rsid w:val="008A4D1E"/>
  </w:style>
  <w:style w:type="paragraph" w:customStyle="1" w:styleId="FE62CC67A46642E7A12BA2E282D5ED31">
    <w:name w:val="FE62CC67A46642E7A12BA2E282D5ED31"/>
    <w:rsid w:val="008A4D1E"/>
  </w:style>
  <w:style w:type="paragraph" w:customStyle="1" w:styleId="190AC851DCD746DB9CE1D6895365ECD6">
    <w:name w:val="190AC851DCD746DB9CE1D6895365ECD6"/>
    <w:rsid w:val="008A4D1E"/>
  </w:style>
  <w:style w:type="paragraph" w:customStyle="1" w:styleId="EA5E95031DE04CF7AFCD100A5CC6FEDD">
    <w:name w:val="EA5E95031DE04CF7AFCD100A5CC6FEDD"/>
    <w:rsid w:val="008A4D1E"/>
  </w:style>
  <w:style w:type="paragraph" w:customStyle="1" w:styleId="C5FE990DDF9F4FB3950A3319DC579116">
    <w:name w:val="C5FE990DDF9F4FB3950A3319DC579116"/>
    <w:rsid w:val="008A4D1E"/>
  </w:style>
  <w:style w:type="paragraph" w:customStyle="1" w:styleId="50BBFC49B2544F70A48A88BAB9BBB9B5">
    <w:name w:val="50BBFC49B2544F70A48A88BAB9BBB9B5"/>
    <w:rsid w:val="008A4D1E"/>
  </w:style>
  <w:style w:type="paragraph" w:customStyle="1" w:styleId="CDEF4E6B675246B1B0C465704E2E6A2A">
    <w:name w:val="CDEF4E6B675246B1B0C465704E2E6A2A"/>
    <w:rsid w:val="008A4D1E"/>
  </w:style>
  <w:style w:type="paragraph" w:customStyle="1" w:styleId="FD8C4CCFDE074906822CC57B258CF5DD">
    <w:name w:val="FD8C4CCFDE074906822CC57B258CF5DD"/>
    <w:rsid w:val="008A4D1E"/>
  </w:style>
  <w:style w:type="paragraph" w:customStyle="1" w:styleId="E9E36AAC314C430591B3838A2C155E92">
    <w:name w:val="E9E36AAC314C430591B3838A2C155E92"/>
    <w:rsid w:val="008A4D1E"/>
  </w:style>
  <w:style w:type="paragraph" w:customStyle="1" w:styleId="C0260BC9D5274D50B58DD251E333624B">
    <w:name w:val="C0260BC9D5274D50B58DD251E333624B"/>
    <w:rsid w:val="008A4D1E"/>
  </w:style>
  <w:style w:type="paragraph" w:customStyle="1" w:styleId="9535DBC1C122425E9809C0A67E9D3A05">
    <w:name w:val="9535DBC1C122425E9809C0A67E9D3A05"/>
    <w:rsid w:val="008A4D1E"/>
  </w:style>
  <w:style w:type="paragraph" w:customStyle="1" w:styleId="3AA7BB7342154E379B734B7F3B6BA0A7">
    <w:name w:val="3AA7BB7342154E379B734B7F3B6BA0A7"/>
    <w:rsid w:val="00E0611A"/>
  </w:style>
  <w:style w:type="paragraph" w:customStyle="1" w:styleId="2178FB29861745D7BFEACADBE2B96103">
    <w:name w:val="2178FB29861745D7BFEACADBE2B96103"/>
    <w:rsid w:val="00E0611A"/>
  </w:style>
  <w:style w:type="paragraph" w:customStyle="1" w:styleId="9958727AD0584B8F87029F32BE99EF4B">
    <w:name w:val="9958727AD0584B8F87029F32BE99EF4B"/>
    <w:rsid w:val="00E0611A"/>
  </w:style>
  <w:style w:type="paragraph" w:customStyle="1" w:styleId="CC9FD64F3E1B4CD3A2D4FAEC6D2F59E4">
    <w:name w:val="CC9FD64F3E1B4CD3A2D4FAEC6D2F59E4"/>
    <w:rsid w:val="00B040AE"/>
  </w:style>
  <w:style w:type="paragraph" w:customStyle="1" w:styleId="DE20AA52C277491A973AE99F95927AA3">
    <w:name w:val="DE20AA52C277491A973AE99F95927AA3"/>
    <w:rsid w:val="00B04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6FF6D-1BD6-488C-8CC9-E75A4E5FEAFA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ADB3B2-ADC9-4F6D-A223-3C54CCE9D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BA8AC-4668-4FAD-BBF4-7883FA95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BA779-7D6C-4C28-BCC4-FE13D1D9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2019-11-28T01:31:00Z</dcterms:created>
  <dcterms:modified xsi:type="dcterms:W3CDTF">2019-12-05T23:10:00Z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