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7F80727A" w14:textId="40119902" w:rsidR="00BD499F" w:rsidRPr="004C23F4" w:rsidRDefault="0067530B" w:rsidP="00B40C60">
          <w:pPr>
            <w:pStyle w:val="Heading1"/>
            <w:jc w:val="center"/>
            <w:rPr>
              <w:rFonts w:ascii="Arial" w:hAnsi="Arial" w:cs="Arial"/>
            </w:rPr>
          </w:pPr>
          <w:r w:rsidRPr="0067530B">
            <w:rPr>
              <w:rFonts w:ascii="Arial" w:hAnsi="Arial" w:cs="Arial"/>
            </w:rPr>
            <w:t>Dimethylphthalate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75"/>
        <w:gridCol w:w="5051"/>
      </w:tblGrid>
      <w:tr w:rsidR="00F43AD5" w:rsidRPr="004C23F4" w14:paraId="446E4B23" w14:textId="77777777" w:rsidTr="00B76A41">
        <w:trPr>
          <w:cantSplit/>
          <w:tblHeader/>
        </w:trPr>
        <w:tc>
          <w:tcPr>
            <w:tcW w:w="4077" w:type="dxa"/>
          </w:tcPr>
          <w:p w14:paraId="7DB4B30B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1845AF99" w14:textId="7369B404" w:rsidR="00F43AD5" w:rsidRPr="00717D45" w:rsidRDefault="0067530B" w:rsidP="00B76A41">
            <w:pPr>
              <w:pStyle w:val="Tablefont"/>
            </w:pPr>
            <w:r w:rsidRPr="0067530B">
              <w:t>131-11-3</w:t>
            </w:r>
          </w:p>
        </w:tc>
      </w:tr>
      <w:tr w:rsidR="00F43AD5" w:rsidRPr="004C23F4" w14:paraId="592D7658" w14:textId="77777777" w:rsidTr="00B76A41">
        <w:trPr>
          <w:cantSplit/>
        </w:trPr>
        <w:tc>
          <w:tcPr>
            <w:tcW w:w="4077" w:type="dxa"/>
          </w:tcPr>
          <w:p w14:paraId="56454D4A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3BB2E5FA" w14:textId="13FE0B8F" w:rsidR="00F43AD5" w:rsidRPr="00717D45" w:rsidRDefault="0067530B" w:rsidP="0067530B">
            <w:pPr>
              <w:pStyle w:val="Tablefont"/>
            </w:pPr>
            <w:r w:rsidRPr="0067530B">
              <w:t>1,2-Benzenedicarboxylic acid dimethyl ester</w:t>
            </w:r>
            <w:r>
              <w:t xml:space="preserve">, </w:t>
            </w:r>
            <w:r w:rsidRPr="0067530B">
              <w:t>DMP</w:t>
            </w:r>
            <w:r>
              <w:t xml:space="preserve">, </w:t>
            </w:r>
            <w:r w:rsidRPr="0067530B">
              <w:t>Methyl phthalate</w:t>
            </w:r>
            <w:r>
              <w:t xml:space="preserve">, Phthalic acid </w:t>
            </w:r>
            <w:r w:rsidRPr="0067530B">
              <w:t>dimethyl ester</w:t>
            </w:r>
            <w:r>
              <w:t xml:space="preserve">, </w:t>
            </w:r>
            <w:proofErr w:type="spellStart"/>
            <w:r w:rsidRPr="0067530B">
              <w:t>Palatinol</w:t>
            </w:r>
            <w:proofErr w:type="spellEnd"/>
            <w:r w:rsidRPr="0067530B">
              <w:t xml:space="preserve"> M</w:t>
            </w:r>
            <w:r>
              <w:t xml:space="preserve">, </w:t>
            </w:r>
            <w:proofErr w:type="spellStart"/>
            <w:r w:rsidRPr="0067530B">
              <w:t>Fermine</w:t>
            </w:r>
            <w:proofErr w:type="spellEnd"/>
            <w:r>
              <w:t xml:space="preserve">, </w:t>
            </w:r>
            <w:proofErr w:type="spellStart"/>
            <w:r w:rsidRPr="0067530B">
              <w:t>Avolin</w:t>
            </w:r>
            <w:proofErr w:type="spellEnd"/>
            <w:r>
              <w:t xml:space="preserve">, </w:t>
            </w:r>
            <w:proofErr w:type="spellStart"/>
            <w:r w:rsidRPr="0067530B">
              <w:t>Mipax</w:t>
            </w:r>
            <w:proofErr w:type="spellEnd"/>
          </w:p>
        </w:tc>
      </w:tr>
      <w:tr w:rsidR="00F43AD5" w:rsidRPr="004C23F4" w14:paraId="79A47D48" w14:textId="77777777" w:rsidTr="00B76A41">
        <w:trPr>
          <w:cantSplit/>
        </w:trPr>
        <w:tc>
          <w:tcPr>
            <w:tcW w:w="4077" w:type="dxa"/>
          </w:tcPr>
          <w:p w14:paraId="4021F598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71D7AA13" w14:textId="0B432B91" w:rsidR="00F43AD5" w:rsidRPr="00717D45" w:rsidRDefault="0067530B" w:rsidP="00B76A41">
            <w:pPr>
              <w:pStyle w:val="Tablefont"/>
            </w:pPr>
            <w:r>
              <w:t>C</w:t>
            </w:r>
            <w:r w:rsidRPr="0067530B">
              <w:rPr>
                <w:vertAlign w:val="subscript"/>
              </w:rPr>
              <w:t>10</w:t>
            </w:r>
            <w:r>
              <w:t>H</w:t>
            </w:r>
            <w:r w:rsidRPr="0067530B">
              <w:rPr>
                <w:vertAlign w:val="subscript"/>
              </w:rPr>
              <w:t>10</w:t>
            </w:r>
            <w:r>
              <w:t>O</w:t>
            </w:r>
            <w:r w:rsidRPr="0067530B">
              <w:rPr>
                <w:vertAlign w:val="subscript"/>
              </w:rPr>
              <w:t>4</w:t>
            </w:r>
          </w:p>
        </w:tc>
      </w:tr>
      <w:tr w:rsidR="00F43AD5" w:rsidRPr="004C23F4" w14:paraId="3876F430" w14:textId="77777777" w:rsidTr="00B76A41">
        <w:trPr>
          <w:cantSplit/>
        </w:trPr>
        <w:tc>
          <w:tcPr>
            <w:tcW w:w="4077" w:type="dxa"/>
          </w:tcPr>
          <w:p w14:paraId="36672007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2D448389" w14:textId="0EB8B590" w:rsidR="00F43AD5" w:rsidRPr="00B40C60" w:rsidRDefault="0067530B" w:rsidP="00B76A41">
            <w:pPr>
              <w:pStyle w:val="Tablerowheading"/>
              <w:rPr>
                <w:b w:val="0"/>
              </w:rPr>
            </w:pPr>
            <w:r w:rsidRPr="0067530B">
              <w:rPr>
                <w:b w:val="0"/>
              </w:rPr>
              <w:t>—</w:t>
            </w:r>
          </w:p>
        </w:tc>
      </w:tr>
    </w:tbl>
    <w:p w14:paraId="4682B1F9" w14:textId="3BEDD83C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D501A4">
            <w:rPr>
              <w:rStyle w:val="WESstatus"/>
            </w:rPr>
            <w:t>(interim)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11EA674A" w14:textId="77777777" w:rsidTr="009372CA">
        <w:trPr>
          <w:cantSplit/>
          <w:tblHeader/>
        </w:trPr>
        <w:tc>
          <w:tcPr>
            <w:tcW w:w="4005" w:type="dxa"/>
            <w:vAlign w:val="center"/>
          </w:tcPr>
          <w:p w14:paraId="1EF283D0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58B77AAF" w14:textId="6D73FC88" w:rsidR="002C7AFE" w:rsidRPr="00FB21A2" w:rsidRDefault="00FB21A2" w:rsidP="00017C82">
            <w:pPr>
              <w:pStyle w:val="Tablefont"/>
              <w:rPr>
                <w:b/>
                <w:vertAlign w:val="superscript"/>
              </w:rPr>
            </w:pPr>
            <w:r>
              <w:rPr>
                <w:b/>
              </w:rPr>
              <w:t>5 mg/m</w:t>
            </w:r>
            <w:r>
              <w:rPr>
                <w:b/>
                <w:vertAlign w:val="superscript"/>
              </w:rPr>
              <w:t>3</w:t>
            </w:r>
          </w:p>
        </w:tc>
      </w:tr>
      <w:tr w:rsidR="002C7AFE" w:rsidRPr="004C23F4" w14:paraId="2FCDDBBE" w14:textId="77777777" w:rsidTr="009372CA">
        <w:trPr>
          <w:cantSplit/>
        </w:trPr>
        <w:tc>
          <w:tcPr>
            <w:tcW w:w="4005" w:type="dxa"/>
            <w:vAlign w:val="center"/>
          </w:tcPr>
          <w:p w14:paraId="688941F2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74B3C65D" w14:textId="3F8F86ED" w:rsidR="002C7AFE" w:rsidRPr="00EB3D1B" w:rsidRDefault="00FB21A2" w:rsidP="00017C82">
            <w:pPr>
              <w:pStyle w:val="Tablefont"/>
              <w:rPr>
                <w:b/>
              </w:rPr>
            </w:pPr>
            <w:r w:rsidRPr="0067530B">
              <w:t>—</w:t>
            </w:r>
          </w:p>
        </w:tc>
      </w:tr>
      <w:tr w:rsidR="002C7AFE" w:rsidRPr="004C23F4" w14:paraId="797C3D59" w14:textId="77777777" w:rsidTr="009372CA">
        <w:trPr>
          <w:cantSplit/>
        </w:trPr>
        <w:tc>
          <w:tcPr>
            <w:tcW w:w="4005" w:type="dxa"/>
            <w:vAlign w:val="center"/>
          </w:tcPr>
          <w:p w14:paraId="0773C88A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7FE118AA" w14:textId="5B10862D" w:rsidR="002C7AFE" w:rsidRPr="00EB3D1B" w:rsidRDefault="00FB21A2" w:rsidP="00017C82">
            <w:pPr>
              <w:pStyle w:val="Tablefont"/>
              <w:rPr>
                <w:b/>
              </w:rPr>
            </w:pPr>
            <w:r w:rsidRPr="0067530B">
              <w:t>—</w:t>
            </w:r>
          </w:p>
        </w:tc>
      </w:tr>
      <w:tr w:rsidR="002C7AFE" w:rsidRPr="004C23F4" w14:paraId="55FD4DFC" w14:textId="77777777" w:rsidTr="009372CA">
        <w:trPr>
          <w:cantSplit/>
        </w:trPr>
        <w:tc>
          <w:tcPr>
            <w:tcW w:w="4005" w:type="dxa"/>
          </w:tcPr>
          <w:p w14:paraId="2E4A6875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77962458" w14:textId="26D7A1E6" w:rsidR="002C7AFE" w:rsidRPr="00EB3D1B" w:rsidRDefault="00FB21A2" w:rsidP="008A36CF">
            <w:pPr>
              <w:pStyle w:val="Tablefont"/>
              <w:rPr>
                <w:b/>
              </w:rPr>
            </w:pPr>
            <w:r w:rsidRPr="0067530B">
              <w:t>—</w:t>
            </w:r>
          </w:p>
        </w:tc>
      </w:tr>
      <w:tr w:rsidR="002C7AFE" w:rsidRPr="004C23F4" w14:paraId="2E3FCEF4" w14:textId="77777777" w:rsidTr="009372CA">
        <w:trPr>
          <w:cantSplit/>
        </w:trPr>
        <w:tc>
          <w:tcPr>
            <w:tcW w:w="4005" w:type="dxa"/>
            <w:vAlign w:val="center"/>
          </w:tcPr>
          <w:p w14:paraId="71A5ACDD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7BE57ED6" w14:textId="3F812932" w:rsidR="002C7AFE" w:rsidRPr="00EB3D1B" w:rsidRDefault="0067530B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2</w:t>
            </w:r>
            <w:r w:rsidR="0081088D">
              <w:rPr>
                <w:b/>
              </w:rPr>
              <w:t>,</w:t>
            </w:r>
            <w:r>
              <w:rPr>
                <w:b/>
              </w:rPr>
              <w:t>000 mg/m</w:t>
            </w:r>
            <w:r w:rsidRPr="005478D9">
              <w:rPr>
                <w:b/>
                <w:vertAlign w:val="superscript"/>
              </w:rPr>
              <w:t>3</w:t>
            </w:r>
          </w:p>
        </w:tc>
      </w:tr>
      <w:tr w:rsidR="009372CA" w:rsidRPr="004C23F4" w14:paraId="551854E2" w14:textId="77777777" w:rsidTr="004E278C">
        <w:trPr>
          <w:cantSplit/>
        </w:trPr>
        <w:tc>
          <w:tcPr>
            <w:tcW w:w="9026" w:type="dxa"/>
            <w:gridSpan w:val="2"/>
            <w:vAlign w:val="center"/>
          </w:tcPr>
          <w:p w14:paraId="6EF200DF" w14:textId="7B40FC9F" w:rsidR="009372CA" w:rsidRPr="00EB3D1B" w:rsidRDefault="009372CA" w:rsidP="00017C82">
            <w:pPr>
              <w:pStyle w:val="Tablefont"/>
              <w:rPr>
                <w:b/>
              </w:rPr>
            </w:pPr>
            <w:r w:rsidRPr="0081088D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2BBB6C4A579A433CA5DBB086C16FA754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81088D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217D5545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603CF282" w14:textId="0612D2F6" w:rsidR="006639B4" w:rsidRDefault="00FB21A2" w:rsidP="000C139A">
      <w:pPr>
        <w:rPr>
          <w:rFonts w:cs="Arial"/>
        </w:rPr>
      </w:pPr>
      <w:r>
        <w:rPr>
          <w:rFonts w:cs="Arial"/>
        </w:rPr>
        <w:t>A TWA of 5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is recommended to protect for potential </w:t>
      </w:r>
      <w:r w:rsidR="00D501A4">
        <w:rPr>
          <w:rFonts w:cs="Arial"/>
        </w:rPr>
        <w:t xml:space="preserve">kidney and liver effects </w:t>
      </w:r>
      <w:r>
        <w:rPr>
          <w:rFonts w:cs="Arial"/>
        </w:rPr>
        <w:t xml:space="preserve">and </w:t>
      </w:r>
      <w:r w:rsidR="00D501A4">
        <w:rPr>
          <w:rFonts w:cs="Arial"/>
        </w:rPr>
        <w:t>irritation in</w:t>
      </w:r>
      <w:r>
        <w:rPr>
          <w:rFonts w:cs="Arial"/>
        </w:rPr>
        <w:t xml:space="preserve"> exposed workers.</w:t>
      </w:r>
    </w:p>
    <w:p w14:paraId="6FB1C486" w14:textId="6C178A44" w:rsidR="00F5566D" w:rsidRPr="004C23F4" w:rsidRDefault="00F5566D" w:rsidP="000C139A">
      <w:pPr>
        <w:rPr>
          <w:rFonts w:cs="Arial"/>
        </w:rPr>
      </w:pPr>
      <w:r>
        <w:rPr>
          <w:rFonts w:cs="Arial"/>
        </w:rPr>
        <w:t xml:space="preserve">A priority evaluation is recommended at the next </w:t>
      </w:r>
      <w:r w:rsidR="00761AA0">
        <w:rPr>
          <w:rFonts w:cs="Arial"/>
        </w:rPr>
        <w:t>scheduled review</w:t>
      </w:r>
      <w:r>
        <w:rPr>
          <w:rFonts w:cs="Arial"/>
        </w:rPr>
        <w:t>.</w:t>
      </w:r>
    </w:p>
    <w:p w14:paraId="1D305925" w14:textId="3EFF8DBD" w:rsidR="00C7155E" w:rsidRPr="004C23F4" w:rsidRDefault="00F10C97" w:rsidP="003365A5">
      <w:pPr>
        <w:pStyle w:val="Heading2"/>
      </w:pPr>
      <w:r>
        <w:t>Discussion and conclusions</w:t>
      </w:r>
    </w:p>
    <w:p w14:paraId="07AC0C63" w14:textId="19A81219" w:rsidR="00751733" w:rsidRDefault="008136F8" w:rsidP="00FB21A2">
      <w:proofErr w:type="spellStart"/>
      <w:r>
        <w:t>Dimethylphthalate</w:t>
      </w:r>
      <w:proofErr w:type="spellEnd"/>
      <w:r>
        <w:t xml:space="preserve"> (DMP) is used in industrial and in consumer products</w:t>
      </w:r>
      <w:r w:rsidR="00122F60">
        <w:t>,</w:t>
      </w:r>
      <w:r w:rsidR="00761AA0">
        <w:t xml:space="preserve"> for example</w:t>
      </w:r>
      <w:r>
        <w:t xml:space="preserve"> as a fragrance ingredient in </w:t>
      </w:r>
      <w:r w:rsidRPr="001620D3">
        <w:t>cosmetics</w:t>
      </w:r>
      <w:r>
        <w:t>,</w:t>
      </w:r>
      <w:r w:rsidRPr="001620D3">
        <w:t xml:space="preserve"> </w:t>
      </w:r>
      <w:r>
        <w:t xml:space="preserve">domestic and </w:t>
      </w:r>
      <w:r w:rsidRPr="001620D3">
        <w:t>personal care products</w:t>
      </w:r>
      <w:r>
        <w:t xml:space="preserve">, as a solvent and </w:t>
      </w:r>
      <w:r w:rsidRPr="001620D3">
        <w:t>plasticiser</w:t>
      </w:r>
      <w:r>
        <w:t xml:space="preserve"> for cellulose acetate compositions</w:t>
      </w:r>
      <w:r w:rsidRPr="001620D3">
        <w:t>,</w:t>
      </w:r>
      <w:r>
        <w:t xml:space="preserve"> and in insect repellents, lacquers, paints, plastics and rubbers.</w:t>
      </w:r>
      <w:r w:rsidR="00FB21A2">
        <w:t xml:space="preserve"> </w:t>
      </w:r>
    </w:p>
    <w:p w14:paraId="3512039D" w14:textId="0B397AE5" w:rsidR="00FB21A2" w:rsidRDefault="00D501A4" w:rsidP="00FB21A2">
      <w:r>
        <w:t xml:space="preserve">Limited evidence </w:t>
      </w:r>
      <w:r w:rsidR="00080BDA">
        <w:t>available</w:t>
      </w:r>
      <w:r>
        <w:t xml:space="preserve"> in humans and animals. </w:t>
      </w:r>
      <w:r w:rsidR="00FB21A2" w:rsidRPr="00565317">
        <w:t>DMP exhibits low acute toxicity in animals</w:t>
      </w:r>
      <w:r w:rsidR="00751733">
        <w:t>.</w:t>
      </w:r>
      <w:r w:rsidR="0081088D">
        <w:t xml:space="preserve"> A LOAE</w:t>
      </w:r>
      <w:r w:rsidR="00751733">
        <w:t>C</w:t>
      </w:r>
      <w:r w:rsidR="0081088D">
        <w:t xml:space="preserve"> of 2,000 </w:t>
      </w:r>
      <w:r w:rsidR="00FB21A2">
        <w:t>mg/m</w:t>
      </w:r>
      <w:r w:rsidR="00FB21A2">
        <w:rPr>
          <w:vertAlign w:val="superscript"/>
        </w:rPr>
        <w:t>3</w:t>
      </w:r>
      <w:r w:rsidR="00FB21A2">
        <w:t xml:space="preserve"> (250 ppm) for membrane irritation </w:t>
      </w:r>
      <w:r w:rsidR="00751733">
        <w:t>is reported</w:t>
      </w:r>
      <w:r w:rsidR="00FB21A2">
        <w:t xml:space="preserve"> in cats in an acute inhalation study</w:t>
      </w:r>
      <w:r w:rsidR="00C0228E">
        <w:t xml:space="preserve"> (ACGIH, 2018)</w:t>
      </w:r>
      <w:r w:rsidR="00FB21A2">
        <w:t xml:space="preserve">. A NOAEL of 800 mg/kg/d </w:t>
      </w:r>
      <w:r w:rsidR="00751733">
        <w:t>is reported</w:t>
      </w:r>
      <w:r w:rsidR="00FB21A2">
        <w:t xml:space="preserve"> in rats for increased liver weight and decreased body weight gain in a reproductive study. </w:t>
      </w:r>
    </w:p>
    <w:p w14:paraId="62D893D7" w14:textId="1D2E4513" w:rsidR="006639B4" w:rsidRPr="00FB21A2" w:rsidRDefault="00FB21A2" w:rsidP="006639B4">
      <w:pPr>
        <w:rPr>
          <w:rFonts w:cs="Arial"/>
        </w:rPr>
      </w:pPr>
      <w:r>
        <w:rPr>
          <w:rFonts w:cs="Arial"/>
        </w:rPr>
        <w:t xml:space="preserve">The </w:t>
      </w:r>
      <w:r w:rsidR="00122F60">
        <w:rPr>
          <w:rFonts w:cs="Arial"/>
        </w:rPr>
        <w:t xml:space="preserve">current </w:t>
      </w:r>
      <w:r>
        <w:rPr>
          <w:rFonts w:cs="Arial"/>
        </w:rPr>
        <w:t>TWA of 5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</w:t>
      </w:r>
      <w:r w:rsidR="00122F60">
        <w:rPr>
          <w:rFonts w:cs="Arial"/>
        </w:rPr>
        <w:t>adopted from ACGIH (20</w:t>
      </w:r>
      <w:r w:rsidR="00436CDE">
        <w:rPr>
          <w:rFonts w:cs="Arial"/>
        </w:rPr>
        <w:t>18</w:t>
      </w:r>
      <w:r w:rsidR="00122F60">
        <w:rPr>
          <w:rFonts w:cs="Arial"/>
        </w:rPr>
        <w:t xml:space="preserve">) </w:t>
      </w:r>
      <w:r>
        <w:rPr>
          <w:rFonts w:cs="Arial"/>
        </w:rPr>
        <w:t>is recommended to be retain</w:t>
      </w:r>
      <w:r w:rsidR="003905F6">
        <w:rPr>
          <w:rFonts w:cs="Arial"/>
        </w:rPr>
        <w:t>ed</w:t>
      </w:r>
      <w:r>
        <w:rPr>
          <w:rFonts w:cs="Arial"/>
        </w:rPr>
        <w:t xml:space="preserve"> </w:t>
      </w:r>
      <w:r w:rsidR="000A38A8">
        <w:rPr>
          <w:rFonts w:cs="Arial"/>
        </w:rPr>
        <w:t xml:space="preserve">in interim </w:t>
      </w:r>
      <w:r>
        <w:rPr>
          <w:rFonts w:cs="Arial"/>
        </w:rPr>
        <w:t xml:space="preserve">and is </w:t>
      </w:r>
      <w:r w:rsidR="00D501A4">
        <w:rPr>
          <w:rFonts w:cs="Arial"/>
        </w:rPr>
        <w:t xml:space="preserve">cited as </w:t>
      </w:r>
      <w:r>
        <w:rPr>
          <w:rFonts w:cs="Arial"/>
        </w:rPr>
        <w:t xml:space="preserve">protective </w:t>
      </w:r>
      <w:r w:rsidR="003905F6">
        <w:rPr>
          <w:rFonts w:cs="Arial"/>
        </w:rPr>
        <w:t xml:space="preserve">for </w:t>
      </w:r>
      <w:r>
        <w:rPr>
          <w:rFonts w:cs="Arial"/>
        </w:rPr>
        <w:t xml:space="preserve">potential </w:t>
      </w:r>
      <w:r w:rsidR="00D501A4">
        <w:rPr>
          <w:rFonts w:cs="Arial"/>
        </w:rPr>
        <w:t xml:space="preserve">effects in the kidneys and liver and irritation </w:t>
      </w:r>
      <w:r>
        <w:rPr>
          <w:rFonts w:cs="Arial"/>
        </w:rPr>
        <w:t>in exposed workers</w:t>
      </w:r>
      <w:r w:rsidR="00D501A4">
        <w:rPr>
          <w:rFonts w:cs="Arial"/>
        </w:rPr>
        <w:t>.</w:t>
      </w:r>
      <w:r>
        <w:rPr>
          <w:rFonts w:cs="Arial"/>
        </w:rPr>
        <w:t xml:space="preserve"> </w:t>
      </w:r>
      <w:r w:rsidR="00D501A4">
        <w:rPr>
          <w:rFonts w:cs="Arial"/>
        </w:rPr>
        <w:t xml:space="preserve">Given the lack of </w:t>
      </w:r>
      <w:r w:rsidR="003E12EA">
        <w:rPr>
          <w:rFonts w:cs="Arial"/>
        </w:rPr>
        <w:t>evidence, a priority evaluation of the available data is recommended at the next scheduled review.</w:t>
      </w:r>
    </w:p>
    <w:p w14:paraId="29AC902D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21504D28" w14:textId="5E4BB6F4" w:rsidR="005478D9" w:rsidRPr="007034F3" w:rsidRDefault="005478D9" w:rsidP="005478D9">
      <w:pPr>
        <w:rPr>
          <w:rFonts w:cs="Arial"/>
        </w:rPr>
      </w:pPr>
      <w:r w:rsidRPr="007034F3">
        <w:rPr>
          <w:rFonts w:cs="Arial"/>
        </w:rPr>
        <w:t>Not classified as a carcinogen according to the Globally Harmonized System of</w:t>
      </w:r>
      <w:r w:rsidR="009372CA">
        <w:rPr>
          <w:rFonts w:cs="Arial"/>
        </w:rPr>
        <w:t xml:space="preserve"> Classification and Labelling of</w:t>
      </w:r>
      <w:r w:rsidRPr="007034F3">
        <w:rPr>
          <w:rFonts w:cs="Arial"/>
        </w:rPr>
        <w:t xml:space="preserve"> Chemicals (GHS). </w:t>
      </w:r>
    </w:p>
    <w:p w14:paraId="20ACC0AA" w14:textId="5D700EC5" w:rsidR="005478D9" w:rsidRPr="007034F3" w:rsidRDefault="005478D9" w:rsidP="005478D9">
      <w:pPr>
        <w:rPr>
          <w:rFonts w:cs="Arial"/>
        </w:rPr>
      </w:pPr>
      <w:r w:rsidRPr="007034F3">
        <w:rPr>
          <w:rFonts w:cs="Arial"/>
        </w:rPr>
        <w:t xml:space="preserve">Not classified as a skin </w:t>
      </w:r>
      <w:r w:rsidR="00187A4F">
        <w:rPr>
          <w:rFonts w:cs="Arial"/>
        </w:rPr>
        <w:t xml:space="preserve">sensitiser </w:t>
      </w:r>
      <w:r w:rsidRPr="007034F3">
        <w:rPr>
          <w:rFonts w:cs="Arial"/>
        </w:rPr>
        <w:t>or respiratory sensitiser according to the GHS.</w:t>
      </w:r>
    </w:p>
    <w:p w14:paraId="1E67F807" w14:textId="3648F240" w:rsidR="005478D9" w:rsidRPr="004C23F4" w:rsidRDefault="008136F8" w:rsidP="005478D9">
      <w:pPr>
        <w:rPr>
          <w:rFonts w:cs="Arial"/>
        </w:rPr>
      </w:pPr>
      <w:r>
        <w:rPr>
          <w:rFonts w:cs="Arial"/>
        </w:rPr>
        <w:lastRenderedPageBreak/>
        <w:t xml:space="preserve">A skin notation is not </w:t>
      </w:r>
      <w:r w:rsidR="00751733">
        <w:rPr>
          <w:rFonts w:cs="Arial"/>
        </w:rPr>
        <w:t xml:space="preserve">recommended </w:t>
      </w:r>
      <w:r>
        <w:rPr>
          <w:rFonts w:cs="Arial"/>
        </w:rPr>
        <w:t xml:space="preserve">based on </w:t>
      </w:r>
      <w:r w:rsidR="009372CA">
        <w:rPr>
          <w:rFonts w:cs="Arial"/>
        </w:rPr>
        <w:t>available evidence.</w:t>
      </w:r>
    </w:p>
    <w:p w14:paraId="077B9A27" w14:textId="1E5492A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2BD58596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3972A6E8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2419CD51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7E79DCD5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7FC9E694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E672AC" w14:textId="3BF0160A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5478D9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5478D9">
                  <w:t>TWA: 5 mg/m</w:t>
                </w:r>
                <w:r w:rsidR="005478D9" w:rsidRPr="005478D9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2ECFA14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F9FC182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0EE62037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E6AB672" w14:textId="29B8611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5478D9">
                  <w:t>2006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5478D9">
                  <w:t>TLV-TWA: 5 mg/m</w:t>
                </w:r>
                <w:r w:rsidR="005478D9" w:rsidRPr="005478D9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04539840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2D19C80" w14:textId="038B495F" w:rsidR="00C978F0" w:rsidRDefault="003D0323" w:rsidP="00436CDE">
            <w:r>
              <w:t xml:space="preserve">TLV-TWA recommended to prevent upper respiratory irritation and potential systemic </w:t>
            </w:r>
            <w:r w:rsidR="00095B5D">
              <w:t>liver and kidney effects</w:t>
            </w:r>
            <w:r>
              <w:t>.</w:t>
            </w:r>
          </w:p>
          <w:p w14:paraId="45CDE12D" w14:textId="13D00701" w:rsidR="003D0323" w:rsidRDefault="003D0323" w:rsidP="00436CDE">
            <w:r>
              <w:t>Summary of data:</w:t>
            </w:r>
          </w:p>
          <w:p w14:paraId="2EA97ACB" w14:textId="5953B240" w:rsidR="003D0323" w:rsidRDefault="003D0323" w:rsidP="00436CDE">
            <w:r>
              <w:t>Available data indicate low toxicity by all routes</w:t>
            </w:r>
            <w:r w:rsidR="009372CA">
              <w:t>.</w:t>
            </w:r>
          </w:p>
          <w:p w14:paraId="0AE7FB6F" w14:textId="5886C8B0" w:rsidR="003D0323" w:rsidRDefault="003D0323" w:rsidP="003365A5">
            <w:pPr>
              <w:pStyle w:val="Tabletextprimarysource"/>
            </w:pPr>
            <w:r>
              <w:t>Human data:</w:t>
            </w:r>
          </w:p>
          <w:p w14:paraId="41041790" w14:textId="39912B50" w:rsidR="003D0323" w:rsidRDefault="003D0323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Very few reports of signs or symptoms following exposure</w:t>
            </w:r>
            <w:r w:rsidR="009372CA">
              <w:t xml:space="preserve"> despite widespread usage as insec</w:t>
            </w:r>
            <w:r>
              <w:t>t repellent</w:t>
            </w:r>
          </w:p>
          <w:p w14:paraId="47232693" w14:textId="6D19C666" w:rsidR="003D0323" w:rsidRDefault="003D0323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Contact of liquid with the eye causes intense pain; no damage or mild, reversible disturbance of the corneal epithelium</w:t>
            </w:r>
          </w:p>
          <w:p w14:paraId="48F556AB" w14:textId="5FADA721" w:rsidR="003D0323" w:rsidRDefault="003D0323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 occupational epidemiology studies</w:t>
            </w:r>
            <w:r w:rsidR="00751733">
              <w:t xml:space="preserve"> presented</w:t>
            </w:r>
            <w:r w:rsidR="003905F6">
              <w:t>.</w:t>
            </w:r>
          </w:p>
          <w:p w14:paraId="153D51A5" w14:textId="77777777" w:rsidR="003D0323" w:rsidRDefault="003D0323" w:rsidP="003D0323">
            <w:pPr>
              <w:pStyle w:val="Tabletextprimarysource"/>
            </w:pPr>
            <w:r>
              <w:t>Animal data:</w:t>
            </w:r>
          </w:p>
          <w:p w14:paraId="61188580" w14:textId="44B7CA68" w:rsidR="003229CB" w:rsidRDefault="003229CB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>
              <w:rPr>
                <w:vertAlign w:val="subscript"/>
              </w:rPr>
              <w:t>50</w:t>
            </w:r>
            <w:r w:rsidR="009372CA">
              <w:t>:</w:t>
            </w:r>
            <w:r>
              <w:t xml:space="preserve"> 10 mL/kg</w:t>
            </w:r>
          </w:p>
          <w:p w14:paraId="1E90CCC5" w14:textId="3C6D1C55" w:rsidR="003229CB" w:rsidRDefault="003229CB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LOAE</w:t>
            </w:r>
            <w:r w:rsidR="00751733">
              <w:t>C</w:t>
            </w:r>
            <w:r w:rsidR="00CD69B5">
              <w:t>:</w:t>
            </w:r>
            <w:r>
              <w:t xml:space="preserve"> 2,000 mg/m</w:t>
            </w:r>
            <w:r>
              <w:rPr>
                <w:vertAlign w:val="superscript"/>
              </w:rPr>
              <w:t>3</w:t>
            </w:r>
            <w:r>
              <w:t xml:space="preserve"> (250 ppm); cats acute inhalation; s</w:t>
            </w:r>
            <w:r w:rsidRPr="003229CB">
              <w:t>evere mucous membrane irritation</w:t>
            </w:r>
          </w:p>
          <w:p w14:paraId="297E0695" w14:textId="6A9B0FBF" w:rsidR="003229CB" w:rsidRDefault="003229CB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NOAEL</w:t>
            </w:r>
            <w:r w:rsidR="00CD69B5">
              <w:t>:</w:t>
            </w:r>
            <w:r>
              <w:t xml:space="preserve"> 1.6 g/kg/d; rats, oral; effects in kidneys</w:t>
            </w:r>
            <w:r w:rsidR="00D501A4">
              <w:t>; no further information provided</w:t>
            </w:r>
          </w:p>
          <w:p w14:paraId="00023E96" w14:textId="15259752" w:rsidR="003229CB" w:rsidRDefault="003229CB" w:rsidP="00751733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NOAEL</w:t>
            </w:r>
            <w:r w:rsidR="00CD69B5">
              <w:t>:</w:t>
            </w:r>
            <w:r>
              <w:t xml:space="preserve"> 0.8 g/kg/d</w:t>
            </w:r>
            <w:r w:rsidR="00C0228E">
              <w:t xml:space="preserve"> (800 mg/kg/d)</w:t>
            </w:r>
            <w:r>
              <w:t xml:space="preserve">; rats, reproductive, oral; maternal toxicity; increased liver weight and decreased </w:t>
            </w:r>
            <w:proofErr w:type="spellStart"/>
            <w:proofErr w:type="gramStart"/>
            <w:r w:rsidR="00751733">
              <w:t>bw</w:t>
            </w:r>
            <w:proofErr w:type="spellEnd"/>
            <w:proofErr w:type="gramEnd"/>
            <w:r>
              <w:t xml:space="preserve"> gain</w:t>
            </w:r>
            <w:r w:rsidR="003905F6">
              <w:t>.</w:t>
            </w:r>
          </w:p>
          <w:p w14:paraId="7DDC98E5" w14:textId="77777777" w:rsidR="00751733" w:rsidRDefault="00751733" w:rsidP="003229CB">
            <w:pPr>
              <w:pStyle w:val="Tabletextprimarysource"/>
            </w:pPr>
          </w:p>
          <w:p w14:paraId="56258F52" w14:textId="3A14049A" w:rsidR="000D536B" w:rsidRDefault="000D536B" w:rsidP="00436CDE">
            <w:r>
              <w:t>TLV-TWA based on 10-fold difference from LOAEC of 250 ppm in cats</w:t>
            </w:r>
            <w:r w:rsidR="00D501A4">
              <w:t xml:space="preserve">; low toxicity with effects in kidneys </w:t>
            </w:r>
            <w:r w:rsidR="00436CDE">
              <w:t>at</w:t>
            </w:r>
            <w:r w:rsidR="00D501A4">
              <w:t xml:space="preserve"> high doses (NOAEL of 1.6 g/kg/d); lowest NOAEL of 0.8 g/kg/d for maternal toxicity, based on increased liver weight and decreased body weight gain; no</w:t>
            </w:r>
            <w:r>
              <w:t xml:space="preserve"> derivation of TLV-TWA provided</w:t>
            </w:r>
            <w:r w:rsidR="0060795B">
              <w:t>.</w:t>
            </w:r>
          </w:p>
          <w:p w14:paraId="54D30182" w14:textId="77777777" w:rsidR="000D536B" w:rsidRDefault="000D536B" w:rsidP="003229CB">
            <w:pPr>
              <w:pStyle w:val="Tabletextprimarysource"/>
            </w:pPr>
          </w:p>
          <w:p w14:paraId="0ED77BC1" w14:textId="19832D60" w:rsidR="003229CB" w:rsidRDefault="00436CDE" w:rsidP="00436CDE">
            <w:r>
              <w:t>Insufficient data to recommend</w:t>
            </w:r>
            <w:r w:rsidR="003229CB">
              <w:t xml:space="preserve"> a sensitiser, skin or carcinogenicity notation or STEL</w:t>
            </w:r>
            <w:r w:rsidR="009372CA">
              <w:t>.</w:t>
            </w:r>
          </w:p>
          <w:p w14:paraId="2D6E8791" w14:textId="48C02851" w:rsidR="003905F6" w:rsidRPr="00DA352E" w:rsidRDefault="003905F6" w:rsidP="003229CB">
            <w:pPr>
              <w:pStyle w:val="Tabletextprimarysource"/>
            </w:pPr>
          </w:p>
        </w:tc>
      </w:tr>
      <w:tr w:rsidR="00C978F0" w:rsidRPr="00DA352E" w14:paraId="470F201F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604892C" w14:textId="7AD64251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5478D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proofErr w:type="spellStart"/>
                <w:r w:rsidR="005478D9">
                  <w:t>NA</w:t>
                </w:r>
                <w:proofErr w:type="spellEnd"/>
              </w:sdtContent>
            </w:sdt>
          </w:p>
        </w:tc>
      </w:tr>
      <w:tr w:rsidR="00C978F0" w:rsidRPr="00DA352E" w14:paraId="5D560AAB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2A501583" w14:textId="2BCC212F" w:rsidR="00C978F0" w:rsidRPr="00DA352E" w:rsidRDefault="005478D9" w:rsidP="003365A5">
            <w:pPr>
              <w:pStyle w:val="Tabletextprimarysource"/>
            </w:pPr>
            <w:r>
              <w:t>No report</w:t>
            </w:r>
            <w:r w:rsidR="009372CA">
              <w:t>.</w:t>
            </w:r>
          </w:p>
        </w:tc>
      </w:tr>
      <w:tr w:rsidR="00C978F0" w:rsidRPr="00DA352E" w14:paraId="76500D27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48E43848" w14:textId="34DF5D0B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5478D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5478D9">
                  <w:t>NA</w:t>
                </w:r>
                <w:proofErr w:type="spellEnd"/>
              </w:sdtContent>
            </w:sdt>
          </w:p>
        </w:tc>
      </w:tr>
      <w:tr w:rsidR="00C978F0" w:rsidRPr="00DA352E" w14:paraId="6AEA6420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81579B1" w14:textId="3B3DBCE8" w:rsidR="00C978F0" w:rsidRPr="00DA352E" w:rsidRDefault="005478D9" w:rsidP="003365A5">
            <w:pPr>
              <w:pStyle w:val="Tabletextprimarysource"/>
            </w:pPr>
            <w:r>
              <w:t>No report</w:t>
            </w:r>
            <w:r w:rsidR="009372CA">
              <w:t>.</w:t>
            </w:r>
          </w:p>
        </w:tc>
      </w:tr>
      <w:tr w:rsidR="00DA352E" w:rsidRPr="00DA352E" w14:paraId="298E9438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D0FFDF6" w14:textId="0A09C620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5478D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5478D9">
                  <w:t>NA</w:t>
                </w:r>
                <w:proofErr w:type="spellEnd"/>
              </w:sdtContent>
            </w:sdt>
          </w:p>
        </w:tc>
      </w:tr>
      <w:tr w:rsidR="00DA352E" w:rsidRPr="00DA352E" w14:paraId="67A048FB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DD8F79E" w14:textId="6328F179" w:rsidR="00DA352E" w:rsidRPr="00DA352E" w:rsidRDefault="005478D9" w:rsidP="003365A5">
            <w:pPr>
              <w:pStyle w:val="Tabletextprimarysource"/>
            </w:pPr>
            <w:r>
              <w:t>No report</w:t>
            </w:r>
            <w:r w:rsidR="009372CA">
              <w:t>.</w:t>
            </w:r>
          </w:p>
        </w:tc>
      </w:tr>
      <w:tr w:rsidR="00DA352E" w:rsidRPr="00DA352E" w14:paraId="64D3D1ED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0B1CA432" w14:textId="44643D09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5478D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5478D9">
                  <w:t>NA</w:t>
                </w:r>
                <w:proofErr w:type="spellEnd"/>
              </w:sdtContent>
            </w:sdt>
          </w:p>
        </w:tc>
      </w:tr>
      <w:tr w:rsidR="00DA352E" w:rsidRPr="00DA352E" w14:paraId="277CA4B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2D29610B" w14:textId="4965D34D" w:rsidR="00DA352E" w:rsidRPr="00DA352E" w:rsidRDefault="005478D9" w:rsidP="003365A5">
            <w:pPr>
              <w:pStyle w:val="Tabletextprimarysource"/>
            </w:pPr>
            <w:r>
              <w:t>No report</w:t>
            </w:r>
            <w:r w:rsidR="009372CA">
              <w:t>.</w:t>
            </w:r>
          </w:p>
        </w:tc>
      </w:tr>
    </w:tbl>
    <w:p w14:paraId="73C7990E" w14:textId="77777777" w:rsidR="00A20751" w:rsidRPr="004C23F4" w:rsidRDefault="00A20751" w:rsidP="003365A5">
      <w:pPr>
        <w:pStyle w:val="Heading3"/>
      </w:pPr>
      <w:bookmarkStart w:id="1" w:name="SecondSource"/>
      <w:r w:rsidRPr="004C23F4">
        <w:lastRenderedPageBreak/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6"/>
        <w:gridCol w:w="423"/>
        <w:gridCol w:w="661"/>
        <w:gridCol w:w="6446"/>
      </w:tblGrid>
      <w:tr w:rsidR="004966BF" w:rsidRPr="00263255" w14:paraId="36CFF79D" w14:textId="77777777" w:rsidTr="008136F8">
        <w:trPr>
          <w:cantSplit/>
          <w:trHeight w:val="393"/>
          <w:tblHeader/>
        </w:trPr>
        <w:tc>
          <w:tcPr>
            <w:tcW w:w="1496" w:type="dxa"/>
            <w:shd w:val="clear" w:color="auto" w:fill="BFBFBF" w:themeFill="background1" w:themeFillShade="BF"/>
            <w:vAlign w:val="center"/>
          </w:tcPr>
          <w:p w14:paraId="4B479E1A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15893A91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4C988E76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6" w:type="dxa"/>
            <w:shd w:val="clear" w:color="auto" w:fill="BFBFBF" w:themeFill="background1" w:themeFillShade="BF"/>
            <w:vAlign w:val="center"/>
          </w:tcPr>
          <w:p w14:paraId="139E3124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468E594F" w14:textId="77777777" w:rsidTr="00751733">
        <w:tc>
          <w:tcPr>
            <w:tcW w:w="1496" w:type="dxa"/>
          </w:tcPr>
          <w:p w14:paraId="78897855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3" w:type="dxa"/>
          </w:tcPr>
          <w:p w14:paraId="4CDA53A8" w14:textId="045E8446" w:rsidR="004966BF" w:rsidRPr="00CE617F" w:rsidRDefault="00B56782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3229CB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6EC83AC1" w14:textId="4C5F70C0" w:rsidR="004966BF" w:rsidRPr="004C23F4" w:rsidRDefault="003229CB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2014</w:t>
            </w:r>
          </w:p>
        </w:tc>
        <w:tc>
          <w:tcPr>
            <w:tcW w:w="6446" w:type="dxa"/>
          </w:tcPr>
          <w:p w14:paraId="20536655" w14:textId="496130C1" w:rsidR="004966BF" w:rsidRPr="008136F8" w:rsidRDefault="008136F8" w:rsidP="00436CDE">
            <w:pPr>
              <w:pStyle w:val="ListBullet"/>
              <w:tabs>
                <w:tab w:val="clear" w:pos="360"/>
                <w:tab w:val="num" w:pos="717"/>
              </w:tabs>
              <w:spacing w:before="60" w:after="60"/>
              <w:ind w:left="714" w:hanging="357"/>
              <w:contextualSpacing w:val="0"/>
              <w:rPr>
                <w:rFonts w:cs="Arial"/>
              </w:rPr>
            </w:pPr>
            <w:r>
              <w:rPr>
                <w:rStyle w:val="checkbox"/>
                <w:rFonts w:ascii="Arial" w:hAnsi="Arial" w:cs="Arial"/>
              </w:rPr>
              <w:t>LD</w:t>
            </w:r>
            <w:r>
              <w:rPr>
                <w:rStyle w:val="checkbox"/>
                <w:rFonts w:ascii="Arial" w:hAnsi="Arial" w:cs="Arial"/>
                <w:vertAlign w:val="subscript"/>
              </w:rPr>
              <w:t>50</w:t>
            </w:r>
            <w:r w:rsidR="009372CA">
              <w:rPr>
                <w:rStyle w:val="checkbox"/>
                <w:rFonts w:ascii="Arial" w:hAnsi="Arial" w:cs="Arial"/>
              </w:rPr>
              <w:t>:</w:t>
            </w:r>
            <w:r>
              <w:rPr>
                <w:rStyle w:val="checkbox"/>
                <w:rFonts w:ascii="Arial" w:hAnsi="Arial" w:cs="Arial"/>
                <w:vertAlign w:val="subscript"/>
              </w:rPr>
              <w:t xml:space="preserve"> </w:t>
            </w:r>
            <w:r>
              <w:rPr>
                <w:rStyle w:val="checkbox"/>
                <w:rFonts w:ascii="Arial" w:hAnsi="Arial" w:cs="Arial"/>
              </w:rPr>
              <w:t xml:space="preserve">&gt;2,000 mg/kg </w:t>
            </w:r>
            <w:r>
              <w:t>in rats, rabbits and guinea pigs</w:t>
            </w:r>
          </w:p>
          <w:p w14:paraId="2F2F44B9" w14:textId="6D5187CE" w:rsidR="008136F8" w:rsidRPr="008136F8" w:rsidRDefault="009372CA" w:rsidP="00436CDE">
            <w:pPr>
              <w:pStyle w:val="ListBullet"/>
              <w:tabs>
                <w:tab w:val="clear" w:pos="360"/>
                <w:tab w:val="num" w:pos="717"/>
              </w:tabs>
              <w:spacing w:before="60" w:after="60"/>
              <w:ind w:left="714" w:hanging="357"/>
              <w:contextualSpacing w:val="0"/>
              <w:rPr>
                <w:rFonts w:cs="Arial"/>
              </w:rPr>
            </w:pPr>
            <w:r>
              <w:t>A</w:t>
            </w:r>
            <w:r w:rsidR="008136F8" w:rsidRPr="008136F8">
              <w:t>vailable data do not support a mutagenic, genotoxic or carcinogenic potential</w:t>
            </w:r>
          </w:p>
          <w:p w14:paraId="75545909" w14:textId="77777777" w:rsidR="008136F8" w:rsidRPr="008136F8" w:rsidRDefault="008136F8" w:rsidP="00436CDE">
            <w:pPr>
              <w:pStyle w:val="ListBullet"/>
              <w:tabs>
                <w:tab w:val="clear" w:pos="360"/>
                <w:tab w:val="num" w:pos="717"/>
              </w:tabs>
              <w:spacing w:before="60" w:after="60"/>
              <w:ind w:left="714" w:hanging="357"/>
              <w:contextualSpacing w:val="0"/>
              <w:rPr>
                <w:rFonts w:cs="Arial"/>
              </w:rPr>
            </w:pPr>
            <w:r>
              <w:t>Not expected to have eye or skin irritation, or skin sensitising potential in humans</w:t>
            </w:r>
          </w:p>
          <w:p w14:paraId="1282FF71" w14:textId="22BE23CC" w:rsidR="008136F8" w:rsidRPr="004C23F4" w:rsidRDefault="008136F8" w:rsidP="00436CDE">
            <w:pPr>
              <w:pStyle w:val="ListBullet"/>
              <w:tabs>
                <w:tab w:val="clear" w:pos="360"/>
                <w:tab w:val="num" w:pos="717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t>Toxic effects related to repeated exposure relevant to a human health include those in the liver and reproductive system</w:t>
            </w:r>
            <w:r w:rsidR="009372CA">
              <w:t>.</w:t>
            </w:r>
          </w:p>
        </w:tc>
      </w:tr>
    </w:tbl>
    <w:p w14:paraId="61CB1FDF" w14:textId="77777777" w:rsidR="007E2A4B" w:rsidRDefault="007E2A4B"/>
    <w:bookmarkEnd w:id="1"/>
    <w:p w14:paraId="48929C75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76D45A9E" w14:textId="77777777" w:rsidTr="008136F8">
        <w:trPr>
          <w:trHeight w:val="454"/>
          <w:tblHeader/>
        </w:trPr>
        <w:tc>
          <w:tcPr>
            <w:tcW w:w="6603" w:type="dxa"/>
            <w:vAlign w:val="center"/>
          </w:tcPr>
          <w:p w14:paraId="3B89044E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1276E8F9" w14:textId="6EC770CB" w:rsidR="002E0D61" w:rsidRDefault="008136F8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74906F98" w14:textId="77777777" w:rsidTr="008136F8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5B452DEC" w14:textId="69EB8392" w:rsidR="008A36CF" w:rsidRPr="006901A2" w:rsidRDefault="008136F8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07FF9F57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658FF090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51B68912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5E0CB66D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28BF65F1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3A1DB0CC" w14:textId="77777777" w:rsidTr="00812887">
        <w:trPr>
          <w:cantSplit/>
        </w:trPr>
        <w:tc>
          <w:tcPr>
            <w:tcW w:w="3227" w:type="dxa"/>
          </w:tcPr>
          <w:p w14:paraId="62B54C0E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6033B117" w14:textId="3312BD90" w:rsidR="00687890" w:rsidRPr="00DD2F9B" w:rsidRDefault="005478D9" w:rsidP="00DD2F9B">
            <w:pPr>
              <w:pStyle w:val="Tablefont"/>
            </w:pPr>
            <w:r>
              <w:t>—</w:t>
            </w:r>
          </w:p>
        </w:tc>
      </w:tr>
      <w:tr w:rsidR="007925F0" w:rsidRPr="004C23F4" w14:paraId="438CF973" w14:textId="77777777" w:rsidTr="00812887">
        <w:trPr>
          <w:cantSplit/>
        </w:trPr>
        <w:tc>
          <w:tcPr>
            <w:tcW w:w="3227" w:type="dxa"/>
          </w:tcPr>
          <w:p w14:paraId="20145C1A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481E0AB1" w14:textId="3FF453E4" w:rsidR="007925F0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AF483F" w:rsidRPr="004C23F4" w14:paraId="46B20EC8" w14:textId="77777777" w:rsidTr="00812887">
        <w:trPr>
          <w:cantSplit/>
        </w:trPr>
        <w:tc>
          <w:tcPr>
            <w:tcW w:w="3227" w:type="dxa"/>
          </w:tcPr>
          <w:p w14:paraId="124A7FC1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4F13D3D2" w14:textId="56C19FF7" w:rsidR="00AF483F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5DA26BD8" w14:textId="77777777" w:rsidTr="00812887">
        <w:trPr>
          <w:cantSplit/>
        </w:trPr>
        <w:tc>
          <w:tcPr>
            <w:tcW w:w="3227" w:type="dxa"/>
          </w:tcPr>
          <w:p w14:paraId="37EDF349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3E9B0F30" w14:textId="0D91534C" w:rsidR="00687890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5A31191B" w14:textId="77777777" w:rsidTr="00812887">
        <w:trPr>
          <w:cantSplit/>
        </w:trPr>
        <w:tc>
          <w:tcPr>
            <w:tcW w:w="3227" w:type="dxa"/>
          </w:tcPr>
          <w:p w14:paraId="3B101B48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73F35C84" w14:textId="76A719F5" w:rsidR="00E41A26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1CCA3AF7" w14:textId="77777777" w:rsidTr="00812887">
        <w:trPr>
          <w:cantSplit/>
        </w:trPr>
        <w:tc>
          <w:tcPr>
            <w:tcW w:w="3227" w:type="dxa"/>
          </w:tcPr>
          <w:p w14:paraId="289D030B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2A8A757E" w14:textId="2139F497" w:rsidR="002E0D61" w:rsidRPr="00DD2F9B" w:rsidRDefault="005478D9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6E532E34" w14:textId="77777777" w:rsidTr="00812887">
        <w:trPr>
          <w:cantSplit/>
        </w:trPr>
        <w:tc>
          <w:tcPr>
            <w:tcW w:w="3227" w:type="dxa"/>
          </w:tcPr>
          <w:p w14:paraId="1544E78E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0F73F38D" w14:textId="39960026" w:rsidR="002E0D61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529DE00D" w14:textId="77777777" w:rsidTr="00812887">
        <w:trPr>
          <w:cantSplit/>
        </w:trPr>
        <w:tc>
          <w:tcPr>
            <w:tcW w:w="3227" w:type="dxa"/>
          </w:tcPr>
          <w:p w14:paraId="082073C2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60059E7C" w14:textId="31937C4B" w:rsidR="002E0D61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48176A3F" w14:textId="77777777" w:rsidTr="00812887">
        <w:trPr>
          <w:cantSplit/>
        </w:trPr>
        <w:tc>
          <w:tcPr>
            <w:tcW w:w="3227" w:type="dxa"/>
          </w:tcPr>
          <w:p w14:paraId="0DA926DF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2D44EBD1" w14:textId="251EB08E" w:rsidR="002E0D61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1B38196E" w14:textId="77777777" w:rsidTr="00812887">
        <w:trPr>
          <w:cantSplit/>
        </w:trPr>
        <w:tc>
          <w:tcPr>
            <w:tcW w:w="3227" w:type="dxa"/>
          </w:tcPr>
          <w:p w14:paraId="4553CB01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3A9FB038" w14:textId="198B2185" w:rsidR="00386093" w:rsidRPr="00DD2F9B" w:rsidRDefault="005478D9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75851259" w14:textId="77777777" w:rsidTr="00812887">
        <w:trPr>
          <w:cantSplit/>
        </w:trPr>
        <w:tc>
          <w:tcPr>
            <w:tcW w:w="3227" w:type="dxa"/>
          </w:tcPr>
          <w:p w14:paraId="52345692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3CE9EF10" w14:textId="0D3816F3" w:rsidR="00386093" w:rsidRPr="00DD2F9B" w:rsidRDefault="005478D9" w:rsidP="00D87570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0D1DE2DC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4E94D595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2EE33058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ED28FCB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2AAB38AD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888" w:type="dxa"/>
              <w:tblLook w:val="04A0" w:firstRow="1" w:lastRow="0" w:firstColumn="1" w:lastColumn="0" w:noHBand="0" w:noVBand="1"/>
            </w:tblPr>
            <w:tblGrid>
              <w:gridCol w:w="3663"/>
              <w:gridCol w:w="1081"/>
              <w:gridCol w:w="1081"/>
              <w:gridCol w:w="2985"/>
            </w:tblGrid>
            <w:tr w:rsidR="008136F8" w:rsidRPr="008136F8" w14:paraId="010B94E2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9F183F1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15F7152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58B162E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3DEAFD0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8136F8" w:rsidRPr="008136F8" w14:paraId="6A77E5EF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45B5F2B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5ECFE3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59FF95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7AEDD98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8136F8" w:rsidRPr="008136F8" w14:paraId="557C490A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4BCFA3D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D8A5AA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2584ABF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03828A7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8136F8" w:rsidRPr="008136F8" w14:paraId="13C0AEF0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0AE239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8955329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3A43D69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ED4C61B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8136F8" w:rsidRPr="008136F8" w14:paraId="2F65BD88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03D858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88F99C9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80B8A7D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DCCA869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8136F8" w:rsidRPr="008136F8" w14:paraId="287522B2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D24C7C5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10C7B4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9CA170A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8E29B84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8136F8" w:rsidRPr="008136F8" w14:paraId="481BBBF1" w14:textId="77777777" w:rsidTr="008136F8">
              <w:trPr>
                <w:trHeight w:val="315"/>
              </w:trPr>
              <w:tc>
                <w:tcPr>
                  <w:tcW w:w="3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C0D75D" w14:textId="77777777" w:rsidR="008136F8" w:rsidRPr="008136F8" w:rsidRDefault="008136F8" w:rsidP="008136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12D64F" w14:textId="77777777" w:rsidR="008136F8" w:rsidRPr="008136F8" w:rsidRDefault="008136F8" w:rsidP="008136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AB4987F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D4B2D74" w14:textId="77777777" w:rsidR="008136F8" w:rsidRPr="008136F8" w:rsidRDefault="008136F8" w:rsidP="008136F8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8136F8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not warranted</w:t>
                  </w:r>
                </w:p>
              </w:tc>
            </w:tr>
          </w:tbl>
          <w:p w14:paraId="5CC27263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05AA103B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6900DDE7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683D5091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1348C02B" w14:textId="26FE3DF7" w:rsidR="00EB3D1B" w:rsidRDefault="005478D9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614DCE2B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418BA3B0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0EB2D01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592A299F" w14:textId="7557CEE8" w:rsidR="001B79E5" w:rsidRDefault="005478D9" w:rsidP="001B79E5">
                <w:pPr>
                  <w:pStyle w:val="Tablefont"/>
                </w:pPr>
                <w:r w:rsidRPr="005478D9">
                  <w:t>194.18</w:t>
                </w:r>
              </w:p>
            </w:tc>
          </w:sdtContent>
        </w:sdt>
      </w:tr>
      <w:tr w:rsidR="00A31D99" w:rsidRPr="004C23F4" w14:paraId="0D6A201D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5135D99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72FA7512" w14:textId="2112C32B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5478D9">
                  <w:t>7.93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5478D9">
                  <w:t>0.126</w:t>
                </w:r>
              </w:sdtContent>
            </w:sdt>
            <w:r w:rsidRPr="005478D9">
              <w:t xml:space="preserve"> </w:t>
            </w:r>
            <w:r>
              <w:t>ppm</w:t>
            </w:r>
          </w:p>
        </w:tc>
      </w:tr>
      <w:tr w:rsidR="00687890" w:rsidRPr="004C23F4" w14:paraId="2D730314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B5EB3A7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3B1EF392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601C103D" w14:textId="77777777" w:rsidTr="00EA6243">
        <w:trPr>
          <w:cantSplit/>
        </w:trPr>
        <w:tc>
          <w:tcPr>
            <w:tcW w:w="4077" w:type="dxa"/>
            <w:vAlign w:val="center"/>
          </w:tcPr>
          <w:p w14:paraId="3049E458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DC9C1C9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04C609B2" w14:textId="77777777" w:rsidTr="00EA6243">
        <w:trPr>
          <w:cantSplit/>
        </w:trPr>
        <w:tc>
          <w:tcPr>
            <w:tcW w:w="4077" w:type="dxa"/>
            <w:vAlign w:val="center"/>
          </w:tcPr>
          <w:p w14:paraId="2FA7D44B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4881CCF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7C8B9F24" w14:textId="77777777" w:rsidTr="00EA6243">
        <w:trPr>
          <w:cantSplit/>
        </w:trPr>
        <w:tc>
          <w:tcPr>
            <w:tcW w:w="4077" w:type="dxa"/>
            <w:vAlign w:val="center"/>
          </w:tcPr>
          <w:p w14:paraId="3C6E92A2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78FC27B1" w14:textId="77777777" w:rsidR="00E06F40" w:rsidRPr="00A006A0" w:rsidRDefault="00B56782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1365335F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285C0CE9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2C7090C4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756E6D17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6D823AEE" w14:textId="77777777" w:rsidTr="00F053FA">
        <w:trPr>
          <w:tblHeader/>
        </w:trPr>
        <w:sdt>
          <w:sdtPr>
            <w:id w:val="-25557549"/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6E67FC5E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2649850E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381BBC4A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1B13383B" w14:textId="0E42EE11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38B3BA86" w14:textId="1FEED665" w:rsidR="009372CA" w:rsidRDefault="009372CA" w:rsidP="00084859">
      <w:r w:rsidRPr="00DB0A36">
        <w:t xml:space="preserve">National Industrial Chemicals Notification and </w:t>
      </w:r>
      <w:r>
        <w:t>Assessment Scheme (NICNAS) (2014</w:t>
      </w:r>
      <w:r w:rsidRPr="00DB0A36">
        <w:t xml:space="preserve">) </w:t>
      </w:r>
      <w:proofErr w:type="spellStart"/>
      <w:r>
        <w:t>Dimethylphthalate</w:t>
      </w:r>
      <w:proofErr w:type="spellEnd"/>
      <w:r w:rsidRPr="00DB0A36">
        <w:t>:</w:t>
      </w:r>
      <w:r>
        <w:t xml:space="preserve"> PEC report no 37. </w:t>
      </w:r>
    </w:p>
    <w:p w14:paraId="0801A3C5" w14:textId="55D13D3B" w:rsidR="009372CA" w:rsidRDefault="009372CA" w:rsidP="009372CA">
      <w:r>
        <w:t xml:space="preserve">US National Institute for Occupational Safety and Health (NIOSH) (1994) </w:t>
      </w:r>
      <w:proofErr w:type="gramStart"/>
      <w:r>
        <w:t>Immediately</w:t>
      </w:r>
      <w:proofErr w:type="gramEnd"/>
      <w:r>
        <w:t xml:space="preserve"> dangerous to life or health concentrations – </w:t>
      </w:r>
      <w:proofErr w:type="spellStart"/>
      <w:r>
        <w:t>Dimethylphthalate</w:t>
      </w:r>
      <w:proofErr w:type="spellEnd"/>
      <w:r>
        <w:t xml:space="preserve">. </w:t>
      </w:r>
    </w:p>
    <w:bookmarkEnd w:id="0"/>
    <w:p w14:paraId="16025DB1" w14:textId="77777777" w:rsidR="005478D9" w:rsidRPr="00351FE0" w:rsidRDefault="005478D9" w:rsidP="00084859"/>
    <w:sectPr w:rsidR="005478D9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6EE5D" w16cid:durableId="216AEE97"/>
  <w16cid:commentId w16cid:paraId="4F37C762" w16cid:durableId="216AEFEE"/>
  <w16cid:commentId w16cid:paraId="34D1F088" w16cid:durableId="216AF28A"/>
  <w16cid:commentId w16cid:paraId="5DA73CD3" w16cid:durableId="216AF4B3"/>
  <w16cid:commentId w16cid:paraId="7B31F803" w16cid:durableId="216AEFA1"/>
  <w16cid:commentId w16cid:paraId="63E057CC" w16cid:durableId="216AEDDF"/>
  <w16cid:commentId w16cid:paraId="01515B9C" w16cid:durableId="216AF1D3"/>
  <w16cid:commentId w16cid:paraId="34F8B7ED" w16cid:durableId="216AEE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0BA84" w14:textId="77777777" w:rsidR="007C7262" w:rsidRDefault="007C7262" w:rsidP="00F43AD5">
      <w:pPr>
        <w:spacing w:after="0" w:line="240" w:lineRule="auto"/>
      </w:pPr>
      <w:r>
        <w:separator/>
      </w:r>
    </w:p>
  </w:endnote>
  <w:endnote w:type="continuationSeparator" w:id="0">
    <w:p w14:paraId="55B4B0C2" w14:textId="77777777" w:rsidR="007C7262" w:rsidRDefault="007C7262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5C3C" w14:textId="77777777" w:rsidR="006A5320" w:rsidRDefault="006A5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8CD07A2" w14:textId="77777777" w:rsidR="008A36CF" w:rsidRDefault="008A36CF" w:rsidP="0034744C">
        <w:pPr>
          <w:pStyle w:val="Footer"/>
          <w:rPr>
            <w:sz w:val="18"/>
            <w:szCs w:val="18"/>
          </w:rPr>
        </w:pPr>
        <w:proofErr w:type="spellStart"/>
        <w:r w:rsidRPr="00F43AD5">
          <w:rPr>
            <w:b/>
            <w:sz w:val="18"/>
            <w:szCs w:val="18"/>
          </w:rPr>
          <w:t>NameofChemical</w:t>
        </w:r>
        <w:proofErr w:type="spellEnd"/>
        <w:r>
          <w:rPr>
            <w:b/>
            <w:sz w:val="18"/>
            <w:szCs w:val="18"/>
          </w:rPr>
          <w:t xml:space="preserve"> (</w:t>
        </w:r>
        <w:r w:rsidR="00013A22">
          <w:rPr>
            <w:b/>
            <w:sz w:val="18"/>
            <w:szCs w:val="18"/>
          </w:rPr>
          <w:t>CAS Number</w:t>
        </w:r>
        <w:proofErr w:type="gramStart"/>
        <w:r>
          <w:rPr>
            <w:b/>
            <w:sz w:val="18"/>
            <w:szCs w:val="18"/>
          </w:rPr>
          <w:t>)</w:t>
        </w:r>
        <w:proofErr w:type="gramEnd"/>
        <w:r w:rsidRPr="00F43AD5">
          <w:rPr>
            <w:sz w:val="18"/>
            <w:szCs w:val="18"/>
          </w:rPr>
          <w:br/>
          <w:t xml:space="preserve">Safe Work Australia </w:t>
        </w:r>
        <w:r w:rsidRPr="00F43AD5">
          <w:rPr>
            <w:rFonts w:ascii="Courier New" w:hAnsi="Courier New" w:cs="Courier New"/>
            <w:sz w:val="18"/>
            <w:szCs w:val="18"/>
          </w:rPr>
          <w:t>—</w:t>
        </w:r>
        <w:r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0CAA9750" w14:textId="59C0E900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B56782">
          <w:rPr>
            <w:noProof/>
            <w:sz w:val="18"/>
            <w:szCs w:val="18"/>
          </w:rPr>
          <w:t>5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7E97" w14:textId="77777777" w:rsidR="006A5320" w:rsidRDefault="006A5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6FA0" w14:textId="77777777" w:rsidR="007C7262" w:rsidRDefault="007C7262" w:rsidP="00F43AD5">
      <w:pPr>
        <w:spacing w:after="0" w:line="240" w:lineRule="auto"/>
      </w:pPr>
      <w:r>
        <w:separator/>
      </w:r>
    </w:p>
  </w:footnote>
  <w:footnote w:type="continuationSeparator" w:id="0">
    <w:p w14:paraId="65684C61" w14:textId="77777777" w:rsidR="007C7262" w:rsidRDefault="007C7262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6066" w14:textId="6D2E42F1" w:rsidR="006A5320" w:rsidRDefault="00B56782">
    <w:pPr>
      <w:pStyle w:val="Header"/>
    </w:pPr>
    <w:r>
      <w:rPr>
        <w:noProof/>
      </w:rPr>
      <w:pict w14:anchorId="06C922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407110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36A8" w14:textId="3A478D95" w:rsidR="008A36CF" w:rsidRDefault="00B56782" w:rsidP="00F43AD5">
    <w:pPr>
      <w:pStyle w:val="Header"/>
      <w:jc w:val="right"/>
    </w:pPr>
    <w:r>
      <w:rPr>
        <w:noProof/>
      </w:rPr>
      <w:pict w14:anchorId="6909DB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407111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AAEB9" w14:textId="5FDEAB35" w:rsidR="006A5320" w:rsidRDefault="00B56782">
    <w:pPr>
      <w:pStyle w:val="Header"/>
    </w:pPr>
    <w:r>
      <w:rPr>
        <w:noProof/>
      </w:rPr>
      <w:pict w14:anchorId="4BFA64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407109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7A2D3" w14:textId="49ED79E1" w:rsidR="00B56782" w:rsidRDefault="00B56782">
    <w:pPr>
      <w:pStyle w:val="Header"/>
    </w:pPr>
    <w:r>
      <w:rPr>
        <w:noProof/>
      </w:rPr>
      <w:pict w14:anchorId="360DC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407113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9FDB0" w14:textId="10E626E7" w:rsidR="008A36CF" w:rsidRDefault="00B56782" w:rsidP="00F43AD5">
    <w:pPr>
      <w:pStyle w:val="Header"/>
      <w:jc w:val="right"/>
    </w:pPr>
    <w:r>
      <w:rPr>
        <w:noProof/>
      </w:rPr>
      <w:pict w14:anchorId="74DE58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407114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7400" w14:textId="30E5966F" w:rsidR="00B56782" w:rsidRDefault="00B56782">
    <w:pPr>
      <w:pStyle w:val="Header"/>
    </w:pPr>
    <w:r>
      <w:rPr>
        <w:noProof/>
      </w:rPr>
      <w:pict w14:anchorId="0A4C6C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407112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E23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7F32"/>
    <w:rsid w:val="00071807"/>
    <w:rsid w:val="000803E1"/>
    <w:rsid w:val="00080BDA"/>
    <w:rsid w:val="00084513"/>
    <w:rsid w:val="00084859"/>
    <w:rsid w:val="00092D94"/>
    <w:rsid w:val="00095B5D"/>
    <w:rsid w:val="000A38A8"/>
    <w:rsid w:val="000B0868"/>
    <w:rsid w:val="000B3E12"/>
    <w:rsid w:val="000B3E78"/>
    <w:rsid w:val="000B7B48"/>
    <w:rsid w:val="000C096D"/>
    <w:rsid w:val="000C139A"/>
    <w:rsid w:val="000C2053"/>
    <w:rsid w:val="000C248C"/>
    <w:rsid w:val="000C77CB"/>
    <w:rsid w:val="000D291C"/>
    <w:rsid w:val="000D536B"/>
    <w:rsid w:val="000E5A54"/>
    <w:rsid w:val="000E63D3"/>
    <w:rsid w:val="000E67CF"/>
    <w:rsid w:val="0010461E"/>
    <w:rsid w:val="00106FAA"/>
    <w:rsid w:val="00113443"/>
    <w:rsid w:val="00122F60"/>
    <w:rsid w:val="001269A7"/>
    <w:rsid w:val="00131092"/>
    <w:rsid w:val="00140E6A"/>
    <w:rsid w:val="00146545"/>
    <w:rsid w:val="00146B75"/>
    <w:rsid w:val="0015266D"/>
    <w:rsid w:val="0015288A"/>
    <w:rsid w:val="00160F47"/>
    <w:rsid w:val="00170409"/>
    <w:rsid w:val="00177CA1"/>
    <w:rsid w:val="00183823"/>
    <w:rsid w:val="00183942"/>
    <w:rsid w:val="00187A4F"/>
    <w:rsid w:val="001A009E"/>
    <w:rsid w:val="001A1287"/>
    <w:rsid w:val="001A3859"/>
    <w:rsid w:val="001A3C9D"/>
    <w:rsid w:val="001A43F8"/>
    <w:rsid w:val="001B79E5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734A"/>
    <w:rsid w:val="00263255"/>
    <w:rsid w:val="00276494"/>
    <w:rsid w:val="00277B0C"/>
    <w:rsid w:val="002B1A2C"/>
    <w:rsid w:val="002C34F2"/>
    <w:rsid w:val="002C58FF"/>
    <w:rsid w:val="002C7AFE"/>
    <w:rsid w:val="002D05D2"/>
    <w:rsid w:val="002E0D61"/>
    <w:rsid w:val="002E4C7B"/>
    <w:rsid w:val="0030740C"/>
    <w:rsid w:val="00315833"/>
    <w:rsid w:val="003215EE"/>
    <w:rsid w:val="003224BF"/>
    <w:rsid w:val="003229CB"/>
    <w:rsid w:val="003241A8"/>
    <w:rsid w:val="003253F0"/>
    <w:rsid w:val="003337DA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62895"/>
    <w:rsid w:val="00370DBF"/>
    <w:rsid w:val="00386093"/>
    <w:rsid w:val="003904A4"/>
    <w:rsid w:val="003905F6"/>
    <w:rsid w:val="00391841"/>
    <w:rsid w:val="00391B6D"/>
    <w:rsid w:val="00394922"/>
    <w:rsid w:val="003A0E32"/>
    <w:rsid w:val="003A2B94"/>
    <w:rsid w:val="003B387D"/>
    <w:rsid w:val="003C0D58"/>
    <w:rsid w:val="003D0323"/>
    <w:rsid w:val="003D4FA3"/>
    <w:rsid w:val="003E0807"/>
    <w:rsid w:val="003E12EA"/>
    <w:rsid w:val="003E51FB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36CDE"/>
    <w:rsid w:val="004414B5"/>
    <w:rsid w:val="004421D4"/>
    <w:rsid w:val="00444482"/>
    <w:rsid w:val="00444B42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446A2"/>
    <w:rsid w:val="00544D2F"/>
    <w:rsid w:val="005478D9"/>
    <w:rsid w:val="00551BD8"/>
    <w:rsid w:val="00564490"/>
    <w:rsid w:val="00581055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D7468"/>
    <w:rsid w:val="005E6979"/>
    <w:rsid w:val="005E75CB"/>
    <w:rsid w:val="006013C1"/>
    <w:rsid w:val="0060669E"/>
    <w:rsid w:val="0060795B"/>
    <w:rsid w:val="00610F2E"/>
    <w:rsid w:val="00611399"/>
    <w:rsid w:val="00624C4E"/>
    <w:rsid w:val="00625200"/>
    <w:rsid w:val="006363A8"/>
    <w:rsid w:val="00636DB7"/>
    <w:rsid w:val="00650905"/>
    <w:rsid w:val="006532ED"/>
    <w:rsid w:val="006549F2"/>
    <w:rsid w:val="006567B7"/>
    <w:rsid w:val="00657BFB"/>
    <w:rsid w:val="00660A7E"/>
    <w:rsid w:val="0066333C"/>
    <w:rsid w:val="006639B4"/>
    <w:rsid w:val="006650FE"/>
    <w:rsid w:val="0067305D"/>
    <w:rsid w:val="0067530B"/>
    <w:rsid w:val="00677D9B"/>
    <w:rsid w:val="006867F3"/>
    <w:rsid w:val="00687890"/>
    <w:rsid w:val="006901A2"/>
    <w:rsid w:val="00690368"/>
    <w:rsid w:val="0069079C"/>
    <w:rsid w:val="00690B53"/>
    <w:rsid w:val="00695B72"/>
    <w:rsid w:val="006A1314"/>
    <w:rsid w:val="006A5320"/>
    <w:rsid w:val="006B160A"/>
    <w:rsid w:val="006B4E6C"/>
    <w:rsid w:val="006B50B6"/>
    <w:rsid w:val="006D79EA"/>
    <w:rsid w:val="006E5D05"/>
    <w:rsid w:val="00701053"/>
    <w:rsid w:val="00701507"/>
    <w:rsid w:val="00714021"/>
    <w:rsid w:val="0071520D"/>
    <w:rsid w:val="00716A0F"/>
    <w:rsid w:val="00717D45"/>
    <w:rsid w:val="007208F7"/>
    <w:rsid w:val="007218AF"/>
    <w:rsid w:val="007365D1"/>
    <w:rsid w:val="00740E0E"/>
    <w:rsid w:val="00750212"/>
    <w:rsid w:val="00751733"/>
    <w:rsid w:val="00754779"/>
    <w:rsid w:val="0075716D"/>
    <w:rsid w:val="00761AA0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C30EB"/>
    <w:rsid w:val="007C7262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88D"/>
    <w:rsid w:val="00810C6D"/>
    <w:rsid w:val="00812887"/>
    <w:rsid w:val="008136F8"/>
    <w:rsid w:val="00822C11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05DB5"/>
    <w:rsid w:val="009118A6"/>
    <w:rsid w:val="00916909"/>
    <w:rsid w:val="00916EC0"/>
    <w:rsid w:val="00917EB4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2CA"/>
    <w:rsid w:val="0093760E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90DDA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7E2D"/>
    <w:rsid w:val="00A31D99"/>
    <w:rsid w:val="00A357BA"/>
    <w:rsid w:val="00A35ADC"/>
    <w:rsid w:val="00A402A3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43C4"/>
    <w:rsid w:val="00AC32E7"/>
    <w:rsid w:val="00AC3A9F"/>
    <w:rsid w:val="00AC6D2F"/>
    <w:rsid w:val="00AE2745"/>
    <w:rsid w:val="00AE2F64"/>
    <w:rsid w:val="00AF42CB"/>
    <w:rsid w:val="00AF483F"/>
    <w:rsid w:val="00AF5E07"/>
    <w:rsid w:val="00AF5F06"/>
    <w:rsid w:val="00B00A25"/>
    <w:rsid w:val="00B1422A"/>
    <w:rsid w:val="00B1765C"/>
    <w:rsid w:val="00B213C4"/>
    <w:rsid w:val="00B40C60"/>
    <w:rsid w:val="00B479A9"/>
    <w:rsid w:val="00B52EDF"/>
    <w:rsid w:val="00B56782"/>
    <w:rsid w:val="00B71188"/>
    <w:rsid w:val="00B76A41"/>
    <w:rsid w:val="00B87D4C"/>
    <w:rsid w:val="00B93646"/>
    <w:rsid w:val="00BA0B38"/>
    <w:rsid w:val="00BA1DBB"/>
    <w:rsid w:val="00BA4510"/>
    <w:rsid w:val="00BA529A"/>
    <w:rsid w:val="00BB612A"/>
    <w:rsid w:val="00BD499F"/>
    <w:rsid w:val="00BD56DE"/>
    <w:rsid w:val="00BF2406"/>
    <w:rsid w:val="00C0228E"/>
    <w:rsid w:val="00C06E43"/>
    <w:rsid w:val="00C16315"/>
    <w:rsid w:val="00C3091E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D2BFD"/>
    <w:rsid w:val="00CD69B5"/>
    <w:rsid w:val="00CE5AD6"/>
    <w:rsid w:val="00CE617F"/>
    <w:rsid w:val="00CE78EF"/>
    <w:rsid w:val="00CF7935"/>
    <w:rsid w:val="00D048F7"/>
    <w:rsid w:val="00D0517E"/>
    <w:rsid w:val="00D140FC"/>
    <w:rsid w:val="00D21D8C"/>
    <w:rsid w:val="00D31357"/>
    <w:rsid w:val="00D33220"/>
    <w:rsid w:val="00D334D1"/>
    <w:rsid w:val="00D44C89"/>
    <w:rsid w:val="00D501A4"/>
    <w:rsid w:val="00D516CD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C7694"/>
    <w:rsid w:val="00DD1BF6"/>
    <w:rsid w:val="00DD2F9B"/>
    <w:rsid w:val="00DE2513"/>
    <w:rsid w:val="00DE26E8"/>
    <w:rsid w:val="00DF6F36"/>
    <w:rsid w:val="00E0084C"/>
    <w:rsid w:val="00E025AB"/>
    <w:rsid w:val="00E02B23"/>
    <w:rsid w:val="00E06F40"/>
    <w:rsid w:val="00E07CE8"/>
    <w:rsid w:val="00E26A07"/>
    <w:rsid w:val="00E32595"/>
    <w:rsid w:val="00E37CFD"/>
    <w:rsid w:val="00E41A26"/>
    <w:rsid w:val="00E46BCB"/>
    <w:rsid w:val="00E51CAF"/>
    <w:rsid w:val="00E60F04"/>
    <w:rsid w:val="00E62AAC"/>
    <w:rsid w:val="00E67C2F"/>
    <w:rsid w:val="00E67EF5"/>
    <w:rsid w:val="00E804EA"/>
    <w:rsid w:val="00E80A71"/>
    <w:rsid w:val="00E82337"/>
    <w:rsid w:val="00E826C4"/>
    <w:rsid w:val="00E92499"/>
    <w:rsid w:val="00E949AF"/>
    <w:rsid w:val="00E96077"/>
    <w:rsid w:val="00EA0A06"/>
    <w:rsid w:val="00EA6243"/>
    <w:rsid w:val="00EA74AB"/>
    <w:rsid w:val="00EB3D1B"/>
    <w:rsid w:val="00ED1D89"/>
    <w:rsid w:val="00ED66BC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5566D"/>
    <w:rsid w:val="00F56DD0"/>
    <w:rsid w:val="00F607E8"/>
    <w:rsid w:val="00F6491C"/>
    <w:rsid w:val="00F67BBB"/>
    <w:rsid w:val="00F87D92"/>
    <w:rsid w:val="00F90AA7"/>
    <w:rsid w:val="00F92498"/>
    <w:rsid w:val="00F9496B"/>
    <w:rsid w:val="00F970C9"/>
    <w:rsid w:val="00FA06A8"/>
    <w:rsid w:val="00FA3DF5"/>
    <w:rsid w:val="00FA741F"/>
    <w:rsid w:val="00FB21A2"/>
    <w:rsid w:val="00FB4E07"/>
    <w:rsid w:val="00FB755A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547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D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D9"/>
    <w:rPr>
      <w:b/>
      <w:bCs/>
      <w:szCs w:val="20"/>
    </w:rPr>
  </w:style>
  <w:style w:type="paragraph" w:styleId="ListBullet">
    <w:name w:val="List Bullet"/>
    <w:basedOn w:val="Normal"/>
    <w:uiPriority w:val="99"/>
    <w:unhideWhenUsed/>
    <w:rsid w:val="003D0323"/>
    <w:pPr>
      <w:numPr>
        <w:numId w:val="1"/>
      </w:numPr>
      <w:contextualSpacing/>
    </w:pPr>
  </w:style>
  <w:style w:type="character" w:customStyle="1" w:styleId="PECbodytextitalic">
    <w:name w:val="PEC body text italic"/>
    <w:basedOn w:val="DefaultParagraphFont"/>
    <w:uiPriority w:val="1"/>
    <w:rsid w:val="008136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B6C4A579A433CA5DBB086C16F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A50D-4E3D-4B3A-86A5-8B84F9B1BA29}"/>
      </w:docPartPr>
      <w:docPartBody>
        <w:p w:rsidR="00347064" w:rsidRDefault="009855C6" w:rsidP="009855C6">
          <w:pPr>
            <w:pStyle w:val="2BBB6C4A579A433CA5DBB086C16FA754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347064"/>
    <w:rsid w:val="0045668E"/>
    <w:rsid w:val="0054797A"/>
    <w:rsid w:val="009855C6"/>
    <w:rsid w:val="00D21A9F"/>
    <w:rsid w:val="00F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5C6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2BBB6C4A579A433CA5DBB086C16FA754">
    <w:name w:val="2BBB6C4A579A433CA5DBB086C16FA754"/>
    <w:rsid w:val="00985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823B-1910-46CF-8DEE-FD0BCE3F6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52E45-74C6-4426-BCF0-0F044E0AEF6B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f54d604-3e62-4e70-ba33-9e9084b96a66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B948BB-FA47-4977-8559-D1B238FD1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B0CE8-A789-4C31-9811-CA2D8F0F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2019-11-07T23:17:00Z</dcterms:created>
  <dcterms:modified xsi:type="dcterms:W3CDTF">2019-12-05T22:58:00Z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