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1F724587" w14:textId="1583EC11" w:rsidR="00BD499F" w:rsidRPr="006B0E84" w:rsidRDefault="001D3D1E" w:rsidP="00B40C60">
          <w:pPr>
            <w:pStyle w:val="Heading1"/>
            <w:jc w:val="center"/>
            <w:rPr>
              <w:rFonts w:ascii="Arial" w:hAnsi="Arial" w:cs="Arial"/>
            </w:rPr>
          </w:pPr>
          <w:r w:rsidRPr="006B0E84">
            <w:rPr>
              <w:rFonts w:ascii="Arial" w:hAnsi="Arial" w:cs="Arial"/>
            </w:rPr>
            <w:t>Diuron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81"/>
        <w:gridCol w:w="5045"/>
      </w:tblGrid>
      <w:tr w:rsidR="00F43AD5" w:rsidRPr="006B0E84" w14:paraId="7FB075BE" w14:textId="77777777" w:rsidTr="00B76A41">
        <w:trPr>
          <w:cantSplit/>
          <w:tblHeader/>
        </w:trPr>
        <w:tc>
          <w:tcPr>
            <w:tcW w:w="4077" w:type="dxa"/>
          </w:tcPr>
          <w:p w14:paraId="7DE213D2" w14:textId="77777777" w:rsidR="00F43AD5" w:rsidRPr="006B0E84" w:rsidRDefault="00CB1CB1" w:rsidP="00B76A41">
            <w:pPr>
              <w:pStyle w:val="Tablerowright"/>
              <w:rPr>
                <w:rFonts w:cs="Arial"/>
              </w:rPr>
            </w:pPr>
            <w:r w:rsidRPr="006B0E84">
              <w:rPr>
                <w:rFonts w:cs="Arial"/>
              </w:rPr>
              <w:t>CAS number:</w:t>
            </w:r>
          </w:p>
        </w:tc>
        <w:tc>
          <w:tcPr>
            <w:tcW w:w="5165" w:type="dxa"/>
          </w:tcPr>
          <w:p w14:paraId="651F5FF0" w14:textId="51DB9BF9" w:rsidR="00F43AD5" w:rsidRPr="006B0E84" w:rsidRDefault="001D3D1E" w:rsidP="00B76A41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330-54-1</w:t>
            </w:r>
          </w:p>
        </w:tc>
      </w:tr>
      <w:tr w:rsidR="00F43AD5" w:rsidRPr="006B0E84" w14:paraId="782E52FB" w14:textId="77777777" w:rsidTr="00B76A41">
        <w:trPr>
          <w:cantSplit/>
        </w:trPr>
        <w:tc>
          <w:tcPr>
            <w:tcW w:w="4077" w:type="dxa"/>
          </w:tcPr>
          <w:p w14:paraId="2FA1E805" w14:textId="77777777" w:rsidR="00F43AD5" w:rsidRPr="006B0E84" w:rsidRDefault="00CB1CB1" w:rsidP="00B76A41">
            <w:pPr>
              <w:pStyle w:val="Tablerowright"/>
              <w:rPr>
                <w:rFonts w:cs="Arial"/>
              </w:rPr>
            </w:pPr>
            <w:r w:rsidRPr="006B0E84">
              <w:rPr>
                <w:rFonts w:cs="Arial"/>
              </w:rPr>
              <w:t>Synonyms:</w:t>
            </w:r>
          </w:p>
        </w:tc>
        <w:tc>
          <w:tcPr>
            <w:tcW w:w="5165" w:type="dxa"/>
          </w:tcPr>
          <w:p w14:paraId="714ED42A" w14:textId="07ADA2F9" w:rsidR="00F43AD5" w:rsidRPr="006B0E84" w:rsidRDefault="00B8530D" w:rsidP="00B76A41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 xml:space="preserve">3-(3,4-Dichlorophenyl)-1,1-dimethylurea, </w:t>
            </w:r>
            <w:proofErr w:type="spellStart"/>
            <w:r w:rsidRPr="006B0E84">
              <w:rPr>
                <w:rFonts w:cs="Arial"/>
              </w:rPr>
              <w:t>Dichlorfenidim</w:t>
            </w:r>
            <w:proofErr w:type="spellEnd"/>
            <w:r w:rsidRPr="006B0E84">
              <w:rPr>
                <w:rFonts w:cs="Arial"/>
              </w:rPr>
              <w:t xml:space="preserve">, </w:t>
            </w:r>
            <w:proofErr w:type="spellStart"/>
            <w:r w:rsidRPr="006B0E84">
              <w:rPr>
                <w:rFonts w:cs="Arial"/>
              </w:rPr>
              <w:t>Karmex</w:t>
            </w:r>
            <w:proofErr w:type="spellEnd"/>
            <w:r w:rsidRPr="006B0E84">
              <w:rPr>
                <w:rFonts w:cs="Arial"/>
              </w:rPr>
              <w:t xml:space="preserve">, </w:t>
            </w:r>
            <w:proofErr w:type="spellStart"/>
            <w:r w:rsidRPr="006B0E84">
              <w:rPr>
                <w:rFonts w:cs="Arial"/>
              </w:rPr>
              <w:t>Telvar</w:t>
            </w:r>
            <w:proofErr w:type="spellEnd"/>
          </w:p>
        </w:tc>
      </w:tr>
      <w:tr w:rsidR="00F43AD5" w:rsidRPr="006B0E84" w14:paraId="5AFD6616" w14:textId="77777777" w:rsidTr="00B76A41">
        <w:trPr>
          <w:cantSplit/>
        </w:trPr>
        <w:tc>
          <w:tcPr>
            <w:tcW w:w="4077" w:type="dxa"/>
          </w:tcPr>
          <w:p w14:paraId="24324D9D" w14:textId="77777777" w:rsidR="00F43AD5" w:rsidRPr="006B0E84" w:rsidRDefault="00CB1CB1" w:rsidP="00B76A41">
            <w:pPr>
              <w:pStyle w:val="Tablerowright"/>
              <w:rPr>
                <w:rFonts w:cs="Arial"/>
              </w:rPr>
            </w:pPr>
            <w:r w:rsidRPr="006B0E84">
              <w:rPr>
                <w:rFonts w:cs="Arial"/>
              </w:rPr>
              <w:t>Chemical formula:</w:t>
            </w:r>
          </w:p>
        </w:tc>
        <w:tc>
          <w:tcPr>
            <w:tcW w:w="5165" w:type="dxa"/>
          </w:tcPr>
          <w:p w14:paraId="38D83F33" w14:textId="050F61BF" w:rsidR="00F43AD5" w:rsidRPr="006B0E84" w:rsidRDefault="00B8530D" w:rsidP="00B76A41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C</w:t>
            </w:r>
            <w:r w:rsidRPr="006B0E84">
              <w:rPr>
                <w:rFonts w:cs="Arial"/>
                <w:vertAlign w:val="subscript"/>
              </w:rPr>
              <w:t>9</w:t>
            </w:r>
            <w:r w:rsidRPr="006B0E84">
              <w:rPr>
                <w:rFonts w:cs="Arial"/>
              </w:rPr>
              <w:t>H</w:t>
            </w:r>
            <w:r w:rsidRPr="006B0E84">
              <w:rPr>
                <w:rFonts w:cs="Arial"/>
                <w:vertAlign w:val="subscript"/>
              </w:rPr>
              <w:t>10</w:t>
            </w:r>
            <w:r w:rsidRPr="006B0E84">
              <w:rPr>
                <w:rFonts w:cs="Arial"/>
              </w:rPr>
              <w:t>Cl</w:t>
            </w:r>
            <w:r w:rsidRPr="006B0E84">
              <w:rPr>
                <w:rFonts w:cs="Arial"/>
                <w:vertAlign w:val="subscript"/>
              </w:rPr>
              <w:t>2</w:t>
            </w:r>
            <w:r w:rsidRPr="006B0E84">
              <w:rPr>
                <w:rFonts w:cs="Arial"/>
              </w:rPr>
              <w:t>N</w:t>
            </w:r>
            <w:r w:rsidRPr="006B0E84">
              <w:rPr>
                <w:rFonts w:cs="Arial"/>
                <w:vertAlign w:val="subscript"/>
              </w:rPr>
              <w:t>2</w:t>
            </w:r>
            <w:r w:rsidRPr="006B0E84">
              <w:rPr>
                <w:rFonts w:cs="Arial"/>
              </w:rPr>
              <w:t>O</w:t>
            </w:r>
          </w:p>
        </w:tc>
      </w:tr>
      <w:tr w:rsidR="00F43AD5" w:rsidRPr="006B0E84" w14:paraId="09734F37" w14:textId="77777777" w:rsidTr="00B76A41">
        <w:trPr>
          <w:cantSplit/>
        </w:trPr>
        <w:tc>
          <w:tcPr>
            <w:tcW w:w="4077" w:type="dxa"/>
          </w:tcPr>
          <w:p w14:paraId="46423CAC" w14:textId="77777777" w:rsidR="00F43AD5" w:rsidRPr="006B0E84" w:rsidRDefault="00CB1CB1" w:rsidP="00B76A41">
            <w:pPr>
              <w:pStyle w:val="Tablerowright"/>
              <w:rPr>
                <w:rFonts w:cs="Arial"/>
              </w:rPr>
            </w:pPr>
            <w:r w:rsidRPr="006B0E84">
              <w:rPr>
                <w:rFonts w:cs="Arial"/>
              </w:rPr>
              <w:t>Structural formula:</w:t>
            </w:r>
          </w:p>
        </w:tc>
        <w:tc>
          <w:tcPr>
            <w:tcW w:w="5165" w:type="dxa"/>
          </w:tcPr>
          <w:p w14:paraId="761E74CA" w14:textId="17FFF8F3" w:rsidR="00F43AD5" w:rsidRPr="006B0E84" w:rsidRDefault="00B8530D" w:rsidP="00B76A41">
            <w:pPr>
              <w:pStyle w:val="Tablerowheading"/>
              <w:rPr>
                <w:rFonts w:cs="Arial"/>
                <w:b w:val="0"/>
              </w:rPr>
            </w:pPr>
            <w:r w:rsidRPr="006B0E84">
              <w:rPr>
                <w:rFonts w:cs="Arial"/>
              </w:rPr>
              <w:t>—</w:t>
            </w:r>
          </w:p>
        </w:tc>
      </w:tr>
    </w:tbl>
    <w:p w14:paraId="27B29EC3" w14:textId="5E3A4F49" w:rsidR="00AE2745" w:rsidRPr="006B0E84" w:rsidRDefault="00AE2745" w:rsidP="00AE2745">
      <w:pPr>
        <w:pStyle w:val="WES"/>
        <w:tabs>
          <w:tab w:val="left" w:pos="2041"/>
        </w:tabs>
        <w:rPr>
          <w:rFonts w:cs="Arial"/>
        </w:rPr>
      </w:pPr>
      <w:r w:rsidRPr="006B0E84">
        <w:rPr>
          <w:rFonts w:cs="Arial"/>
        </w:rPr>
        <w:tab/>
        <w:t xml:space="preserve">Workplace exposure standard </w:t>
      </w:r>
      <w:sdt>
        <w:sdtPr>
          <w:rPr>
            <w:rStyle w:val="WESstatus"/>
            <w:rFonts w:cs="Arial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EF511D">
            <w:rPr>
              <w:rStyle w:val="WESstatus"/>
              <w:rFonts w:cs="Arial"/>
            </w:rPr>
            <w:t>(interim)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5"/>
        <w:gridCol w:w="5021"/>
      </w:tblGrid>
      <w:tr w:rsidR="002C7AFE" w:rsidRPr="006B0E84" w14:paraId="3AED0A7A" w14:textId="77777777" w:rsidTr="00E7221B">
        <w:trPr>
          <w:cantSplit/>
          <w:tblHeader/>
        </w:trPr>
        <w:tc>
          <w:tcPr>
            <w:tcW w:w="4005" w:type="dxa"/>
            <w:vAlign w:val="center"/>
          </w:tcPr>
          <w:p w14:paraId="0A817802" w14:textId="77777777" w:rsidR="002C7AFE" w:rsidRPr="006B0E84" w:rsidRDefault="00921DE7" w:rsidP="00921DE7">
            <w:pPr>
              <w:pStyle w:val="Tablerowright"/>
              <w:rPr>
                <w:rFonts w:cs="Arial"/>
              </w:rPr>
            </w:pPr>
            <w:r w:rsidRPr="006B0E84">
              <w:rPr>
                <w:rFonts w:cs="Arial"/>
              </w:rPr>
              <w:t>TWA:</w:t>
            </w:r>
          </w:p>
        </w:tc>
        <w:tc>
          <w:tcPr>
            <w:tcW w:w="5021" w:type="dxa"/>
          </w:tcPr>
          <w:p w14:paraId="23E59E0C" w14:textId="402447ED" w:rsidR="002C7AFE" w:rsidRPr="006B0E84" w:rsidRDefault="00C07837" w:rsidP="00017C82">
            <w:pPr>
              <w:pStyle w:val="Tablefont"/>
              <w:rPr>
                <w:rFonts w:cs="Arial"/>
                <w:b/>
              </w:rPr>
            </w:pPr>
            <w:r w:rsidRPr="006B0E84">
              <w:rPr>
                <w:rFonts w:cs="Arial"/>
                <w:b/>
              </w:rPr>
              <w:t>10 mg/m</w:t>
            </w:r>
            <w:r w:rsidRPr="006B0E84">
              <w:rPr>
                <w:rFonts w:cs="Arial"/>
                <w:b/>
                <w:vertAlign w:val="superscript"/>
              </w:rPr>
              <w:t>3</w:t>
            </w:r>
          </w:p>
        </w:tc>
      </w:tr>
      <w:tr w:rsidR="002C7AFE" w:rsidRPr="006B0E84" w14:paraId="54841BEF" w14:textId="77777777" w:rsidTr="00E7221B">
        <w:trPr>
          <w:cantSplit/>
        </w:trPr>
        <w:tc>
          <w:tcPr>
            <w:tcW w:w="4005" w:type="dxa"/>
            <w:vAlign w:val="center"/>
          </w:tcPr>
          <w:p w14:paraId="32B7B52D" w14:textId="77777777" w:rsidR="002C7AFE" w:rsidRPr="006B0E84" w:rsidRDefault="002C7AFE" w:rsidP="00921DE7">
            <w:pPr>
              <w:pStyle w:val="Tablerowright"/>
              <w:rPr>
                <w:rFonts w:cs="Arial"/>
              </w:rPr>
            </w:pPr>
            <w:r w:rsidRPr="006B0E84">
              <w:rPr>
                <w:rFonts w:cs="Arial"/>
              </w:rPr>
              <w:t>STEL</w:t>
            </w:r>
            <w:r w:rsidR="00921DE7" w:rsidRPr="006B0E84">
              <w:rPr>
                <w:rFonts w:cs="Arial"/>
              </w:rPr>
              <w:t>:</w:t>
            </w:r>
          </w:p>
        </w:tc>
        <w:tc>
          <w:tcPr>
            <w:tcW w:w="5021" w:type="dxa"/>
          </w:tcPr>
          <w:p w14:paraId="4CAE446E" w14:textId="487850C2" w:rsidR="002C7AFE" w:rsidRPr="006B0E84" w:rsidRDefault="00C65D1D" w:rsidP="00017C82">
            <w:pPr>
              <w:pStyle w:val="Tablefont"/>
              <w:rPr>
                <w:rFonts w:cs="Arial"/>
                <w:b/>
              </w:rPr>
            </w:pPr>
            <w:r w:rsidRPr="006B0E84">
              <w:rPr>
                <w:rFonts w:cs="Arial"/>
                <w:b/>
              </w:rPr>
              <w:t>—</w:t>
            </w:r>
          </w:p>
        </w:tc>
      </w:tr>
      <w:tr w:rsidR="002C7AFE" w:rsidRPr="006B0E84" w14:paraId="728465BF" w14:textId="77777777" w:rsidTr="00E7221B">
        <w:trPr>
          <w:cantSplit/>
        </w:trPr>
        <w:tc>
          <w:tcPr>
            <w:tcW w:w="4005" w:type="dxa"/>
            <w:vAlign w:val="center"/>
          </w:tcPr>
          <w:p w14:paraId="6B306FD8" w14:textId="77777777" w:rsidR="002C7AFE" w:rsidRPr="006B0E84" w:rsidRDefault="00921DE7" w:rsidP="00921DE7">
            <w:pPr>
              <w:pStyle w:val="Tablerowright"/>
              <w:rPr>
                <w:rFonts w:cs="Arial"/>
              </w:rPr>
            </w:pPr>
            <w:r w:rsidRPr="006B0E84">
              <w:rPr>
                <w:rFonts w:cs="Arial"/>
              </w:rPr>
              <w:t>Peak limitation:</w:t>
            </w:r>
          </w:p>
        </w:tc>
        <w:tc>
          <w:tcPr>
            <w:tcW w:w="5021" w:type="dxa"/>
          </w:tcPr>
          <w:p w14:paraId="3C3FB15F" w14:textId="45BB4227" w:rsidR="002C7AFE" w:rsidRPr="006B0E84" w:rsidRDefault="00C65D1D" w:rsidP="00017C82">
            <w:pPr>
              <w:pStyle w:val="Tablefont"/>
              <w:rPr>
                <w:rFonts w:cs="Arial"/>
                <w:b/>
              </w:rPr>
            </w:pPr>
            <w:r w:rsidRPr="006B0E84">
              <w:rPr>
                <w:rFonts w:cs="Arial"/>
                <w:b/>
              </w:rPr>
              <w:t>—</w:t>
            </w:r>
          </w:p>
        </w:tc>
      </w:tr>
      <w:tr w:rsidR="002C7AFE" w:rsidRPr="006B0E84" w14:paraId="051F4297" w14:textId="77777777" w:rsidTr="00E7221B">
        <w:trPr>
          <w:cantSplit/>
        </w:trPr>
        <w:tc>
          <w:tcPr>
            <w:tcW w:w="4005" w:type="dxa"/>
          </w:tcPr>
          <w:p w14:paraId="5C40413A" w14:textId="77777777" w:rsidR="002C7AFE" w:rsidRPr="006B0E84" w:rsidRDefault="00A2073D" w:rsidP="003241A8">
            <w:pPr>
              <w:pStyle w:val="Tablerowright"/>
              <w:rPr>
                <w:rFonts w:cs="Arial"/>
              </w:rPr>
            </w:pPr>
            <w:r w:rsidRPr="006B0E84">
              <w:rPr>
                <w:rFonts w:cs="Arial"/>
                <w:b w:val="0"/>
                <w:bCs/>
                <w:color w:val="000000" w:themeColor="text1"/>
              </w:rPr>
              <w:tab/>
            </w:r>
            <w:r w:rsidR="00921DE7" w:rsidRPr="006B0E84">
              <w:rPr>
                <w:rFonts w:cs="Arial"/>
              </w:rPr>
              <w:t>Notations:</w:t>
            </w:r>
          </w:p>
        </w:tc>
        <w:tc>
          <w:tcPr>
            <w:tcW w:w="5021" w:type="dxa"/>
          </w:tcPr>
          <w:p w14:paraId="28133D31" w14:textId="35470953" w:rsidR="002C7AFE" w:rsidRPr="006B0E84" w:rsidRDefault="00C65D1D" w:rsidP="008A36CF">
            <w:pPr>
              <w:pStyle w:val="Tablefont"/>
              <w:rPr>
                <w:rFonts w:cs="Arial"/>
                <w:b/>
              </w:rPr>
            </w:pPr>
            <w:proofErr w:type="spellStart"/>
            <w:r w:rsidRPr="006B0E84">
              <w:rPr>
                <w:rFonts w:cs="Arial"/>
                <w:b/>
              </w:rPr>
              <w:t>Carc</w:t>
            </w:r>
            <w:proofErr w:type="spellEnd"/>
            <w:r w:rsidRPr="006B0E84">
              <w:rPr>
                <w:rFonts w:cs="Arial"/>
                <w:b/>
              </w:rPr>
              <w:t>. 2</w:t>
            </w:r>
          </w:p>
        </w:tc>
      </w:tr>
      <w:tr w:rsidR="002C7AFE" w:rsidRPr="006B0E84" w14:paraId="31158FB7" w14:textId="77777777" w:rsidTr="00E7221B">
        <w:trPr>
          <w:cantSplit/>
        </w:trPr>
        <w:tc>
          <w:tcPr>
            <w:tcW w:w="4005" w:type="dxa"/>
            <w:vAlign w:val="center"/>
          </w:tcPr>
          <w:p w14:paraId="1B4A60C4" w14:textId="77777777" w:rsidR="00F10C97" w:rsidRPr="006B0E84" w:rsidRDefault="00921DE7" w:rsidP="009F04D2">
            <w:pPr>
              <w:pStyle w:val="Tablerowright"/>
              <w:rPr>
                <w:rFonts w:cs="Arial"/>
              </w:rPr>
            </w:pPr>
            <w:r w:rsidRPr="006B0E84">
              <w:rPr>
                <w:rFonts w:cs="Arial"/>
              </w:rPr>
              <w:t>IDLH:</w:t>
            </w:r>
          </w:p>
        </w:tc>
        <w:tc>
          <w:tcPr>
            <w:tcW w:w="5021" w:type="dxa"/>
          </w:tcPr>
          <w:p w14:paraId="0F6F04BD" w14:textId="32745A6E" w:rsidR="002C7AFE" w:rsidRPr="006B0E84" w:rsidRDefault="00C65D1D" w:rsidP="00017C82">
            <w:pPr>
              <w:pStyle w:val="Tablefont"/>
              <w:rPr>
                <w:rFonts w:cs="Arial"/>
                <w:b/>
              </w:rPr>
            </w:pPr>
            <w:r w:rsidRPr="006B0E84">
              <w:rPr>
                <w:rFonts w:cs="Arial"/>
                <w:b/>
              </w:rPr>
              <w:t>—</w:t>
            </w:r>
          </w:p>
        </w:tc>
      </w:tr>
      <w:tr w:rsidR="00E7221B" w:rsidRPr="006B0E84" w14:paraId="17B730AF" w14:textId="77777777" w:rsidTr="008A24DD">
        <w:trPr>
          <w:cantSplit/>
        </w:trPr>
        <w:tc>
          <w:tcPr>
            <w:tcW w:w="9026" w:type="dxa"/>
            <w:gridSpan w:val="2"/>
            <w:vAlign w:val="center"/>
          </w:tcPr>
          <w:p w14:paraId="193169DE" w14:textId="11368A18" w:rsidR="00E7221B" w:rsidRPr="006B0E84" w:rsidRDefault="00E7221B" w:rsidP="00017C82">
            <w:pPr>
              <w:pStyle w:val="Tablefont"/>
              <w:rPr>
                <w:rFonts w:cs="Arial"/>
                <w:b/>
              </w:rPr>
            </w:pPr>
            <w:r w:rsidRPr="006B0E84">
              <w:rPr>
                <w:rFonts w:cs="Arial"/>
                <w:b/>
              </w:rPr>
              <w:t>Sampling and analysis</w:t>
            </w:r>
            <w:r w:rsidRPr="006B0E84">
              <w:rPr>
                <w:rFonts w:cs="Arial"/>
              </w:rPr>
              <w:t>:</w:t>
            </w:r>
            <w:r w:rsidRPr="006B0E84">
              <w:rPr>
                <w:rStyle w:val="WESstatus"/>
                <w:rFonts w:cs="Arial"/>
                <w:color w:val="auto"/>
              </w:rPr>
              <w:t xml:space="preserve"> </w:t>
            </w:r>
            <w:sdt>
              <w:sdtPr>
                <w:rPr>
                  <w:rStyle w:val="WESstatus"/>
                  <w:rFonts w:cs="Arial"/>
                  <w:color w:val="auto"/>
                </w:rPr>
                <w:id w:val="-2105258949"/>
                <w:placeholder>
                  <w:docPart w:val="C1360B8E768E4A2B8461AFEC9B976725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Pr="006B0E84">
                  <w:rPr>
                    <w:rStyle w:val="WESstatus"/>
                    <w:rFonts w:cs="Arial"/>
                    <w:color w:val="auto"/>
                  </w:rPr>
                  <w:t xml:space="preserve">The recommended value is quantifiable through available sampling and analysis techniques. </w:t>
                </w:r>
              </w:sdtContent>
            </w:sdt>
          </w:p>
        </w:tc>
      </w:tr>
    </w:tbl>
    <w:p w14:paraId="69D3648A" w14:textId="77777777" w:rsidR="00CB1CB1" w:rsidRPr="006B0E84" w:rsidRDefault="00F10C97" w:rsidP="003365A5">
      <w:pPr>
        <w:pStyle w:val="Heading2"/>
      </w:pPr>
      <w:r w:rsidRPr="006B0E84">
        <w:t>Recommendation and basis for workplace exposure standard</w:t>
      </w:r>
    </w:p>
    <w:p w14:paraId="6DC50076" w14:textId="512B5FA3" w:rsidR="006639B4" w:rsidRPr="006B0E84" w:rsidRDefault="00FC30B5" w:rsidP="000C139A">
      <w:pPr>
        <w:rPr>
          <w:rFonts w:cs="Arial"/>
        </w:rPr>
      </w:pPr>
      <w:r w:rsidRPr="006B0E84">
        <w:rPr>
          <w:rFonts w:cs="Arial"/>
        </w:rPr>
        <w:t>A</w:t>
      </w:r>
      <w:r w:rsidR="008D0877">
        <w:rPr>
          <w:rFonts w:cs="Arial"/>
        </w:rPr>
        <w:t>n interim</w:t>
      </w:r>
      <w:r w:rsidRPr="006B0E84">
        <w:rPr>
          <w:rFonts w:cs="Arial"/>
        </w:rPr>
        <w:t xml:space="preserve"> TWA of </w:t>
      </w:r>
      <w:r w:rsidR="00A57DFA" w:rsidRPr="006B0E84">
        <w:rPr>
          <w:rFonts w:cs="Arial"/>
        </w:rPr>
        <w:t>10</w:t>
      </w:r>
      <w:r w:rsidRPr="006B0E84">
        <w:rPr>
          <w:rFonts w:cs="Arial"/>
        </w:rPr>
        <w:t xml:space="preserve"> </w:t>
      </w:r>
      <w:r w:rsidR="00A57DFA" w:rsidRPr="006B0E84">
        <w:rPr>
          <w:rFonts w:cs="Arial"/>
        </w:rPr>
        <w:t>mg/m</w:t>
      </w:r>
      <w:r w:rsidR="00A57DFA" w:rsidRPr="006B0E84">
        <w:rPr>
          <w:rFonts w:cs="Arial"/>
          <w:vertAlign w:val="superscript"/>
        </w:rPr>
        <w:t>3</w:t>
      </w:r>
      <w:r w:rsidRPr="006B0E84">
        <w:rPr>
          <w:rFonts w:cs="Arial"/>
        </w:rPr>
        <w:t xml:space="preserve"> </w:t>
      </w:r>
      <w:proofErr w:type="gramStart"/>
      <w:r w:rsidRPr="006B0E84">
        <w:rPr>
          <w:rFonts w:cs="Arial"/>
        </w:rPr>
        <w:t>is recommended</w:t>
      </w:r>
      <w:proofErr w:type="gramEnd"/>
      <w:r w:rsidRPr="006B0E84">
        <w:rPr>
          <w:rFonts w:cs="Arial"/>
        </w:rPr>
        <w:t xml:space="preserve"> to </w:t>
      </w:r>
      <w:r w:rsidR="00A57DFA" w:rsidRPr="006B0E84">
        <w:rPr>
          <w:rFonts w:cs="Arial"/>
        </w:rPr>
        <w:t>minimise potential for</w:t>
      </w:r>
      <w:r w:rsidRPr="006B0E84">
        <w:rPr>
          <w:rFonts w:cs="Arial"/>
        </w:rPr>
        <w:t xml:space="preserve"> </w:t>
      </w:r>
      <w:r w:rsidR="00A57DFA" w:rsidRPr="006B0E84">
        <w:rPr>
          <w:rFonts w:cs="Arial"/>
        </w:rPr>
        <w:t>eye, skin and upper respiratory tract irritation</w:t>
      </w:r>
      <w:r w:rsidRPr="006B0E84">
        <w:rPr>
          <w:rFonts w:cs="Arial"/>
        </w:rPr>
        <w:t xml:space="preserve"> and </w:t>
      </w:r>
      <w:r w:rsidR="00A57DFA" w:rsidRPr="006B0E84">
        <w:rPr>
          <w:rFonts w:cs="Arial"/>
        </w:rPr>
        <w:t xml:space="preserve">possible </w:t>
      </w:r>
      <w:proofErr w:type="spellStart"/>
      <w:r w:rsidR="00A57DFA" w:rsidRPr="006B0E84">
        <w:rPr>
          <w:rFonts w:cs="Arial"/>
        </w:rPr>
        <w:t>haemopoietic</w:t>
      </w:r>
      <w:proofErr w:type="spellEnd"/>
      <w:r w:rsidR="00A57DFA" w:rsidRPr="006B0E84">
        <w:rPr>
          <w:rFonts w:cs="Arial"/>
        </w:rPr>
        <w:t xml:space="preserve"> </w:t>
      </w:r>
      <w:r w:rsidR="000C0C22" w:rsidRPr="006B0E84">
        <w:rPr>
          <w:rFonts w:cs="Arial"/>
        </w:rPr>
        <w:t xml:space="preserve">(blood cell) </w:t>
      </w:r>
      <w:r w:rsidR="00A57DFA" w:rsidRPr="006B0E84">
        <w:rPr>
          <w:rFonts w:cs="Arial"/>
        </w:rPr>
        <w:t xml:space="preserve">and carcinogenic effects </w:t>
      </w:r>
      <w:r w:rsidRPr="006B0E84">
        <w:rPr>
          <w:rFonts w:cs="Arial"/>
        </w:rPr>
        <w:t>in exposed workers.</w:t>
      </w:r>
    </w:p>
    <w:p w14:paraId="12E95BB2" w14:textId="46F76267" w:rsidR="003B3D00" w:rsidRPr="006B0E84" w:rsidRDefault="000C0C22" w:rsidP="000C139A">
      <w:pPr>
        <w:rPr>
          <w:rFonts w:cs="Arial"/>
        </w:rPr>
      </w:pPr>
      <w:r w:rsidRPr="006B0E84">
        <w:rPr>
          <w:rFonts w:cs="Arial"/>
        </w:rPr>
        <w:t xml:space="preserve">Given the data available from the primary sources about the application of animal study endpoints in humans, it </w:t>
      </w:r>
      <w:proofErr w:type="gramStart"/>
      <w:r w:rsidRPr="006B0E84">
        <w:rPr>
          <w:rFonts w:cs="Arial"/>
        </w:rPr>
        <w:t>is recommended</w:t>
      </w:r>
      <w:proofErr w:type="gramEnd"/>
      <w:r w:rsidRPr="006B0E84">
        <w:rPr>
          <w:rFonts w:cs="Arial"/>
        </w:rPr>
        <w:t xml:space="preserve"> that a review of additional sources be conducted at the next scheduled review</w:t>
      </w:r>
      <w:r w:rsidR="003B3D00" w:rsidRPr="006B0E84">
        <w:rPr>
          <w:rFonts w:cs="Arial"/>
        </w:rPr>
        <w:t>.</w:t>
      </w:r>
    </w:p>
    <w:p w14:paraId="39AF9226" w14:textId="77777777" w:rsidR="00C7155E" w:rsidRPr="006B0E84" w:rsidRDefault="00F10C97" w:rsidP="003365A5">
      <w:pPr>
        <w:pStyle w:val="Heading2"/>
      </w:pPr>
      <w:r w:rsidRPr="006B0E84">
        <w:t>Discussion and conclusions</w:t>
      </w:r>
    </w:p>
    <w:p w14:paraId="243C4731" w14:textId="38AF8554" w:rsidR="000C0C22" w:rsidRPr="006B0E84" w:rsidRDefault="00575D27" w:rsidP="006639B4">
      <w:pPr>
        <w:rPr>
          <w:rFonts w:cs="Arial"/>
        </w:rPr>
      </w:pPr>
      <w:proofErr w:type="spellStart"/>
      <w:r w:rsidRPr="006B0E84">
        <w:rPr>
          <w:rFonts w:cs="Arial"/>
        </w:rPr>
        <w:t>Diuron</w:t>
      </w:r>
      <w:proofErr w:type="spellEnd"/>
      <w:r w:rsidR="00EF511D">
        <w:rPr>
          <w:rFonts w:cs="Arial"/>
        </w:rPr>
        <w:t xml:space="preserve"> is </w:t>
      </w:r>
      <w:proofErr w:type="gramStart"/>
      <w:r w:rsidR="00EF511D">
        <w:rPr>
          <w:rFonts w:cs="Arial"/>
        </w:rPr>
        <w:t>a</w:t>
      </w:r>
      <w:proofErr w:type="gramEnd"/>
      <w:r w:rsidR="00EF511D">
        <w:rPr>
          <w:rFonts w:cs="Arial"/>
        </w:rPr>
        <w:t xml:space="preserve"> herbicide and soil steriliser</w:t>
      </w:r>
      <w:r w:rsidRPr="006B0E84">
        <w:rPr>
          <w:rFonts w:cs="Arial"/>
        </w:rPr>
        <w:t xml:space="preserve"> that inhibits photosynthesis. </w:t>
      </w:r>
    </w:p>
    <w:p w14:paraId="24F0B5D8" w14:textId="25E49443" w:rsidR="00C65D1D" w:rsidRPr="006B0E84" w:rsidRDefault="00575D27" w:rsidP="006639B4">
      <w:pPr>
        <w:rPr>
          <w:rFonts w:cs="Arial"/>
        </w:rPr>
      </w:pPr>
      <w:r w:rsidRPr="006B0E84">
        <w:rPr>
          <w:rFonts w:cs="Arial"/>
        </w:rPr>
        <w:t xml:space="preserve">Critical effects </w:t>
      </w:r>
      <w:r w:rsidR="000C0C22" w:rsidRPr="006B0E84">
        <w:rPr>
          <w:rFonts w:cs="Arial"/>
        </w:rPr>
        <w:t xml:space="preserve">reported in worker studies </w:t>
      </w:r>
      <w:r w:rsidRPr="006B0E84">
        <w:rPr>
          <w:rFonts w:cs="Arial"/>
        </w:rPr>
        <w:t xml:space="preserve">are irritation </w:t>
      </w:r>
      <w:r w:rsidR="000C0C22" w:rsidRPr="006B0E84">
        <w:rPr>
          <w:rFonts w:cs="Arial"/>
        </w:rPr>
        <w:t>of</w:t>
      </w:r>
      <w:r w:rsidRPr="006B0E84">
        <w:rPr>
          <w:rFonts w:cs="Arial"/>
        </w:rPr>
        <w:t xml:space="preserve"> the eyes, skin, and upper respiratory tract</w:t>
      </w:r>
      <w:r w:rsidR="000C0C22" w:rsidRPr="006B0E84">
        <w:rPr>
          <w:rFonts w:cs="Arial"/>
        </w:rPr>
        <w:t>.</w:t>
      </w:r>
      <w:r w:rsidRPr="006B0E84">
        <w:rPr>
          <w:rFonts w:cs="Arial"/>
        </w:rPr>
        <w:t xml:space="preserve"> </w:t>
      </w:r>
      <w:r w:rsidR="000C0C22" w:rsidRPr="006B0E84">
        <w:rPr>
          <w:rFonts w:cs="Arial"/>
        </w:rPr>
        <w:t xml:space="preserve">Chronic feeding studies report effects including </w:t>
      </w:r>
      <w:proofErr w:type="spellStart"/>
      <w:r w:rsidR="0017206C" w:rsidRPr="006B0E84">
        <w:rPr>
          <w:rFonts w:cs="Arial"/>
        </w:rPr>
        <w:t>haemopoietic</w:t>
      </w:r>
      <w:proofErr w:type="spellEnd"/>
      <w:r w:rsidR="0017206C" w:rsidRPr="006B0E84">
        <w:rPr>
          <w:rFonts w:cs="Arial"/>
        </w:rPr>
        <w:t xml:space="preserve"> </w:t>
      </w:r>
      <w:r w:rsidR="000C0C22" w:rsidRPr="006B0E84">
        <w:rPr>
          <w:rFonts w:cs="Arial"/>
        </w:rPr>
        <w:t xml:space="preserve">(blood cell) </w:t>
      </w:r>
      <w:r w:rsidR="0017206C" w:rsidRPr="006B0E84">
        <w:rPr>
          <w:rFonts w:cs="Arial"/>
        </w:rPr>
        <w:t xml:space="preserve">disturbances and renal or urinary carcinogenicity </w:t>
      </w:r>
      <w:r w:rsidRPr="006B0E84">
        <w:rPr>
          <w:rFonts w:cs="Arial"/>
        </w:rPr>
        <w:t xml:space="preserve">(ACGIH, 2018; </w:t>
      </w:r>
      <w:r w:rsidR="0017206C" w:rsidRPr="006B0E84">
        <w:rPr>
          <w:rFonts w:cs="Arial"/>
        </w:rPr>
        <w:t xml:space="preserve">ECHA, 2019; US EPA 1988). </w:t>
      </w:r>
    </w:p>
    <w:p w14:paraId="1F868935" w14:textId="669E5B96" w:rsidR="006639B4" w:rsidRPr="006B0E84" w:rsidRDefault="009A72DB" w:rsidP="006639B4">
      <w:pPr>
        <w:rPr>
          <w:rFonts w:cs="Arial"/>
        </w:rPr>
      </w:pPr>
      <w:r w:rsidRPr="006B0E84">
        <w:rPr>
          <w:rFonts w:cs="Arial"/>
        </w:rPr>
        <w:t xml:space="preserve">The recent evaluation by the ECHA (2019) has closed data gaps evident in the assessment by the ACGIH (2018). </w:t>
      </w:r>
      <w:r w:rsidR="00FD07B1">
        <w:rPr>
          <w:rFonts w:cs="Arial"/>
        </w:rPr>
        <w:t xml:space="preserve">The </w:t>
      </w:r>
      <w:r w:rsidR="00FD07B1" w:rsidRPr="006B0E84">
        <w:rPr>
          <w:rFonts w:cs="Arial"/>
        </w:rPr>
        <w:t xml:space="preserve">NOAEC </w:t>
      </w:r>
      <w:r w:rsidR="00FD07B1">
        <w:rPr>
          <w:rFonts w:cs="Arial"/>
        </w:rPr>
        <w:t xml:space="preserve">for </w:t>
      </w:r>
      <w:proofErr w:type="spellStart"/>
      <w:r w:rsidR="00FD07B1">
        <w:rPr>
          <w:rFonts w:cs="Arial"/>
        </w:rPr>
        <w:t>h</w:t>
      </w:r>
      <w:r w:rsidR="00FD07B1" w:rsidRPr="006B0E84">
        <w:rPr>
          <w:rFonts w:cs="Arial"/>
        </w:rPr>
        <w:t>aemopoietic</w:t>
      </w:r>
      <w:proofErr w:type="spellEnd"/>
      <w:r>
        <w:rPr>
          <w:rFonts w:cs="Arial"/>
        </w:rPr>
        <w:t xml:space="preserve"> effects</w:t>
      </w:r>
      <w:r w:rsidR="00FD07B1" w:rsidRPr="006B0E84">
        <w:rPr>
          <w:rFonts w:cs="Arial"/>
        </w:rPr>
        <w:t xml:space="preserve"> </w:t>
      </w:r>
      <w:r w:rsidR="00FD07B1">
        <w:rPr>
          <w:rFonts w:cs="Arial"/>
        </w:rPr>
        <w:t>in females and males in</w:t>
      </w:r>
      <w:r w:rsidR="00FD07B1" w:rsidRPr="006B0E84">
        <w:rPr>
          <w:rFonts w:cs="Arial"/>
        </w:rPr>
        <w:t xml:space="preserve"> a sub-chronic inhalation study in </w:t>
      </w:r>
      <w:r w:rsidR="00FD07B1">
        <w:rPr>
          <w:rFonts w:cs="Arial"/>
        </w:rPr>
        <w:t>rats</w:t>
      </w:r>
      <w:r w:rsidR="000C0C22" w:rsidRPr="006B0E84">
        <w:rPr>
          <w:rFonts w:cs="Arial"/>
        </w:rPr>
        <w:t xml:space="preserve"> were 4.7</w:t>
      </w:r>
      <w:r w:rsidR="00FD07B1">
        <w:rPr>
          <w:rFonts w:cs="Arial"/>
        </w:rPr>
        <w:t xml:space="preserve"> and </w:t>
      </w:r>
      <w:r w:rsidR="000C0C22" w:rsidRPr="006B0E84">
        <w:rPr>
          <w:rFonts w:cs="Arial"/>
        </w:rPr>
        <w:t>37.4 mg/m</w:t>
      </w:r>
      <w:r w:rsidR="000C0C22" w:rsidRPr="006B0E84">
        <w:rPr>
          <w:rFonts w:cs="Arial"/>
          <w:vertAlign w:val="superscript"/>
        </w:rPr>
        <w:t>3</w:t>
      </w:r>
      <w:r w:rsidR="00FD07B1">
        <w:rPr>
          <w:rFonts w:cs="Arial"/>
        </w:rPr>
        <w:t>,</w:t>
      </w:r>
      <w:r w:rsidR="000C0C22" w:rsidRPr="006B0E84">
        <w:rPr>
          <w:rFonts w:cs="Arial"/>
        </w:rPr>
        <w:t xml:space="preserve"> </w:t>
      </w:r>
      <w:r w:rsidR="00FD07B1">
        <w:rPr>
          <w:rFonts w:cs="Arial"/>
        </w:rPr>
        <w:t>respectively</w:t>
      </w:r>
      <w:r w:rsidR="008D0877">
        <w:rPr>
          <w:rFonts w:cs="Arial"/>
        </w:rPr>
        <w:t>;</w:t>
      </w:r>
      <w:r w:rsidR="00FD07B1">
        <w:rPr>
          <w:rFonts w:cs="Arial"/>
        </w:rPr>
        <w:t xml:space="preserve"> </w:t>
      </w:r>
      <w:r>
        <w:rPr>
          <w:rFonts w:cs="Arial"/>
        </w:rPr>
        <w:t xml:space="preserve">about </w:t>
      </w:r>
      <w:r w:rsidR="006E2B28">
        <w:rPr>
          <w:rFonts w:cs="Arial"/>
        </w:rPr>
        <w:t>eight</w:t>
      </w:r>
      <w:r>
        <w:rPr>
          <w:rFonts w:cs="Arial"/>
        </w:rPr>
        <w:t xml:space="preserve"> times lower than the LOA</w:t>
      </w:r>
      <w:r w:rsidR="008D0877">
        <w:rPr>
          <w:rFonts w:cs="Arial"/>
        </w:rPr>
        <w:t>E</w:t>
      </w:r>
      <w:r>
        <w:rPr>
          <w:rFonts w:cs="Arial"/>
        </w:rPr>
        <w:t xml:space="preserve">C </w:t>
      </w:r>
      <w:r w:rsidR="000C0C22" w:rsidRPr="006B0E84">
        <w:rPr>
          <w:rFonts w:cs="Arial"/>
        </w:rPr>
        <w:t>(ECHA,</w:t>
      </w:r>
      <w:r w:rsidR="00CC4BDA">
        <w:rPr>
          <w:rFonts w:cs="Arial"/>
        </w:rPr>
        <w:t> </w:t>
      </w:r>
      <w:r w:rsidR="000C0C22" w:rsidRPr="006B0E84">
        <w:rPr>
          <w:rFonts w:cs="Arial"/>
        </w:rPr>
        <w:t xml:space="preserve">2019). </w:t>
      </w:r>
      <w:r w:rsidR="00C65D1D" w:rsidRPr="006B0E84">
        <w:rPr>
          <w:rFonts w:cs="Arial"/>
        </w:rPr>
        <w:t>Principally, c</w:t>
      </w:r>
      <w:r w:rsidR="0017206C" w:rsidRPr="006B0E84">
        <w:rPr>
          <w:rFonts w:cs="Arial"/>
        </w:rPr>
        <w:t>hronic anima</w:t>
      </w:r>
      <w:r w:rsidR="00C65D1D" w:rsidRPr="006B0E84">
        <w:rPr>
          <w:rFonts w:cs="Arial"/>
        </w:rPr>
        <w:t xml:space="preserve">l feeding studies indicate potential for renal </w:t>
      </w:r>
      <w:r w:rsidR="00FC30B5" w:rsidRPr="006B0E84">
        <w:rPr>
          <w:rFonts w:cs="Arial"/>
        </w:rPr>
        <w:t xml:space="preserve">and urinary </w:t>
      </w:r>
      <w:r w:rsidR="00C65D1D" w:rsidRPr="006B0E84">
        <w:rPr>
          <w:rFonts w:cs="Arial"/>
        </w:rPr>
        <w:t>epithelia</w:t>
      </w:r>
      <w:r w:rsidR="00A57DFA" w:rsidRPr="006B0E84">
        <w:rPr>
          <w:rFonts w:cs="Arial"/>
        </w:rPr>
        <w:t>l</w:t>
      </w:r>
      <w:r w:rsidR="00C65D1D" w:rsidRPr="006B0E84">
        <w:rPr>
          <w:rFonts w:cs="Arial"/>
        </w:rPr>
        <w:t xml:space="preserve"> </w:t>
      </w:r>
      <w:r w:rsidR="0025600C">
        <w:rPr>
          <w:rFonts w:cs="Arial"/>
        </w:rPr>
        <w:t>tumours</w:t>
      </w:r>
      <w:r w:rsidR="00A57DFA" w:rsidRPr="006B0E84">
        <w:rPr>
          <w:rFonts w:cs="Arial"/>
        </w:rPr>
        <w:t xml:space="preserve"> </w:t>
      </w:r>
      <w:r w:rsidR="00E50645">
        <w:rPr>
          <w:rFonts w:cs="Arial"/>
        </w:rPr>
        <w:t xml:space="preserve">at the </w:t>
      </w:r>
      <w:r w:rsidR="008D0877">
        <w:rPr>
          <w:rFonts w:cs="Arial"/>
        </w:rPr>
        <w:t>maximum tolerated dose (</w:t>
      </w:r>
      <w:r w:rsidR="00E50645">
        <w:rPr>
          <w:rFonts w:cs="Arial"/>
        </w:rPr>
        <w:t>MTD</w:t>
      </w:r>
      <w:r w:rsidR="008D0877">
        <w:rPr>
          <w:rFonts w:cs="Arial"/>
        </w:rPr>
        <w:t>)</w:t>
      </w:r>
      <w:r w:rsidR="00E50645">
        <w:rPr>
          <w:rFonts w:cs="Arial"/>
        </w:rPr>
        <w:t xml:space="preserve"> </w:t>
      </w:r>
      <w:r w:rsidR="00C65D1D" w:rsidRPr="006B0E84">
        <w:rPr>
          <w:rFonts w:cs="Arial"/>
        </w:rPr>
        <w:t>with a NOAEL of 1 mg/kg</w:t>
      </w:r>
      <w:r w:rsidR="000C0C22" w:rsidRPr="006B0E84">
        <w:rPr>
          <w:rFonts w:cs="Arial"/>
        </w:rPr>
        <w:t>/day</w:t>
      </w:r>
      <w:r w:rsidR="00C65D1D" w:rsidRPr="006B0E84">
        <w:rPr>
          <w:rFonts w:cs="Arial"/>
        </w:rPr>
        <w:t xml:space="preserve"> and </w:t>
      </w:r>
      <w:r w:rsidR="0025600C">
        <w:rPr>
          <w:rFonts w:cs="Arial"/>
        </w:rPr>
        <w:t>a</w:t>
      </w:r>
      <w:r w:rsidR="00C65D1D" w:rsidRPr="006B0E84">
        <w:rPr>
          <w:rFonts w:cs="Arial"/>
        </w:rPr>
        <w:t xml:space="preserve"> </w:t>
      </w:r>
      <w:r w:rsidR="00FC30B5" w:rsidRPr="006B0E84">
        <w:rPr>
          <w:rFonts w:cs="Arial"/>
        </w:rPr>
        <w:t>LOAEL of 10 </w:t>
      </w:r>
      <w:r w:rsidR="00C65D1D" w:rsidRPr="006B0E84">
        <w:rPr>
          <w:rFonts w:cs="Arial"/>
        </w:rPr>
        <w:t>mg/kg</w:t>
      </w:r>
      <w:r w:rsidR="000C0C22" w:rsidRPr="006B0E84">
        <w:rPr>
          <w:rFonts w:cs="Arial"/>
        </w:rPr>
        <w:t>/day</w:t>
      </w:r>
      <w:r w:rsidR="00C65D1D" w:rsidRPr="006B0E84">
        <w:rPr>
          <w:rFonts w:cs="Arial"/>
        </w:rPr>
        <w:t xml:space="preserve"> in rats. </w:t>
      </w:r>
      <w:r w:rsidR="0025600C" w:rsidRPr="004A6A38">
        <w:rPr>
          <w:rStyle w:val="checkbox"/>
          <w:rFonts w:ascii="Arial" w:hAnsi="Arial" w:cs="Arial"/>
        </w:rPr>
        <w:t xml:space="preserve">No </w:t>
      </w:r>
      <w:r w:rsidR="0025600C" w:rsidRPr="00D16BCE">
        <w:rPr>
          <w:rStyle w:val="checkbox"/>
          <w:rFonts w:ascii="Arial" w:hAnsi="Arial" w:cs="Arial"/>
        </w:rPr>
        <w:t>mutagenic</w:t>
      </w:r>
      <w:r w:rsidR="0025600C">
        <w:rPr>
          <w:rStyle w:val="checkbox"/>
          <w:rFonts w:ascii="Arial" w:hAnsi="Arial" w:cs="Arial"/>
        </w:rPr>
        <w:t xml:space="preserve"> effects </w:t>
      </w:r>
      <w:r>
        <w:rPr>
          <w:rStyle w:val="checkbox"/>
          <w:rFonts w:ascii="Arial" w:hAnsi="Arial" w:cs="Arial"/>
        </w:rPr>
        <w:t>were noted</w:t>
      </w:r>
      <w:r w:rsidR="0025600C" w:rsidRPr="004A6A38">
        <w:rPr>
          <w:rStyle w:val="checkbox"/>
          <w:rFonts w:ascii="Arial" w:hAnsi="Arial" w:cs="Arial"/>
        </w:rPr>
        <w:t xml:space="preserve"> </w:t>
      </w:r>
      <w:r w:rsidR="0025600C" w:rsidRPr="004A6A38">
        <w:rPr>
          <w:rStyle w:val="checkbox"/>
          <w:rFonts w:ascii="Arial" w:hAnsi="Arial" w:cs="Arial"/>
          <w:i/>
        </w:rPr>
        <w:t>in vitro</w:t>
      </w:r>
      <w:r w:rsidR="0025600C" w:rsidRPr="004A6A38">
        <w:rPr>
          <w:rStyle w:val="checkbox"/>
          <w:rFonts w:ascii="Arial" w:hAnsi="Arial" w:cs="Arial"/>
        </w:rPr>
        <w:t xml:space="preserve"> or </w:t>
      </w:r>
      <w:r w:rsidR="0025600C" w:rsidRPr="004A6A38">
        <w:rPr>
          <w:rStyle w:val="checkbox"/>
          <w:rFonts w:ascii="Arial" w:hAnsi="Arial" w:cs="Arial"/>
          <w:i/>
        </w:rPr>
        <w:t>in vivo</w:t>
      </w:r>
      <w:r w:rsidR="00C65D1D" w:rsidRPr="006B0E84">
        <w:rPr>
          <w:rFonts w:cs="Arial"/>
        </w:rPr>
        <w:t xml:space="preserve"> </w:t>
      </w:r>
      <w:r w:rsidR="0025600C">
        <w:rPr>
          <w:rFonts w:cs="Arial"/>
        </w:rPr>
        <w:t xml:space="preserve">assays </w:t>
      </w:r>
      <w:r w:rsidR="00C65D1D" w:rsidRPr="006B0E84">
        <w:rPr>
          <w:rFonts w:cs="Arial"/>
        </w:rPr>
        <w:t>(ECHA,</w:t>
      </w:r>
      <w:r w:rsidR="0025600C">
        <w:rPr>
          <w:rFonts w:cs="Arial"/>
        </w:rPr>
        <w:t> </w:t>
      </w:r>
      <w:r w:rsidR="00C65D1D" w:rsidRPr="006B0E84">
        <w:rPr>
          <w:rFonts w:cs="Arial"/>
        </w:rPr>
        <w:t>2019).</w:t>
      </w:r>
      <w:r w:rsidR="0031401F" w:rsidRPr="006B0E84">
        <w:rPr>
          <w:rFonts w:cs="Arial"/>
        </w:rPr>
        <w:t xml:space="preserve"> </w:t>
      </w:r>
    </w:p>
    <w:p w14:paraId="3C9A56FC" w14:textId="53C40931" w:rsidR="0031401F" w:rsidRPr="006B0E84" w:rsidRDefault="007A703F" w:rsidP="006639B4">
      <w:pPr>
        <w:rPr>
          <w:rFonts w:cs="Arial"/>
        </w:rPr>
      </w:pPr>
      <w:r>
        <w:rPr>
          <w:rFonts w:cs="Arial"/>
        </w:rPr>
        <w:t>The</w:t>
      </w:r>
      <w:r w:rsidR="0031401F" w:rsidRPr="006B0E84">
        <w:rPr>
          <w:rFonts w:cs="Arial"/>
        </w:rPr>
        <w:t xml:space="preserve"> TWA </w:t>
      </w:r>
      <w:r w:rsidR="00EF511D">
        <w:rPr>
          <w:rFonts w:cs="Arial"/>
        </w:rPr>
        <w:t>of 10 mg/m</w:t>
      </w:r>
      <w:r w:rsidR="00EF511D" w:rsidRPr="00EF511D">
        <w:rPr>
          <w:rFonts w:cs="Arial"/>
          <w:vertAlign w:val="superscript"/>
        </w:rPr>
        <w:t>3</w:t>
      </w:r>
      <w:r w:rsidR="00EF511D">
        <w:rPr>
          <w:rFonts w:cs="Arial"/>
        </w:rPr>
        <w:t xml:space="preserve"> </w:t>
      </w:r>
      <w:proofErr w:type="gramStart"/>
      <w:r w:rsidR="0031401F" w:rsidRPr="006B0E84">
        <w:rPr>
          <w:rFonts w:cs="Arial"/>
        </w:rPr>
        <w:t xml:space="preserve">is </w:t>
      </w:r>
      <w:r w:rsidR="00EF511D">
        <w:rPr>
          <w:rFonts w:cs="Arial"/>
        </w:rPr>
        <w:t>recommended</w:t>
      </w:r>
      <w:proofErr w:type="gramEnd"/>
      <w:r>
        <w:rPr>
          <w:rFonts w:cs="Arial"/>
        </w:rPr>
        <w:t xml:space="preserve"> in the interim </w:t>
      </w:r>
      <w:r w:rsidR="000C0C22" w:rsidRPr="006B0E84">
        <w:rPr>
          <w:rFonts w:cs="Arial"/>
        </w:rPr>
        <w:t>and</w:t>
      </w:r>
      <w:r w:rsidR="0031401F" w:rsidRPr="006B0E84">
        <w:rPr>
          <w:rFonts w:cs="Arial"/>
        </w:rPr>
        <w:t xml:space="preserve"> </w:t>
      </w:r>
      <w:r w:rsidR="00FC30B5" w:rsidRPr="006B0E84">
        <w:rPr>
          <w:rFonts w:cs="Arial"/>
        </w:rPr>
        <w:t xml:space="preserve">an assessment </w:t>
      </w:r>
      <w:r w:rsidR="00EF511D">
        <w:rPr>
          <w:rFonts w:cs="Arial"/>
        </w:rPr>
        <w:t>of additional sources</w:t>
      </w:r>
      <w:r w:rsidR="0031401F" w:rsidRPr="006B0E84">
        <w:rPr>
          <w:rFonts w:cs="Arial"/>
        </w:rPr>
        <w:t xml:space="preserve"> </w:t>
      </w:r>
      <w:r w:rsidR="00EF511D">
        <w:rPr>
          <w:rFonts w:cs="Arial"/>
        </w:rPr>
        <w:t>is recommended as a priority.</w:t>
      </w:r>
    </w:p>
    <w:p w14:paraId="074A8216" w14:textId="77777777" w:rsidR="004529F0" w:rsidRPr="006B0E84" w:rsidRDefault="004529F0" w:rsidP="004529F0">
      <w:pPr>
        <w:pStyle w:val="Heading2"/>
      </w:pPr>
      <w:r w:rsidRPr="006B0E84">
        <w:lastRenderedPageBreak/>
        <w:t>Recommendation for notations</w:t>
      </w:r>
    </w:p>
    <w:p w14:paraId="5A7F5831" w14:textId="4C0E9434" w:rsidR="00C65D1D" w:rsidRPr="006B0E84" w:rsidRDefault="00C65D1D" w:rsidP="001D3D1E">
      <w:pPr>
        <w:rPr>
          <w:rFonts w:cs="Arial"/>
        </w:rPr>
      </w:pPr>
      <w:r w:rsidRPr="006B0E84">
        <w:rPr>
          <w:rFonts w:cs="Arial"/>
        </w:rPr>
        <w:t xml:space="preserve">Classified as a category 2 carcinogen according to the Globally Harmonized System of Classification and Labelling of Chemicals (GHS). </w:t>
      </w:r>
    </w:p>
    <w:p w14:paraId="3ABAFFAF" w14:textId="497E9976" w:rsidR="001D3D1E" w:rsidRPr="006B0E84" w:rsidRDefault="001D3D1E" w:rsidP="001D3D1E">
      <w:pPr>
        <w:rPr>
          <w:rFonts w:cs="Arial"/>
        </w:rPr>
      </w:pPr>
      <w:r w:rsidRPr="006B0E84">
        <w:rPr>
          <w:rFonts w:cs="Arial"/>
        </w:rPr>
        <w:t xml:space="preserve">Not classified as a skin </w:t>
      </w:r>
      <w:r w:rsidR="00C07837" w:rsidRPr="006B0E84">
        <w:rPr>
          <w:rFonts w:cs="Arial"/>
        </w:rPr>
        <w:t xml:space="preserve">sensitiser </w:t>
      </w:r>
      <w:r w:rsidRPr="006B0E84">
        <w:rPr>
          <w:rFonts w:cs="Arial"/>
        </w:rPr>
        <w:t>or respiratory sensitiser according to the GHS.</w:t>
      </w:r>
    </w:p>
    <w:p w14:paraId="21FFC754" w14:textId="0707D2AD" w:rsidR="005E6979" w:rsidRPr="006B0E84" w:rsidRDefault="00C65D1D">
      <w:pPr>
        <w:rPr>
          <w:rFonts w:cs="Arial"/>
        </w:rPr>
        <w:sectPr w:rsidR="005E6979" w:rsidRPr="006B0E84" w:rsidSect="00B479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  <w:r w:rsidRPr="006B0E84">
        <w:rPr>
          <w:rFonts w:cs="Arial"/>
        </w:rPr>
        <w:t xml:space="preserve">A skin notation </w:t>
      </w:r>
      <w:proofErr w:type="gramStart"/>
      <w:r w:rsidRPr="006B0E84">
        <w:rPr>
          <w:rFonts w:cs="Arial"/>
        </w:rPr>
        <w:t xml:space="preserve">is not </w:t>
      </w:r>
      <w:r w:rsidR="008D0877">
        <w:rPr>
          <w:rFonts w:cs="Arial"/>
        </w:rPr>
        <w:t>recommend</w:t>
      </w:r>
      <w:r w:rsidRPr="006B0E84">
        <w:rPr>
          <w:rFonts w:cs="Arial"/>
        </w:rPr>
        <w:t>ed</w:t>
      </w:r>
      <w:proofErr w:type="gramEnd"/>
      <w:r w:rsidRPr="006B0E84">
        <w:rPr>
          <w:rFonts w:cs="Arial"/>
        </w:rPr>
        <w:t xml:space="preserve"> based on the available evidence.</w:t>
      </w:r>
    </w:p>
    <w:p w14:paraId="6C8E937E" w14:textId="77777777" w:rsidR="0034744C" w:rsidRPr="006B0E84" w:rsidRDefault="005E6979" w:rsidP="005E6979">
      <w:pPr>
        <w:pStyle w:val="Heading1"/>
        <w:rPr>
          <w:rFonts w:ascii="Arial" w:hAnsi="Arial" w:cs="Arial"/>
        </w:rPr>
      </w:pPr>
      <w:r w:rsidRPr="006B0E84">
        <w:rPr>
          <w:rFonts w:ascii="Arial" w:hAnsi="Arial" w:cs="Arial"/>
        </w:rPr>
        <w:lastRenderedPageBreak/>
        <w:t>Appendix</w:t>
      </w:r>
    </w:p>
    <w:p w14:paraId="34BD2888" w14:textId="77777777" w:rsidR="008D026D" w:rsidRPr="006B0E84" w:rsidRDefault="00B479A9" w:rsidP="003365A5">
      <w:pPr>
        <w:pStyle w:val="Heading3"/>
      </w:pPr>
      <w:r w:rsidRPr="006B0E84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6B0E84" w14:paraId="4CC6103F" w14:textId="77777777" w:rsidTr="00DE26E8">
        <w:trPr>
          <w:gridAfter w:val="1"/>
          <w:wAfter w:w="8" w:type="pct"/>
          <w:cantSplit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57C8C8A4" w14:textId="77777777" w:rsidR="00C978F0" w:rsidRPr="006B0E84" w:rsidRDefault="00C978F0" w:rsidP="00C67FFB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  <w:rPr>
                <w:rFonts w:cs="Arial"/>
              </w:rPr>
            </w:pPr>
            <w:r w:rsidRPr="006B0E84">
              <w:rPr>
                <w:rFonts w:cs="Arial"/>
              </w:rPr>
              <w:t>Source</w:t>
            </w:r>
            <w:r w:rsidR="00DA352E" w:rsidRPr="006B0E84">
              <w:rPr>
                <w:rFonts w:cs="Arial"/>
              </w:rPr>
              <w:tab/>
              <w:t>Year set</w:t>
            </w:r>
            <w:r w:rsidR="00DA352E" w:rsidRPr="006B0E84">
              <w:rPr>
                <w:rFonts w:cs="Arial"/>
              </w:rPr>
              <w:tab/>
              <w:t>Standard</w:t>
            </w:r>
            <w:r w:rsidR="00974F2D" w:rsidRPr="006B0E84">
              <w:rPr>
                <w:rFonts w:cs="Arial"/>
              </w:rPr>
              <w:tab/>
            </w:r>
          </w:p>
        </w:tc>
      </w:tr>
      <w:tr w:rsidR="00DE26E8" w:rsidRPr="006B0E84" w14:paraId="3405D26E" w14:textId="77777777" w:rsidTr="00DE26E8">
        <w:trPr>
          <w:cantSplit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656A2477" w14:textId="5EEC081F" w:rsidR="00DE26E8" w:rsidRPr="006B0E84" w:rsidRDefault="00DE26E8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  <w:rPr>
                <w:rFonts w:cs="Arial"/>
              </w:rPr>
            </w:pPr>
            <w:r w:rsidRPr="006B0E84">
              <w:rPr>
                <w:rFonts w:cs="Arial"/>
              </w:rPr>
              <w:t>SWA</w:t>
            </w:r>
            <w:r w:rsidRPr="006B0E8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2034099983"/>
                <w:placeholder>
                  <w:docPart w:val="0A35AF4547E94E219E26BC12DBC33282"/>
                </w:placeholder>
                <w:text/>
              </w:sdtPr>
              <w:sdtEndPr/>
              <w:sdtContent>
                <w:r w:rsidR="003344BC" w:rsidRPr="006B0E84">
                  <w:rPr>
                    <w:rFonts w:cs="Arial"/>
                  </w:rPr>
                  <w:t>1991</w:t>
                </w:r>
              </w:sdtContent>
            </w:sdt>
            <w:r w:rsidRPr="006B0E84">
              <w:rPr>
                <w:rFonts w:cs="Arial"/>
              </w:rPr>
              <w:tab/>
            </w:r>
            <w:r w:rsidRPr="006B0E8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SWA WES"/>
                <w:tag w:val="SWA WES"/>
                <w:id w:val="857077202"/>
                <w:placeholder>
                  <w:docPart w:val="81CFEC2FDBC5451289F394E66D92D1A0"/>
                </w:placeholder>
              </w:sdtPr>
              <w:sdtEndPr/>
              <w:sdtContent>
                <w:r w:rsidR="003344BC" w:rsidRPr="006B0E84">
                  <w:rPr>
                    <w:rFonts w:cs="Arial"/>
                  </w:rPr>
                  <w:t>TWA: 10 mg/m</w:t>
                </w:r>
                <w:r w:rsidR="003344BC" w:rsidRPr="006B0E84">
                  <w:rPr>
                    <w:rFonts w:cs="Arial"/>
                    <w:vertAlign w:val="superscript"/>
                  </w:rPr>
                  <w:t>3</w:t>
                </w:r>
              </w:sdtContent>
            </w:sdt>
          </w:p>
        </w:tc>
      </w:tr>
      <w:tr w:rsidR="00C978F0" w:rsidRPr="006B0E84" w14:paraId="222FCB98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5E66A0B3" w14:textId="77777777" w:rsidR="00C978F0" w:rsidRPr="006B0E84" w:rsidRDefault="00C978F0" w:rsidP="003365A5">
            <w:pPr>
              <w:pStyle w:val="Tabletextprimarysource"/>
              <w:rPr>
                <w:rFonts w:cs="Arial"/>
              </w:rPr>
            </w:pPr>
          </w:p>
        </w:tc>
      </w:tr>
      <w:tr w:rsidR="00C978F0" w:rsidRPr="006B0E84" w14:paraId="54914509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1EA25485" w14:textId="7843EA62" w:rsidR="00C978F0" w:rsidRPr="006B0E84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  <w:rPr>
                <w:rFonts w:cs="Arial"/>
              </w:rPr>
            </w:pPr>
            <w:r w:rsidRPr="006B0E84">
              <w:rPr>
                <w:rFonts w:cs="Arial"/>
              </w:rPr>
              <w:t>ACGIH</w:t>
            </w:r>
            <w:r w:rsidR="00916EC0" w:rsidRPr="006B0E84">
              <w:rPr>
                <w:rFonts w:cs="Arial"/>
              </w:rPr>
              <w:t xml:space="preserve"> </w:t>
            </w:r>
            <w:r w:rsidR="00916EC0" w:rsidRPr="006B0E8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444816450"/>
                <w:placeholder>
                  <w:docPart w:val="C8FBF9621EB94FE084F687C8955AF85F"/>
                </w:placeholder>
                <w:text/>
              </w:sdtPr>
              <w:sdtEndPr/>
              <w:sdtContent>
                <w:r w:rsidR="003344BC" w:rsidRPr="006B0E84">
                  <w:rPr>
                    <w:rFonts w:cs="Arial"/>
                  </w:rPr>
                  <w:t>2001</w:t>
                </w:r>
              </w:sdtContent>
            </w:sdt>
            <w:r w:rsidR="00916EC0" w:rsidRPr="006B0E84">
              <w:rPr>
                <w:rFonts w:cs="Arial"/>
              </w:rPr>
              <w:tab/>
            </w:r>
            <w:r w:rsidR="0051509C" w:rsidRPr="006B0E8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ACGIH WES equivalent"/>
                <w:tag w:val="ACGIH WES equivalent"/>
                <w:id w:val="-1676410403"/>
                <w:placeholder>
                  <w:docPart w:val="522022AAE76B4622AC0DF750489702EB"/>
                </w:placeholder>
              </w:sdtPr>
              <w:sdtEndPr/>
              <w:sdtContent>
                <w:r w:rsidR="003344BC" w:rsidRPr="006B0E84">
                  <w:rPr>
                    <w:rFonts w:cs="Arial"/>
                  </w:rPr>
                  <w:t>TLV-TWA: 10 mg/m</w:t>
                </w:r>
                <w:r w:rsidR="003344BC" w:rsidRPr="006B0E84">
                  <w:rPr>
                    <w:rFonts w:cs="Arial"/>
                    <w:vertAlign w:val="superscript"/>
                  </w:rPr>
                  <w:t>3</w:t>
                </w:r>
              </w:sdtContent>
            </w:sdt>
          </w:p>
        </w:tc>
      </w:tr>
      <w:tr w:rsidR="00C978F0" w:rsidRPr="006B0E84" w14:paraId="2ED994AB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14E5BBE3" w14:textId="21E13B1F" w:rsidR="00C978F0" w:rsidRPr="006B0E84" w:rsidRDefault="008E11EE" w:rsidP="003365A5">
            <w:pPr>
              <w:pStyle w:val="Tabletextprimarysource"/>
              <w:rPr>
                <w:rFonts w:cs="Arial"/>
              </w:rPr>
            </w:pPr>
            <w:r w:rsidRPr="006B0E84">
              <w:rPr>
                <w:rFonts w:cs="Arial"/>
              </w:rPr>
              <w:t xml:space="preserve">TLV-TWA intended to minimise potential for irritation to skin, eyes and upper respiratory tract, and, at higher concentrations, possible haematological effects observed in animals. </w:t>
            </w:r>
          </w:p>
          <w:p w14:paraId="6471A2A9" w14:textId="77777777" w:rsidR="008E11EE" w:rsidRPr="006B0E84" w:rsidRDefault="008E11EE" w:rsidP="003365A5">
            <w:pPr>
              <w:pStyle w:val="Tabletextprimarysource"/>
              <w:rPr>
                <w:rFonts w:cs="Arial"/>
              </w:rPr>
            </w:pPr>
            <w:r w:rsidRPr="006B0E84">
              <w:rPr>
                <w:rFonts w:cs="Arial"/>
              </w:rPr>
              <w:t>Summary of data:</w:t>
            </w:r>
          </w:p>
          <w:p w14:paraId="03D56A3C" w14:textId="77777777" w:rsidR="008E11EE" w:rsidRPr="006B0E84" w:rsidRDefault="008E11EE" w:rsidP="003365A5">
            <w:pPr>
              <w:pStyle w:val="Tabletextprimarysource"/>
              <w:rPr>
                <w:rFonts w:cs="Arial"/>
              </w:rPr>
            </w:pPr>
            <w:r w:rsidRPr="006B0E84">
              <w:rPr>
                <w:rFonts w:cs="Arial"/>
              </w:rPr>
              <w:t xml:space="preserve">TLV-TWA </w:t>
            </w:r>
            <w:proofErr w:type="gramStart"/>
            <w:r w:rsidRPr="006B0E84">
              <w:rPr>
                <w:rFonts w:cs="Arial"/>
              </w:rPr>
              <w:t>is based</w:t>
            </w:r>
            <w:proofErr w:type="gramEnd"/>
            <w:r w:rsidRPr="006B0E84">
              <w:rPr>
                <w:rFonts w:cs="Arial"/>
              </w:rPr>
              <w:t xml:space="preserve"> on weight of evidence of low relative toxicity observed in animals and lack of reported adverse effects from occupational exposures since 1954.</w:t>
            </w:r>
          </w:p>
          <w:p w14:paraId="4AE71EA6" w14:textId="5E877200" w:rsidR="008E11EE" w:rsidRPr="006B0E84" w:rsidRDefault="008E11EE" w:rsidP="003365A5">
            <w:pPr>
              <w:pStyle w:val="Tabletextprimarysource"/>
              <w:rPr>
                <w:rFonts w:cs="Arial"/>
              </w:rPr>
            </w:pPr>
            <w:r w:rsidRPr="006B0E84">
              <w:rPr>
                <w:rFonts w:cs="Arial"/>
              </w:rPr>
              <w:t>Human data:</w:t>
            </w:r>
          </w:p>
          <w:p w14:paraId="0D2D49B0" w14:textId="5CF9FB91" w:rsidR="00DF5582" w:rsidRPr="006B0E84" w:rsidRDefault="00604692" w:rsidP="00DF5582">
            <w:pPr>
              <w:pStyle w:val="Tabletextprimarysource"/>
              <w:numPr>
                <w:ilvl w:val="0"/>
                <w:numId w:val="2"/>
              </w:numPr>
              <w:rPr>
                <w:rFonts w:cs="Arial"/>
              </w:rPr>
            </w:pPr>
            <w:r w:rsidRPr="006B0E84">
              <w:rPr>
                <w:rFonts w:cs="Arial"/>
              </w:rPr>
              <w:t>No significant difficulty reported in use of the substance; irritation to skin eyes and nose may occur (no further information provided)</w:t>
            </w:r>
          </w:p>
          <w:p w14:paraId="77DAD512" w14:textId="77777777" w:rsidR="008E11EE" w:rsidRPr="006B0E84" w:rsidRDefault="008E11EE" w:rsidP="003365A5">
            <w:pPr>
              <w:pStyle w:val="Tabletextprimarysource"/>
              <w:rPr>
                <w:rFonts w:cs="Arial"/>
              </w:rPr>
            </w:pPr>
            <w:r w:rsidRPr="006B0E84">
              <w:rPr>
                <w:rFonts w:cs="Arial"/>
              </w:rPr>
              <w:t>Animal data:</w:t>
            </w:r>
          </w:p>
          <w:p w14:paraId="05148279" w14:textId="40EB6D2A" w:rsidR="008E11EE" w:rsidRPr="006B0E84" w:rsidRDefault="008E11EE" w:rsidP="008E11EE">
            <w:pPr>
              <w:pStyle w:val="Tabletextprimarysource"/>
              <w:numPr>
                <w:ilvl w:val="0"/>
                <w:numId w:val="1"/>
              </w:numPr>
              <w:rPr>
                <w:rFonts w:cs="Arial"/>
              </w:rPr>
            </w:pPr>
            <w:r w:rsidRPr="006B0E84">
              <w:rPr>
                <w:rFonts w:cs="Arial"/>
              </w:rPr>
              <w:t>LD</w:t>
            </w:r>
            <w:r w:rsidRPr="006B0E84">
              <w:rPr>
                <w:rFonts w:cs="Arial"/>
                <w:vertAlign w:val="subscript"/>
              </w:rPr>
              <w:t>50</w:t>
            </w:r>
            <w:r w:rsidRPr="006B0E84">
              <w:rPr>
                <w:rFonts w:cs="Arial"/>
              </w:rPr>
              <w:t>: 3,400 mg/kg (male rats</w:t>
            </w:r>
            <w:r w:rsidR="00C07837" w:rsidRPr="006B0E84">
              <w:rPr>
                <w:rFonts w:cs="Arial"/>
              </w:rPr>
              <w:t>, oral</w:t>
            </w:r>
            <w:r w:rsidRPr="006B0E84">
              <w:rPr>
                <w:rFonts w:cs="Arial"/>
              </w:rPr>
              <w:t>)</w:t>
            </w:r>
          </w:p>
          <w:p w14:paraId="38769ED8" w14:textId="4764B0A6" w:rsidR="008E11EE" w:rsidRPr="006B0E84" w:rsidRDefault="008E11EE" w:rsidP="008E11EE">
            <w:pPr>
              <w:pStyle w:val="Tabletextprimarysource"/>
              <w:numPr>
                <w:ilvl w:val="0"/>
                <w:numId w:val="1"/>
              </w:numPr>
              <w:rPr>
                <w:rFonts w:cs="Arial"/>
              </w:rPr>
            </w:pPr>
            <w:r w:rsidRPr="006B0E84">
              <w:rPr>
                <w:rFonts w:cs="Arial"/>
              </w:rPr>
              <w:t xml:space="preserve">Negative dermal irritation </w:t>
            </w:r>
            <w:r w:rsidR="008D0877">
              <w:rPr>
                <w:rFonts w:cs="Arial"/>
              </w:rPr>
              <w:t>and</w:t>
            </w:r>
            <w:r w:rsidRPr="006B0E84">
              <w:rPr>
                <w:rFonts w:cs="Arial"/>
              </w:rPr>
              <w:t xml:space="preserve"> sensitisation (guinea pigs, no further information provided)</w:t>
            </w:r>
          </w:p>
          <w:p w14:paraId="6D429BBE" w14:textId="456C9E99" w:rsidR="0019460E" w:rsidRPr="006B0E84" w:rsidRDefault="008E11EE" w:rsidP="0019460E">
            <w:pPr>
              <w:pStyle w:val="Tabletextprimarysource"/>
              <w:numPr>
                <w:ilvl w:val="0"/>
                <w:numId w:val="1"/>
              </w:numPr>
              <w:rPr>
                <w:rFonts w:cs="Arial"/>
              </w:rPr>
            </w:pPr>
            <w:r w:rsidRPr="006B0E84">
              <w:rPr>
                <w:rFonts w:cs="Arial"/>
              </w:rPr>
              <w:t xml:space="preserve">Chronic </w:t>
            </w:r>
            <w:r w:rsidR="006B443B">
              <w:rPr>
                <w:rFonts w:cs="Arial"/>
              </w:rPr>
              <w:t>2</w:t>
            </w:r>
            <w:r w:rsidR="008D0877">
              <w:rPr>
                <w:rFonts w:cs="Arial"/>
              </w:rPr>
              <w:t xml:space="preserve"> </w:t>
            </w:r>
            <w:proofErr w:type="spellStart"/>
            <w:r w:rsidR="006B443B">
              <w:rPr>
                <w:rFonts w:cs="Arial"/>
              </w:rPr>
              <w:t>yr</w:t>
            </w:r>
            <w:proofErr w:type="spellEnd"/>
            <w:r w:rsidR="006B443B">
              <w:rPr>
                <w:rFonts w:cs="Arial"/>
              </w:rPr>
              <w:t xml:space="preserve"> </w:t>
            </w:r>
            <w:r w:rsidRPr="006B0E84">
              <w:rPr>
                <w:rFonts w:cs="Arial"/>
              </w:rPr>
              <w:t>c</w:t>
            </w:r>
            <w:r w:rsidR="00AD592D">
              <w:rPr>
                <w:rFonts w:cs="Arial"/>
              </w:rPr>
              <w:t>arcinogenicity and feeding studies</w:t>
            </w:r>
            <w:r w:rsidRPr="006B0E84">
              <w:rPr>
                <w:rFonts w:cs="Arial"/>
              </w:rPr>
              <w:t xml:space="preserve"> </w:t>
            </w:r>
            <w:r w:rsidR="008D0877">
              <w:rPr>
                <w:rFonts w:cs="Arial"/>
              </w:rPr>
              <w:t>in</w:t>
            </w:r>
            <w:r w:rsidR="008D0877" w:rsidRPr="006B0E84">
              <w:rPr>
                <w:rFonts w:cs="Arial"/>
              </w:rPr>
              <w:t xml:space="preserve"> </w:t>
            </w:r>
            <w:r w:rsidR="00AD592D">
              <w:rPr>
                <w:rFonts w:cs="Arial"/>
              </w:rPr>
              <w:t xml:space="preserve">rats and dogs </w:t>
            </w:r>
            <w:r w:rsidR="0019460E" w:rsidRPr="006B0E84">
              <w:rPr>
                <w:rFonts w:cs="Arial"/>
              </w:rPr>
              <w:t>reported</w:t>
            </w:r>
            <w:r w:rsidR="00F84760" w:rsidRPr="006B0E84">
              <w:rPr>
                <w:rFonts w:cs="Arial"/>
              </w:rPr>
              <w:t>:</w:t>
            </w:r>
          </w:p>
          <w:p w14:paraId="3144A5F8" w14:textId="5CA69D09" w:rsidR="0019460E" w:rsidRPr="006B0E84" w:rsidRDefault="0019460E" w:rsidP="00A34AF0">
            <w:pPr>
              <w:pStyle w:val="Tabletextprimarysource"/>
              <w:numPr>
                <w:ilvl w:val="1"/>
                <w:numId w:val="1"/>
              </w:numPr>
              <w:ind w:left="1094" w:hanging="357"/>
              <w:rPr>
                <w:rFonts w:cs="Arial"/>
              </w:rPr>
            </w:pPr>
            <w:r w:rsidRPr="006B0E84">
              <w:rPr>
                <w:rFonts w:cs="Arial"/>
              </w:rPr>
              <w:t xml:space="preserve">NOAEL: 250 ppm in diet (rats), 125 ppm in diet (dogs); trace blood pigment abnormalities noted in some animals, trend of low </w:t>
            </w:r>
            <w:r w:rsidR="00A906D9">
              <w:rPr>
                <w:rFonts w:cs="Arial"/>
              </w:rPr>
              <w:t>RBC</w:t>
            </w:r>
            <w:r w:rsidRPr="006B0E84">
              <w:rPr>
                <w:rFonts w:cs="Arial"/>
              </w:rPr>
              <w:t xml:space="preserve"> count observe</w:t>
            </w:r>
            <w:r w:rsidR="00DF5582" w:rsidRPr="006B0E84">
              <w:rPr>
                <w:rFonts w:cs="Arial"/>
              </w:rPr>
              <w:t>d in dogs; LOAELs not specified</w:t>
            </w:r>
          </w:p>
          <w:p w14:paraId="27CAE641" w14:textId="7EE33955" w:rsidR="0019460E" w:rsidRPr="006B0E84" w:rsidRDefault="003B3D00" w:rsidP="00A34AF0">
            <w:pPr>
              <w:pStyle w:val="Tabletextprimarysource"/>
              <w:numPr>
                <w:ilvl w:val="1"/>
                <w:numId w:val="1"/>
              </w:numPr>
              <w:ind w:left="1094" w:hanging="357"/>
              <w:rPr>
                <w:rFonts w:cs="Arial"/>
              </w:rPr>
            </w:pPr>
            <w:r w:rsidRPr="006B0E84">
              <w:rPr>
                <w:rFonts w:cs="Arial"/>
              </w:rPr>
              <w:t>g</w:t>
            </w:r>
            <w:r w:rsidR="00DF5582" w:rsidRPr="006B0E84">
              <w:rPr>
                <w:rFonts w:cs="Arial"/>
              </w:rPr>
              <w:t xml:space="preserve">rowth retardation, slight anaemia, increased erythropoiesis and </w:t>
            </w:r>
            <w:proofErr w:type="spellStart"/>
            <w:r w:rsidR="00DF5582" w:rsidRPr="006B0E84">
              <w:rPr>
                <w:rFonts w:cs="Arial"/>
              </w:rPr>
              <w:t>haemosiderosis</w:t>
            </w:r>
            <w:proofErr w:type="spellEnd"/>
            <w:r w:rsidR="00DF5582" w:rsidRPr="006B0E84">
              <w:rPr>
                <w:rFonts w:cs="Arial"/>
              </w:rPr>
              <w:t xml:space="preserve"> in spleen at 2,500 ppm in diet (rats, dogs)</w:t>
            </w:r>
          </w:p>
          <w:p w14:paraId="477A2D80" w14:textId="6E1B74A0" w:rsidR="00DF5582" w:rsidRPr="006B0E84" w:rsidRDefault="003B3D00" w:rsidP="00A34AF0">
            <w:pPr>
              <w:pStyle w:val="Tabletextprimarysource"/>
              <w:numPr>
                <w:ilvl w:val="1"/>
                <w:numId w:val="1"/>
              </w:numPr>
              <w:ind w:left="1094" w:hanging="357"/>
              <w:rPr>
                <w:rFonts w:cs="Arial"/>
              </w:rPr>
            </w:pPr>
            <w:r w:rsidRPr="006B0E84">
              <w:rPr>
                <w:rFonts w:cs="Arial"/>
              </w:rPr>
              <w:t>n</w:t>
            </w:r>
            <w:r w:rsidR="00DF5582" w:rsidRPr="006B0E84">
              <w:rPr>
                <w:rFonts w:cs="Arial"/>
              </w:rPr>
              <w:t xml:space="preserve">o </w:t>
            </w:r>
            <w:r w:rsidR="00AD592D">
              <w:rPr>
                <w:rFonts w:cs="Arial"/>
              </w:rPr>
              <w:t xml:space="preserve">carcinogenic effects reported, </w:t>
            </w:r>
            <w:r w:rsidR="00DF5582" w:rsidRPr="006B0E84">
              <w:rPr>
                <w:rFonts w:cs="Arial"/>
              </w:rPr>
              <w:t>or in similar 18</w:t>
            </w:r>
            <w:r w:rsidR="008D0877">
              <w:rPr>
                <w:rFonts w:cs="Arial"/>
              </w:rPr>
              <w:t xml:space="preserve"> </w:t>
            </w:r>
            <w:proofErr w:type="spellStart"/>
            <w:r w:rsidR="00DF5582" w:rsidRPr="006B0E84">
              <w:rPr>
                <w:rFonts w:cs="Arial"/>
              </w:rPr>
              <w:t>mo</w:t>
            </w:r>
            <w:proofErr w:type="spellEnd"/>
            <w:r w:rsidR="00DF5582" w:rsidRPr="006B0E84">
              <w:rPr>
                <w:rFonts w:cs="Arial"/>
              </w:rPr>
              <w:t xml:space="preserve"> feeding study at ≈1,400 ppm in diet (mice, no further information provided)</w:t>
            </w:r>
          </w:p>
          <w:p w14:paraId="3B810AF3" w14:textId="77777777" w:rsidR="00DF5582" w:rsidRPr="006B0E84" w:rsidRDefault="00DF5582" w:rsidP="00DF5582">
            <w:pPr>
              <w:pStyle w:val="Tabletextprimarysource"/>
              <w:numPr>
                <w:ilvl w:val="0"/>
                <w:numId w:val="1"/>
              </w:numPr>
              <w:rPr>
                <w:rFonts w:cs="Arial"/>
              </w:rPr>
            </w:pPr>
            <w:r w:rsidRPr="006B0E84">
              <w:rPr>
                <w:rFonts w:cs="Arial"/>
              </w:rPr>
              <w:t>No adverse reproductive effects at 125 ppm in diet (rats, 3-generation study, no further information provided)</w:t>
            </w:r>
          </w:p>
          <w:p w14:paraId="45042E96" w14:textId="77777777" w:rsidR="003B3D00" w:rsidRPr="006B0E84" w:rsidRDefault="00DF5582" w:rsidP="00DF5582">
            <w:pPr>
              <w:pStyle w:val="Tabletextprimarysource"/>
              <w:numPr>
                <w:ilvl w:val="0"/>
                <w:numId w:val="1"/>
              </w:numPr>
              <w:rPr>
                <w:rFonts w:cs="Arial"/>
              </w:rPr>
            </w:pPr>
            <w:proofErr w:type="spellStart"/>
            <w:r w:rsidRPr="006B0E84">
              <w:rPr>
                <w:rFonts w:cs="Arial"/>
              </w:rPr>
              <w:t>Genotoxicity</w:t>
            </w:r>
            <w:proofErr w:type="spellEnd"/>
            <w:r w:rsidRPr="006B0E84">
              <w:rPr>
                <w:rFonts w:cs="Arial"/>
              </w:rPr>
              <w:t xml:space="preserve"> and ADME data not presented.</w:t>
            </w:r>
            <w:r w:rsidR="003B3D00" w:rsidRPr="006B0E84">
              <w:rPr>
                <w:rFonts w:cs="Arial"/>
              </w:rPr>
              <w:t xml:space="preserve"> </w:t>
            </w:r>
          </w:p>
          <w:p w14:paraId="6207A414" w14:textId="77777777" w:rsidR="000C0C22" w:rsidRPr="006B0E84" w:rsidRDefault="000C0C22" w:rsidP="003B3D00">
            <w:pPr>
              <w:pStyle w:val="Tabletextprimarysource"/>
              <w:rPr>
                <w:rFonts w:cs="Arial"/>
              </w:rPr>
            </w:pPr>
          </w:p>
          <w:p w14:paraId="5E84B7AC" w14:textId="77777777" w:rsidR="00DF5582" w:rsidRPr="006B0E84" w:rsidRDefault="003B3D00" w:rsidP="003B3D00">
            <w:pPr>
              <w:pStyle w:val="Tabletextprimarysource"/>
              <w:rPr>
                <w:rFonts w:cs="Arial"/>
              </w:rPr>
            </w:pPr>
            <w:r w:rsidRPr="006B0E84">
              <w:rPr>
                <w:rFonts w:cs="Arial"/>
              </w:rPr>
              <w:t>Not classifiable as a human carcinogen based on chronic animal feeding studies. Insufficient data to recommend a STEL or notations for skin absorption or sensitisation.</w:t>
            </w:r>
          </w:p>
          <w:p w14:paraId="6412587D" w14:textId="29D80000" w:rsidR="000C0C22" w:rsidRPr="006B0E84" w:rsidRDefault="000C0C22" w:rsidP="003B3D00">
            <w:pPr>
              <w:pStyle w:val="Tabletextprimarysource"/>
              <w:rPr>
                <w:rFonts w:cs="Arial"/>
              </w:rPr>
            </w:pPr>
          </w:p>
        </w:tc>
      </w:tr>
      <w:tr w:rsidR="00C978F0" w:rsidRPr="006B0E84" w14:paraId="03E7A74E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6C29351E" w14:textId="35741351" w:rsidR="00C978F0" w:rsidRPr="006B0E84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  <w:rPr>
                <w:rFonts w:cs="Arial"/>
              </w:rPr>
            </w:pPr>
            <w:r w:rsidRPr="006B0E84">
              <w:rPr>
                <w:rFonts w:cs="Arial"/>
              </w:rPr>
              <w:t>DFG</w:t>
            </w:r>
            <w:r w:rsidR="00916EC0" w:rsidRPr="006B0E84">
              <w:rPr>
                <w:rFonts w:cs="Arial"/>
              </w:rPr>
              <w:t xml:space="preserve"> </w:t>
            </w:r>
            <w:r w:rsidR="00916EC0" w:rsidRPr="006B0E8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72751712"/>
                <w:placeholder>
                  <w:docPart w:val="6918C77959FE4E2CB3B6BD78ABC69E19"/>
                </w:placeholder>
                <w:text/>
              </w:sdtPr>
              <w:sdtEndPr/>
              <w:sdtContent>
                <w:r w:rsidR="003344BC" w:rsidRPr="006B0E84">
                  <w:rPr>
                    <w:rFonts w:cs="Arial"/>
                  </w:rPr>
                  <w:t>NA</w:t>
                </w:r>
              </w:sdtContent>
            </w:sdt>
            <w:r w:rsidR="00916EC0" w:rsidRPr="006B0E84">
              <w:rPr>
                <w:rFonts w:cs="Arial"/>
              </w:rPr>
              <w:tab/>
            </w:r>
            <w:r w:rsidR="0051509C" w:rsidRPr="006B0E8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DFG WES equivalent"/>
                <w:tag w:val="DFG WES equivalent"/>
                <w:id w:val="-736175395"/>
                <w:placeholder>
                  <w:docPart w:val="1ED9AEC91FDC4528B51A567B2B19EB9F"/>
                </w:placeholder>
              </w:sdtPr>
              <w:sdtEndPr/>
              <w:sdtContent>
                <w:proofErr w:type="spellStart"/>
                <w:r w:rsidR="003344BC" w:rsidRPr="006B0E84">
                  <w:rPr>
                    <w:rFonts w:cs="Arial"/>
                  </w:rPr>
                  <w:t>NA</w:t>
                </w:r>
                <w:proofErr w:type="spellEnd"/>
              </w:sdtContent>
            </w:sdt>
          </w:p>
        </w:tc>
      </w:tr>
      <w:tr w:rsidR="00C978F0" w:rsidRPr="006B0E84" w14:paraId="3FF8A97B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690A01EC" w14:textId="073A58FB" w:rsidR="00C978F0" w:rsidRPr="006B0E84" w:rsidRDefault="003344BC" w:rsidP="003365A5">
            <w:pPr>
              <w:pStyle w:val="Tabletextprimarysource"/>
              <w:rPr>
                <w:rFonts w:cs="Arial"/>
              </w:rPr>
            </w:pPr>
            <w:r w:rsidRPr="006B0E84">
              <w:rPr>
                <w:rFonts w:cs="Arial"/>
              </w:rPr>
              <w:t>No report</w:t>
            </w:r>
            <w:r w:rsidR="00C07837" w:rsidRPr="006B0E84">
              <w:rPr>
                <w:rFonts w:cs="Arial"/>
              </w:rPr>
              <w:t>.</w:t>
            </w:r>
          </w:p>
        </w:tc>
      </w:tr>
      <w:tr w:rsidR="00C978F0" w:rsidRPr="006B0E84" w14:paraId="7D1C22C9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418A98FE" w14:textId="589AFDFB" w:rsidR="00C978F0" w:rsidRPr="006B0E84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  <w:rPr>
                <w:rFonts w:cs="Arial"/>
              </w:rPr>
            </w:pPr>
            <w:r w:rsidRPr="006B0E84">
              <w:rPr>
                <w:rFonts w:cs="Arial"/>
              </w:rPr>
              <w:t>SCOEL</w:t>
            </w:r>
            <w:r w:rsidR="00916EC0" w:rsidRPr="006B0E84">
              <w:rPr>
                <w:rFonts w:cs="Arial"/>
              </w:rPr>
              <w:t xml:space="preserve"> </w:t>
            </w:r>
            <w:r w:rsidR="00916EC0" w:rsidRPr="006B0E8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768699850"/>
                <w:placeholder>
                  <w:docPart w:val="FDC2A24E7D2549238DA6EE03BD0A6AE0"/>
                </w:placeholder>
                <w:text/>
              </w:sdtPr>
              <w:sdtEndPr/>
              <w:sdtContent>
                <w:r w:rsidR="003344BC" w:rsidRPr="006B0E84">
                  <w:rPr>
                    <w:rFonts w:cs="Arial"/>
                  </w:rPr>
                  <w:t>NA</w:t>
                </w:r>
              </w:sdtContent>
            </w:sdt>
            <w:r w:rsidR="00916EC0" w:rsidRPr="006B0E84">
              <w:rPr>
                <w:rFonts w:cs="Arial"/>
              </w:rPr>
              <w:tab/>
            </w:r>
            <w:r w:rsidR="0051509C" w:rsidRPr="006B0E8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SCOEL WES equivalent"/>
                <w:tag w:val="SCOEL WES equivalent"/>
                <w:id w:val="-1474213062"/>
                <w:placeholder>
                  <w:docPart w:val="9E827C9D0DA949E385F2E9AB4264125E"/>
                </w:placeholder>
              </w:sdtPr>
              <w:sdtEndPr/>
              <w:sdtContent>
                <w:proofErr w:type="spellStart"/>
                <w:r w:rsidR="003344BC" w:rsidRPr="006B0E84">
                  <w:rPr>
                    <w:rFonts w:cs="Arial"/>
                  </w:rPr>
                  <w:t>NA</w:t>
                </w:r>
                <w:proofErr w:type="spellEnd"/>
              </w:sdtContent>
            </w:sdt>
          </w:p>
        </w:tc>
      </w:tr>
      <w:tr w:rsidR="00C978F0" w:rsidRPr="006B0E84" w14:paraId="3B3777BC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3B6F630B" w14:textId="4491491F" w:rsidR="00C978F0" w:rsidRPr="006B0E84" w:rsidRDefault="003344BC" w:rsidP="003365A5">
            <w:pPr>
              <w:pStyle w:val="Tabletextprimarysource"/>
              <w:rPr>
                <w:rFonts w:cs="Arial"/>
              </w:rPr>
            </w:pPr>
            <w:r w:rsidRPr="006B0E84">
              <w:rPr>
                <w:rFonts w:cs="Arial"/>
              </w:rPr>
              <w:t>No report</w:t>
            </w:r>
            <w:r w:rsidR="00C07837" w:rsidRPr="006B0E84">
              <w:rPr>
                <w:rFonts w:cs="Arial"/>
              </w:rPr>
              <w:t>.</w:t>
            </w:r>
          </w:p>
        </w:tc>
      </w:tr>
      <w:tr w:rsidR="00DA352E" w:rsidRPr="006B0E84" w14:paraId="4A13CF96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59F93FDC" w14:textId="320E9891" w:rsidR="00DA352E" w:rsidRPr="006B0E84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  <w:rPr>
                <w:rFonts w:cs="Arial"/>
              </w:rPr>
            </w:pPr>
            <w:r w:rsidRPr="006B0E84">
              <w:rPr>
                <w:rFonts w:cs="Arial"/>
              </w:rPr>
              <w:t>OARS/AIHA</w:t>
            </w:r>
            <w:r w:rsidR="00916EC0" w:rsidRPr="006B0E84">
              <w:rPr>
                <w:rFonts w:cs="Arial"/>
              </w:rPr>
              <w:t xml:space="preserve"> </w:t>
            </w:r>
            <w:r w:rsidR="00916EC0" w:rsidRPr="006B0E8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936748013"/>
                <w:placeholder>
                  <w:docPart w:val="47E4EC2DB10B4B8E8A66F7A5C13653CB"/>
                </w:placeholder>
                <w:text/>
              </w:sdtPr>
              <w:sdtEndPr/>
              <w:sdtContent>
                <w:r w:rsidR="003344BC" w:rsidRPr="006B0E84">
                  <w:rPr>
                    <w:rFonts w:cs="Arial"/>
                  </w:rPr>
                  <w:t>NA</w:t>
                </w:r>
              </w:sdtContent>
            </w:sdt>
            <w:r w:rsidR="00916EC0" w:rsidRPr="006B0E84">
              <w:rPr>
                <w:rFonts w:cs="Arial"/>
              </w:rPr>
              <w:tab/>
            </w:r>
            <w:r w:rsidR="0051509C" w:rsidRPr="006B0E8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ARS/AIHA WES equivalent"/>
                <w:tag w:val="OARS/AIHA WES equivalent"/>
                <w:id w:val="-1320338798"/>
                <w:placeholder>
                  <w:docPart w:val="5E4DD00C3A334F93BF5CC79754EBC5EA"/>
                </w:placeholder>
              </w:sdtPr>
              <w:sdtEndPr/>
              <w:sdtContent>
                <w:proofErr w:type="spellStart"/>
                <w:r w:rsidR="003344BC" w:rsidRPr="006B0E84">
                  <w:rPr>
                    <w:rFonts w:cs="Arial"/>
                  </w:rPr>
                  <w:t>NA</w:t>
                </w:r>
                <w:proofErr w:type="spellEnd"/>
              </w:sdtContent>
            </w:sdt>
          </w:p>
        </w:tc>
      </w:tr>
      <w:tr w:rsidR="00DA352E" w:rsidRPr="006B0E84" w14:paraId="6EB685D6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750F8036" w14:textId="2383754A" w:rsidR="00DA352E" w:rsidRPr="006B0E84" w:rsidRDefault="003344BC" w:rsidP="003365A5">
            <w:pPr>
              <w:pStyle w:val="Tabletextprimarysource"/>
              <w:rPr>
                <w:rFonts w:cs="Arial"/>
              </w:rPr>
            </w:pPr>
            <w:r w:rsidRPr="006B0E84">
              <w:rPr>
                <w:rFonts w:cs="Arial"/>
              </w:rPr>
              <w:t>No report</w:t>
            </w:r>
            <w:r w:rsidR="00C07837" w:rsidRPr="006B0E84">
              <w:rPr>
                <w:rFonts w:cs="Arial"/>
              </w:rPr>
              <w:t>.</w:t>
            </w:r>
          </w:p>
        </w:tc>
      </w:tr>
      <w:tr w:rsidR="00DA352E" w:rsidRPr="006B0E84" w14:paraId="0EF564F2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6B394412" w14:textId="27DF0EB4" w:rsidR="00DA352E" w:rsidRPr="006B0E84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  <w:rPr>
                <w:rFonts w:cs="Arial"/>
              </w:rPr>
            </w:pPr>
            <w:r w:rsidRPr="006B0E84">
              <w:rPr>
                <w:rFonts w:cs="Arial"/>
              </w:rPr>
              <w:t>HCOTN</w:t>
            </w:r>
            <w:r w:rsidR="00916EC0" w:rsidRPr="006B0E84">
              <w:rPr>
                <w:rFonts w:cs="Arial"/>
              </w:rPr>
              <w:t xml:space="preserve"> </w:t>
            </w:r>
            <w:r w:rsidR="00916EC0" w:rsidRPr="006B0E8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543090908"/>
                <w:placeholder>
                  <w:docPart w:val="EA1708404F1C4A3BB080A0D8EEB67D1D"/>
                </w:placeholder>
                <w:text/>
              </w:sdtPr>
              <w:sdtEndPr/>
              <w:sdtContent>
                <w:r w:rsidR="003344BC" w:rsidRPr="006B0E84">
                  <w:rPr>
                    <w:rFonts w:cs="Arial"/>
                  </w:rPr>
                  <w:t>NA</w:t>
                </w:r>
              </w:sdtContent>
            </w:sdt>
            <w:r w:rsidR="00916EC0" w:rsidRPr="006B0E84">
              <w:rPr>
                <w:rFonts w:cs="Arial"/>
              </w:rPr>
              <w:tab/>
            </w:r>
            <w:r w:rsidR="0051509C" w:rsidRPr="006B0E8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HCOTN WES equivalent"/>
                <w:tag w:val="HCOTN WES equivalent"/>
                <w:id w:val="1471562734"/>
                <w:placeholder>
                  <w:docPart w:val="F3D4204BA37A4A21A656C76DA4274412"/>
                </w:placeholder>
              </w:sdtPr>
              <w:sdtEndPr/>
              <w:sdtContent>
                <w:proofErr w:type="spellStart"/>
                <w:r w:rsidR="003344BC" w:rsidRPr="006B0E84">
                  <w:rPr>
                    <w:rFonts w:cs="Arial"/>
                  </w:rPr>
                  <w:t>NA</w:t>
                </w:r>
                <w:proofErr w:type="spellEnd"/>
              </w:sdtContent>
            </w:sdt>
          </w:p>
        </w:tc>
      </w:tr>
      <w:tr w:rsidR="00DA352E" w:rsidRPr="006B0E84" w14:paraId="4887708C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772E5BDF" w14:textId="3738A076" w:rsidR="00DA352E" w:rsidRPr="006B0E84" w:rsidRDefault="003344BC" w:rsidP="003365A5">
            <w:pPr>
              <w:pStyle w:val="Tabletextprimarysource"/>
              <w:rPr>
                <w:rFonts w:cs="Arial"/>
              </w:rPr>
            </w:pPr>
            <w:r w:rsidRPr="006B0E84">
              <w:rPr>
                <w:rFonts w:cs="Arial"/>
              </w:rPr>
              <w:t>No report</w:t>
            </w:r>
            <w:r w:rsidR="00C07837" w:rsidRPr="006B0E84">
              <w:rPr>
                <w:rFonts w:cs="Arial"/>
              </w:rPr>
              <w:t>.</w:t>
            </w:r>
          </w:p>
        </w:tc>
      </w:tr>
    </w:tbl>
    <w:p w14:paraId="0EF5927D" w14:textId="77777777" w:rsidR="00A20751" w:rsidRPr="006B0E84" w:rsidRDefault="00A20751" w:rsidP="003365A5">
      <w:pPr>
        <w:pStyle w:val="Heading3"/>
      </w:pPr>
      <w:bookmarkStart w:id="0" w:name="SecondSource"/>
      <w:r w:rsidRPr="006B0E84">
        <w:lastRenderedPageBreak/>
        <w:t xml:space="preserve">Secondary </w:t>
      </w:r>
      <w:r w:rsidR="0088798F" w:rsidRPr="006B0E84"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91"/>
        <w:gridCol w:w="422"/>
        <w:gridCol w:w="661"/>
        <w:gridCol w:w="6452"/>
      </w:tblGrid>
      <w:tr w:rsidR="004966BF" w:rsidRPr="006B0E84" w14:paraId="208BC366" w14:textId="77777777" w:rsidTr="009F2C2A">
        <w:trPr>
          <w:trHeight w:val="393"/>
          <w:tblHeader/>
        </w:trPr>
        <w:tc>
          <w:tcPr>
            <w:tcW w:w="1491" w:type="dxa"/>
            <w:shd w:val="clear" w:color="auto" w:fill="BFBFBF" w:themeFill="background1" w:themeFillShade="BF"/>
            <w:vAlign w:val="center"/>
          </w:tcPr>
          <w:p w14:paraId="7E0180E6" w14:textId="77777777" w:rsidR="004966BF" w:rsidRPr="006B0E84" w:rsidRDefault="004966BF" w:rsidP="00263255">
            <w:pPr>
              <w:pStyle w:val="Tableheader"/>
              <w:rPr>
                <w:rFonts w:cs="Arial"/>
              </w:rPr>
            </w:pPr>
            <w:bookmarkStart w:id="1" w:name="_GoBack" w:colFirst="0" w:colLast="4"/>
            <w:r w:rsidRPr="006B0E84">
              <w:rPr>
                <w:rFonts w:cs="Arial"/>
              </w:rPr>
              <w:t>Source</w:t>
            </w:r>
          </w:p>
        </w:tc>
        <w:tc>
          <w:tcPr>
            <w:tcW w:w="422" w:type="dxa"/>
            <w:shd w:val="clear" w:color="auto" w:fill="BFBFBF" w:themeFill="background1" w:themeFillShade="BF"/>
            <w:vAlign w:val="center"/>
          </w:tcPr>
          <w:p w14:paraId="1ABB004D" w14:textId="77777777" w:rsidR="004966BF" w:rsidRPr="006B0E84" w:rsidRDefault="004966BF" w:rsidP="00263255">
            <w:pPr>
              <w:pStyle w:val="Tableheader"/>
              <w:rPr>
                <w:rFonts w:cs="Arial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1307507C" w14:textId="77777777" w:rsidR="004966BF" w:rsidRPr="006B0E84" w:rsidRDefault="004966BF" w:rsidP="00263255">
            <w:pPr>
              <w:pStyle w:val="Tableheader"/>
              <w:rPr>
                <w:rFonts w:cs="Arial"/>
              </w:rPr>
            </w:pPr>
            <w:r w:rsidRPr="006B0E84">
              <w:rPr>
                <w:rFonts w:cs="Arial"/>
              </w:rPr>
              <w:t>Year</w:t>
            </w:r>
          </w:p>
        </w:tc>
        <w:tc>
          <w:tcPr>
            <w:tcW w:w="6452" w:type="dxa"/>
            <w:shd w:val="clear" w:color="auto" w:fill="BFBFBF" w:themeFill="background1" w:themeFillShade="BF"/>
            <w:vAlign w:val="center"/>
          </w:tcPr>
          <w:p w14:paraId="1AA7559A" w14:textId="77777777" w:rsidR="004966BF" w:rsidRPr="006B0E84" w:rsidRDefault="004966BF" w:rsidP="00263255">
            <w:pPr>
              <w:pStyle w:val="Tableheader"/>
              <w:rPr>
                <w:rFonts w:cs="Arial"/>
              </w:rPr>
            </w:pPr>
            <w:r w:rsidRPr="006B0E84">
              <w:rPr>
                <w:rFonts w:cs="Arial"/>
              </w:rPr>
              <w:t>Additional information</w:t>
            </w:r>
          </w:p>
        </w:tc>
      </w:tr>
      <w:bookmarkEnd w:id="1"/>
      <w:tr w:rsidR="004966BF" w:rsidRPr="006B0E84" w14:paraId="438C474F" w14:textId="77777777" w:rsidTr="00A34AF0">
        <w:tc>
          <w:tcPr>
            <w:tcW w:w="1491" w:type="dxa"/>
          </w:tcPr>
          <w:p w14:paraId="2CD3DA5A" w14:textId="77777777" w:rsidR="004966BF" w:rsidRPr="006B0E84" w:rsidRDefault="004966BF" w:rsidP="00224EE2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HSE</w:t>
            </w:r>
          </w:p>
        </w:tc>
        <w:tc>
          <w:tcPr>
            <w:tcW w:w="422" w:type="dxa"/>
          </w:tcPr>
          <w:p w14:paraId="566C6E4F" w14:textId="6584517B" w:rsidR="004966BF" w:rsidRPr="006B0E84" w:rsidRDefault="009F2C2A" w:rsidP="00AB43C4">
            <w:pPr>
              <w:spacing w:before="40"/>
              <w:jc w:val="center"/>
              <w:rPr>
                <w:rStyle w:val="checkbox"/>
                <w:rFonts w:ascii="Arial" w:hAnsi="Arial" w:cs="Arial"/>
              </w:rPr>
            </w:pPr>
            <w:sdt>
              <w:sdtPr>
                <w:rPr>
                  <w:rStyle w:val="checkbox"/>
                </w:rPr>
                <w:id w:val="1234131032"/>
                <w:placeholder>
                  <w:docPart w:val="D1213C3B3171482BAB25053BA0CC4E93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94267F">
                  <w:rPr>
                    <w:rStyle w:val="checkbox"/>
                  </w:rPr>
                  <w:t></w:t>
                </w:r>
              </w:sdtContent>
            </w:sdt>
            <w:r w:rsidR="0094267F" w:rsidDel="0094267F">
              <w:rPr>
                <w:rStyle w:val="checkbox"/>
                <w:rFonts w:ascii="Arial" w:hAnsi="Arial" w:cs="Arial"/>
              </w:rPr>
              <w:t xml:space="preserve"> </w:t>
            </w:r>
          </w:p>
        </w:tc>
        <w:tc>
          <w:tcPr>
            <w:tcW w:w="661" w:type="dxa"/>
          </w:tcPr>
          <w:p w14:paraId="18D0AEB5" w14:textId="3BD88CB5" w:rsidR="004966BF" w:rsidRPr="006B0E84" w:rsidRDefault="00604692" w:rsidP="00717D45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2002</w:t>
            </w:r>
          </w:p>
        </w:tc>
        <w:tc>
          <w:tcPr>
            <w:tcW w:w="6452" w:type="dxa"/>
          </w:tcPr>
          <w:p w14:paraId="18CB1FB6" w14:textId="2036B9F2" w:rsidR="004966BF" w:rsidRPr="006B0E84" w:rsidRDefault="00604692" w:rsidP="00A34AF0">
            <w:pPr>
              <w:pStyle w:val="Tablefont"/>
              <w:numPr>
                <w:ilvl w:val="0"/>
                <w:numId w:val="7"/>
              </w:numPr>
              <w:rPr>
                <w:rFonts w:cs="Arial"/>
              </w:rPr>
            </w:pPr>
            <w:r w:rsidRPr="006B0E84">
              <w:rPr>
                <w:rFonts w:cs="Arial"/>
              </w:rPr>
              <w:t>8</w:t>
            </w:r>
            <w:r w:rsidR="008D0877">
              <w:rPr>
                <w:rFonts w:cs="Arial"/>
              </w:rPr>
              <w:t xml:space="preserve"> </w:t>
            </w:r>
            <w:r w:rsidRPr="006B0E84">
              <w:rPr>
                <w:rFonts w:cs="Arial"/>
              </w:rPr>
              <w:t>h TWA: 10 mg/m</w:t>
            </w:r>
            <w:r w:rsidRPr="006B0E84">
              <w:rPr>
                <w:rFonts w:cs="Arial"/>
                <w:vertAlign w:val="superscript"/>
              </w:rPr>
              <w:t>3</w:t>
            </w:r>
          </w:p>
        </w:tc>
      </w:tr>
      <w:tr w:rsidR="004966BF" w:rsidRPr="006B0E84" w14:paraId="0FE9551C" w14:textId="77777777" w:rsidTr="00A34AF0">
        <w:tc>
          <w:tcPr>
            <w:tcW w:w="1491" w:type="dxa"/>
          </w:tcPr>
          <w:p w14:paraId="565F1A1D" w14:textId="77777777" w:rsidR="004966BF" w:rsidRPr="005A4F49" w:rsidRDefault="004966BF" w:rsidP="00224EE2">
            <w:pPr>
              <w:pStyle w:val="Tablefont"/>
              <w:rPr>
                <w:rFonts w:cs="Arial"/>
              </w:rPr>
            </w:pPr>
            <w:r w:rsidRPr="005A4F49">
              <w:rPr>
                <w:rFonts w:cs="Arial"/>
              </w:rPr>
              <w:t>US EPA</w:t>
            </w:r>
          </w:p>
        </w:tc>
        <w:tc>
          <w:tcPr>
            <w:tcW w:w="422" w:type="dxa"/>
          </w:tcPr>
          <w:p w14:paraId="19799FCE" w14:textId="5D17F32E" w:rsidR="004966BF" w:rsidRPr="005A4F49" w:rsidRDefault="009F2C2A" w:rsidP="00AB43C4">
            <w:pPr>
              <w:spacing w:before="40"/>
              <w:jc w:val="center"/>
              <w:rPr>
                <w:rStyle w:val="checkbox"/>
                <w:rFonts w:ascii="Arial" w:hAnsi="Arial" w:cs="Arial"/>
              </w:rPr>
            </w:pPr>
            <w:sdt>
              <w:sdtPr>
                <w:rPr>
                  <w:rStyle w:val="checkbox"/>
                </w:rPr>
                <w:id w:val="888151158"/>
                <w:placeholder>
                  <w:docPart w:val="F0CD47D1A5F14ACD950872B30A98B3D5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94267F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69F4706F" w14:textId="2409EEE1" w:rsidR="004966BF" w:rsidRPr="005A4F49" w:rsidRDefault="006153AE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 w:rsidRPr="005A4F49">
              <w:rPr>
                <w:rStyle w:val="checkbox"/>
                <w:rFonts w:ascii="Arial" w:hAnsi="Arial" w:cs="Arial"/>
              </w:rPr>
              <w:t>1988</w:t>
            </w:r>
          </w:p>
        </w:tc>
        <w:tc>
          <w:tcPr>
            <w:tcW w:w="6452" w:type="dxa"/>
          </w:tcPr>
          <w:p w14:paraId="0FC143EE" w14:textId="73F8B568" w:rsidR="004966BF" w:rsidRPr="005A4F49" w:rsidRDefault="00984BEA" w:rsidP="008D0877">
            <w:pPr>
              <w:pStyle w:val="Tablefont"/>
              <w:numPr>
                <w:ilvl w:val="0"/>
                <w:numId w:val="7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 w:rsidRPr="005A4F49">
              <w:rPr>
                <w:rStyle w:val="checkbox"/>
                <w:rFonts w:ascii="Arial" w:hAnsi="Arial" w:cs="Arial"/>
              </w:rPr>
              <w:t>Principal study use</w:t>
            </w:r>
            <w:r w:rsidR="003A14FB" w:rsidRPr="005A4F49">
              <w:rPr>
                <w:rStyle w:val="checkbox"/>
                <w:rFonts w:ascii="Arial" w:hAnsi="Arial" w:cs="Arial"/>
              </w:rPr>
              <w:t xml:space="preserve">d to derive oral </w:t>
            </w:r>
            <w:proofErr w:type="spellStart"/>
            <w:r w:rsidR="008D0877">
              <w:rPr>
                <w:rStyle w:val="checkbox"/>
                <w:rFonts w:ascii="Arial" w:hAnsi="Arial" w:cs="Arial"/>
              </w:rPr>
              <w:t>RfD</w:t>
            </w:r>
            <w:proofErr w:type="spellEnd"/>
          </w:p>
          <w:p w14:paraId="1981136A" w14:textId="74CF384D" w:rsidR="003A14FB" w:rsidRPr="005A4F49" w:rsidRDefault="003A14FB">
            <w:pPr>
              <w:pStyle w:val="ListBullet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  <w:lang w:eastAsia="en-AU"/>
              </w:rPr>
            </w:pPr>
            <w:r w:rsidRPr="005A4F49">
              <w:rPr>
                <w:rStyle w:val="checkbox"/>
                <w:rFonts w:ascii="Arial" w:hAnsi="Arial" w:cs="Arial"/>
              </w:rPr>
              <w:t xml:space="preserve">Chronic feeding study </w:t>
            </w:r>
            <w:r w:rsidR="008D0877">
              <w:rPr>
                <w:rStyle w:val="checkbox"/>
                <w:rFonts w:ascii="Arial" w:hAnsi="Arial" w:cs="Arial"/>
              </w:rPr>
              <w:t>at</w:t>
            </w:r>
            <w:r w:rsidR="00BD3B95">
              <w:rPr>
                <w:rStyle w:val="checkbox"/>
                <w:rFonts w:ascii="Arial" w:hAnsi="Arial" w:cs="Arial"/>
              </w:rPr>
              <w:t xml:space="preserve"> </w:t>
            </w:r>
            <w:r w:rsidR="00953466">
              <w:rPr>
                <w:rStyle w:val="checkbox"/>
                <w:rFonts w:ascii="Arial" w:hAnsi="Arial" w:cs="Arial"/>
              </w:rPr>
              <w:t>0</w:t>
            </w:r>
            <w:r w:rsidR="00BD3B95">
              <w:rPr>
                <w:rStyle w:val="checkbox"/>
                <w:rFonts w:ascii="Arial" w:hAnsi="Arial" w:cs="Arial"/>
              </w:rPr>
              <w:t xml:space="preserve">, </w:t>
            </w:r>
            <w:r w:rsidR="00953466">
              <w:rPr>
                <w:rStyle w:val="checkbox"/>
                <w:rFonts w:ascii="Arial" w:hAnsi="Arial" w:cs="Arial"/>
              </w:rPr>
              <w:t>25</w:t>
            </w:r>
            <w:r w:rsidR="00BD3B95">
              <w:rPr>
                <w:rStyle w:val="checkbox"/>
                <w:rFonts w:ascii="Arial" w:hAnsi="Arial" w:cs="Arial"/>
              </w:rPr>
              <w:t xml:space="preserve">, </w:t>
            </w:r>
            <w:r w:rsidR="00953466">
              <w:rPr>
                <w:rStyle w:val="checkbox"/>
                <w:rFonts w:ascii="Arial" w:hAnsi="Arial" w:cs="Arial"/>
              </w:rPr>
              <w:t>125</w:t>
            </w:r>
            <w:r w:rsidR="00BD3B95">
              <w:rPr>
                <w:rStyle w:val="checkbox"/>
                <w:rFonts w:ascii="Arial" w:hAnsi="Arial" w:cs="Arial"/>
              </w:rPr>
              <w:t xml:space="preserve">, </w:t>
            </w:r>
            <w:r w:rsidR="00953466">
              <w:rPr>
                <w:rStyle w:val="checkbox"/>
                <w:rFonts w:ascii="Arial" w:hAnsi="Arial" w:cs="Arial"/>
              </w:rPr>
              <w:t>250</w:t>
            </w:r>
            <w:r w:rsidR="00BD3B95">
              <w:rPr>
                <w:rStyle w:val="checkbox"/>
                <w:rFonts w:ascii="Arial" w:hAnsi="Arial" w:cs="Arial"/>
              </w:rPr>
              <w:t xml:space="preserve">, </w:t>
            </w:r>
            <w:r w:rsidRPr="005A4F49">
              <w:rPr>
                <w:rStyle w:val="checkbox"/>
                <w:rFonts w:ascii="Arial" w:hAnsi="Arial" w:cs="Arial"/>
              </w:rPr>
              <w:t xml:space="preserve">1,250 ppm </w:t>
            </w:r>
            <w:r w:rsidR="008D0877">
              <w:rPr>
                <w:rStyle w:val="checkbox"/>
                <w:rFonts w:ascii="Arial" w:hAnsi="Arial" w:cs="Arial"/>
              </w:rPr>
              <w:t>(</w:t>
            </w:r>
            <w:r w:rsidRPr="005A4F49">
              <w:rPr>
                <w:rStyle w:val="checkbox"/>
                <w:rFonts w:ascii="Arial" w:hAnsi="Arial" w:cs="Arial"/>
              </w:rPr>
              <w:t>≈</w:t>
            </w:r>
            <w:r w:rsidR="00BD3B95">
              <w:rPr>
                <w:rStyle w:val="checkbox"/>
                <w:rFonts w:ascii="Arial" w:hAnsi="Arial" w:cs="Arial"/>
              </w:rPr>
              <w:t xml:space="preserve">0, </w:t>
            </w:r>
            <w:r w:rsidRPr="005A4F49">
              <w:rPr>
                <w:rStyle w:val="checkbox"/>
                <w:rFonts w:ascii="Arial" w:hAnsi="Arial" w:cs="Arial"/>
              </w:rPr>
              <w:t>0.63</w:t>
            </w:r>
            <w:r w:rsidR="00BD3B95">
              <w:rPr>
                <w:rStyle w:val="checkbox"/>
                <w:rFonts w:ascii="Arial" w:hAnsi="Arial" w:cs="Arial"/>
              </w:rPr>
              <w:t xml:space="preserve">, 3.13, 6.25, </w:t>
            </w:r>
            <w:r w:rsidRPr="005A4F49">
              <w:rPr>
                <w:rStyle w:val="checkbox"/>
                <w:rFonts w:ascii="Arial" w:hAnsi="Arial" w:cs="Arial"/>
              </w:rPr>
              <w:t>31.3 mg/kg/d</w:t>
            </w:r>
            <w:r w:rsidR="008D0877">
              <w:rPr>
                <w:rStyle w:val="checkbox"/>
                <w:rFonts w:ascii="Arial" w:hAnsi="Arial" w:cs="Arial"/>
              </w:rPr>
              <w:t xml:space="preserve">; </w:t>
            </w:r>
            <w:r w:rsidRPr="005A4F49">
              <w:rPr>
                <w:rStyle w:val="checkbox"/>
                <w:rFonts w:ascii="Arial" w:hAnsi="Arial" w:cs="Arial"/>
              </w:rPr>
              <w:t>dogs, n=5, 2</w:t>
            </w:r>
            <w:r w:rsidR="00CC4BDA">
              <w:rPr>
                <w:rStyle w:val="checkbox"/>
                <w:rFonts w:ascii="Arial" w:hAnsi="Arial" w:cs="Arial"/>
              </w:rPr>
              <w:t> </w:t>
            </w:r>
            <w:proofErr w:type="spellStart"/>
            <w:r w:rsidRPr="005A4F49">
              <w:rPr>
                <w:rStyle w:val="checkbox"/>
                <w:rFonts w:ascii="Arial" w:hAnsi="Arial" w:cs="Arial"/>
              </w:rPr>
              <w:t>yr</w:t>
            </w:r>
            <w:proofErr w:type="spellEnd"/>
            <w:r w:rsidRPr="005A4F49">
              <w:rPr>
                <w:rStyle w:val="checkbox"/>
                <w:rFonts w:ascii="Arial" w:hAnsi="Arial" w:cs="Arial"/>
              </w:rPr>
              <w:t>)</w:t>
            </w:r>
            <w:r w:rsidR="00CC4BDA">
              <w:rPr>
                <w:rStyle w:val="checkbox"/>
                <w:rFonts w:ascii="Arial" w:hAnsi="Arial" w:cs="Arial"/>
              </w:rPr>
              <w:t>:</w:t>
            </w:r>
          </w:p>
          <w:p w14:paraId="2B6A2623" w14:textId="4CAFDB6E" w:rsidR="003A14FB" w:rsidRPr="005A4F49" w:rsidRDefault="006B0E84" w:rsidP="00A34AF0">
            <w:pPr>
              <w:pStyle w:val="ListBullet"/>
              <w:numPr>
                <w:ilvl w:val="0"/>
                <w:numId w:val="6"/>
              </w:numPr>
              <w:spacing w:before="60" w:after="60"/>
              <w:ind w:left="1094" w:hanging="357"/>
              <w:contextualSpacing w:val="0"/>
              <w:rPr>
                <w:rStyle w:val="checkbox"/>
                <w:rFonts w:ascii="Arial" w:hAnsi="Arial" w:cs="Arial"/>
              </w:rPr>
            </w:pPr>
            <w:r w:rsidRPr="005A4F49">
              <w:rPr>
                <w:rStyle w:val="checkbox"/>
                <w:rFonts w:ascii="Arial" w:hAnsi="Arial" w:cs="Arial"/>
              </w:rPr>
              <w:t xml:space="preserve">males </w:t>
            </w:r>
            <w:r w:rsidR="003A14FB" w:rsidRPr="005A4F49">
              <w:rPr>
                <w:rStyle w:val="checkbox"/>
                <w:rFonts w:ascii="Arial" w:hAnsi="Arial" w:cs="Arial"/>
              </w:rPr>
              <w:t>NOAEL</w:t>
            </w:r>
            <w:r w:rsidRPr="005A4F49">
              <w:rPr>
                <w:rStyle w:val="checkbox"/>
                <w:rFonts w:ascii="Arial" w:hAnsi="Arial" w:cs="Arial"/>
              </w:rPr>
              <w:t xml:space="preserve"> </w:t>
            </w:r>
            <w:r w:rsidRPr="00C61BE8">
              <w:rPr>
                <w:rStyle w:val="checkbox"/>
                <w:rFonts w:ascii="Arial" w:hAnsi="Arial" w:cs="Arial"/>
              </w:rPr>
              <w:t>o</w:t>
            </w:r>
            <w:r w:rsidR="00C61BE8">
              <w:rPr>
                <w:rStyle w:val="checkbox"/>
                <w:rFonts w:ascii="Arial" w:hAnsi="Arial" w:cs="Arial"/>
              </w:rPr>
              <w:t>f</w:t>
            </w:r>
            <w:r w:rsidRPr="005A4F49">
              <w:rPr>
                <w:rStyle w:val="checkbox"/>
                <w:rFonts w:ascii="Arial" w:hAnsi="Arial" w:cs="Arial"/>
              </w:rPr>
              <w:t xml:space="preserve"> </w:t>
            </w:r>
            <w:r w:rsidR="003A14FB" w:rsidRPr="005A4F49">
              <w:rPr>
                <w:rStyle w:val="checkbox"/>
                <w:rFonts w:ascii="Arial" w:hAnsi="Arial" w:cs="Arial"/>
              </w:rPr>
              <w:t xml:space="preserve">0.63 </w:t>
            </w:r>
            <w:r w:rsidRPr="005A4F49">
              <w:rPr>
                <w:rStyle w:val="checkbox"/>
                <w:rFonts w:ascii="Arial" w:hAnsi="Arial" w:cs="Arial"/>
              </w:rPr>
              <w:t xml:space="preserve">mg/kg/d </w:t>
            </w:r>
            <w:r w:rsidR="003A14FB" w:rsidRPr="005A4F49">
              <w:rPr>
                <w:rStyle w:val="checkbox"/>
                <w:rFonts w:ascii="Arial" w:hAnsi="Arial" w:cs="Arial"/>
              </w:rPr>
              <w:t>and</w:t>
            </w:r>
            <w:r w:rsidR="005A4F49" w:rsidRPr="005A4F49">
              <w:rPr>
                <w:rStyle w:val="checkbox"/>
                <w:rFonts w:ascii="Arial" w:hAnsi="Arial" w:cs="Arial"/>
              </w:rPr>
              <w:t xml:space="preserve"> </w:t>
            </w:r>
            <w:r w:rsidR="00AF393E">
              <w:rPr>
                <w:rStyle w:val="checkbox"/>
                <w:rFonts w:ascii="Arial" w:hAnsi="Arial" w:cs="Arial"/>
              </w:rPr>
              <w:t>LOAEL</w:t>
            </w:r>
            <w:r w:rsidR="00BD3B95">
              <w:rPr>
                <w:rStyle w:val="checkbox"/>
                <w:rFonts w:ascii="Arial" w:hAnsi="Arial" w:cs="Arial"/>
              </w:rPr>
              <w:t xml:space="preserve"> </w:t>
            </w:r>
            <w:r w:rsidR="004453ED" w:rsidRPr="005A4F49">
              <w:rPr>
                <w:rStyle w:val="checkbox"/>
                <w:rFonts w:ascii="Arial" w:hAnsi="Arial" w:cs="Arial"/>
              </w:rPr>
              <w:t xml:space="preserve">of </w:t>
            </w:r>
            <w:r w:rsidR="003A14FB" w:rsidRPr="005A4F49">
              <w:rPr>
                <w:rStyle w:val="checkbox"/>
                <w:rFonts w:ascii="Arial" w:hAnsi="Arial" w:cs="Arial"/>
              </w:rPr>
              <w:t>3.13</w:t>
            </w:r>
            <w:r w:rsidR="006E2B28">
              <w:rPr>
                <w:rStyle w:val="checkbox"/>
                <w:rFonts w:ascii="Arial" w:hAnsi="Arial" w:cs="Arial"/>
              </w:rPr>
              <w:t> </w:t>
            </w:r>
            <w:r w:rsidRPr="005A4F49">
              <w:rPr>
                <w:rStyle w:val="checkbox"/>
                <w:rFonts w:ascii="Arial" w:hAnsi="Arial" w:cs="Arial"/>
              </w:rPr>
              <w:t>mg/kg/d</w:t>
            </w:r>
            <w:r w:rsidR="00D16BCE" w:rsidRPr="005A4F49">
              <w:rPr>
                <w:rStyle w:val="checkbox"/>
                <w:rFonts w:ascii="Arial" w:hAnsi="Arial" w:cs="Arial"/>
              </w:rPr>
              <w:t xml:space="preserve"> </w:t>
            </w:r>
          </w:p>
          <w:p w14:paraId="64E62436" w14:textId="5E89DDEB" w:rsidR="006153AE" w:rsidRPr="00B27626" w:rsidRDefault="006B0E84" w:rsidP="00A34AF0">
            <w:pPr>
              <w:pStyle w:val="ListBullet"/>
              <w:numPr>
                <w:ilvl w:val="0"/>
                <w:numId w:val="6"/>
              </w:numPr>
              <w:spacing w:before="60" w:after="60"/>
              <w:ind w:left="1094" w:hanging="357"/>
              <w:contextualSpacing w:val="0"/>
              <w:rPr>
                <w:rStyle w:val="checkbox"/>
                <w:rFonts w:ascii="Arial" w:hAnsi="Arial" w:cs="Arial"/>
              </w:rPr>
            </w:pPr>
            <w:r w:rsidRPr="005A4F49">
              <w:rPr>
                <w:rStyle w:val="checkbox"/>
                <w:rFonts w:ascii="Arial" w:hAnsi="Arial" w:cs="Arial"/>
              </w:rPr>
              <w:t xml:space="preserve">females </w:t>
            </w:r>
            <w:r w:rsidR="00C61BE8">
              <w:rPr>
                <w:rStyle w:val="checkbox"/>
                <w:rFonts w:ascii="Arial" w:hAnsi="Arial" w:cs="Arial"/>
              </w:rPr>
              <w:t>N</w:t>
            </w:r>
            <w:r w:rsidR="00C61BE8" w:rsidRPr="00C61BE8">
              <w:rPr>
                <w:rStyle w:val="checkbox"/>
                <w:rFonts w:ascii="Arial" w:hAnsi="Arial" w:cs="Arial"/>
              </w:rPr>
              <w:t xml:space="preserve">OAEL </w:t>
            </w:r>
            <w:r w:rsidRPr="00C61BE8">
              <w:rPr>
                <w:rStyle w:val="checkbox"/>
                <w:rFonts w:ascii="Arial" w:hAnsi="Arial" w:cs="Arial"/>
              </w:rPr>
              <w:t xml:space="preserve">of </w:t>
            </w:r>
            <w:r w:rsidR="003A14FB" w:rsidRPr="005A4F49">
              <w:rPr>
                <w:rStyle w:val="checkbox"/>
                <w:rFonts w:ascii="Arial" w:hAnsi="Arial" w:cs="Arial"/>
              </w:rPr>
              <w:t xml:space="preserve">3.13 </w:t>
            </w:r>
            <w:r w:rsidR="004453ED" w:rsidRPr="005A4F49">
              <w:rPr>
                <w:rStyle w:val="checkbox"/>
                <w:rFonts w:ascii="Arial" w:hAnsi="Arial" w:cs="Arial"/>
              </w:rPr>
              <w:t xml:space="preserve">mg/kg/d </w:t>
            </w:r>
            <w:r w:rsidR="003A14FB" w:rsidRPr="005A4F49">
              <w:rPr>
                <w:rStyle w:val="checkbox"/>
                <w:rFonts w:ascii="Arial" w:hAnsi="Arial" w:cs="Arial"/>
              </w:rPr>
              <w:t xml:space="preserve">and </w:t>
            </w:r>
            <w:r w:rsidR="00D16BCE" w:rsidRPr="00C61BE8">
              <w:rPr>
                <w:rStyle w:val="checkbox"/>
                <w:rFonts w:ascii="Arial" w:hAnsi="Arial" w:cs="Arial"/>
              </w:rPr>
              <w:t>L</w:t>
            </w:r>
            <w:r w:rsidR="00C61BE8" w:rsidRPr="00C61BE8">
              <w:rPr>
                <w:rStyle w:val="checkbox"/>
                <w:rFonts w:ascii="Arial" w:hAnsi="Arial" w:cs="Arial"/>
              </w:rPr>
              <w:t>OA</w:t>
            </w:r>
            <w:r w:rsidR="00AF393E">
              <w:rPr>
                <w:rStyle w:val="checkbox"/>
                <w:rFonts w:ascii="Arial" w:hAnsi="Arial" w:cs="Arial"/>
              </w:rPr>
              <w:t xml:space="preserve">EL </w:t>
            </w:r>
            <w:r w:rsidR="00D16BCE" w:rsidRPr="005A4F49">
              <w:rPr>
                <w:rStyle w:val="checkbox"/>
                <w:rFonts w:ascii="Arial" w:hAnsi="Arial" w:cs="Arial"/>
              </w:rPr>
              <w:t xml:space="preserve">of </w:t>
            </w:r>
            <w:r w:rsidR="003A14FB" w:rsidRPr="005A4F49">
              <w:rPr>
                <w:rStyle w:val="checkbox"/>
                <w:rFonts w:ascii="Arial" w:hAnsi="Arial" w:cs="Arial"/>
              </w:rPr>
              <w:t>6.3</w:t>
            </w:r>
            <w:r w:rsidR="006E2B28">
              <w:rPr>
                <w:rStyle w:val="checkbox"/>
                <w:rFonts w:ascii="Arial" w:hAnsi="Arial" w:cs="Arial"/>
              </w:rPr>
              <w:t> </w:t>
            </w:r>
            <w:r w:rsidR="003A14FB" w:rsidRPr="005A4F49">
              <w:rPr>
                <w:rStyle w:val="checkbox"/>
                <w:rFonts w:ascii="Arial" w:hAnsi="Arial" w:cs="Arial"/>
              </w:rPr>
              <w:t>mg/kg/d</w:t>
            </w:r>
            <w:r w:rsidR="00CC4BDA">
              <w:rPr>
                <w:rStyle w:val="checkbox"/>
                <w:rFonts w:ascii="Arial" w:hAnsi="Arial" w:cs="Arial"/>
              </w:rPr>
              <w:t xml:space="preserve"> </w:t>
            </w:r>
            <w:r w:rsidR="003A14FB" w:rsidRPr="00B27626">
              <w:rPr>
                <w:rStyle w:val="checkbox"/>
                <w:rFonts w:ascii="Arial" w:hAnsi="Arial" w:cs="Arial"/>
              </w:rPr>
              <w:t xml:space="preserve">for </w:t>
            </w:r>
            <w:r w:rsidR="005A4F49" w:rsidRPr="00B27626">
              <w:rPr>
                <w:rStyle w:val="checkbox"/>
                <w:rFonts w:ascii="Arial" w:hAnsi="Arial" w:cs="Arial"/>
              </w:rPr>
              <w:t>de</w:t>
            </w:r>
            <w:r w:rsidR="00AF393E" w:rsidRPr="00B27626">
              <w:rPr>
                <w:rStyle w:val="checkbox"/>
                <w:rFonts w:ascii="Arial" w:hAnsi="Arial" w:cs="Arial"/>
              </w:rPr>
              <w:t>creased</w:t>
            </w:r>
            <w:r w:rsidR="005A4F49" w:rsidRPr="00B27626">
              <w:rPr>
                <w:rStyle w:val="checkbox"/>
                <w:rFonts w:ascii="Arial" w:hAnsi="Arial" w:cs="Arial"/>
              </w:rPr>
              <w:t xml:space="preserve"> </w:t>
            </w:r>
            <w:proofErr w:type="spellStart"/>
            <w:r w:rsidR="008D0877">
              <w:rPr>
                <w:rStyle w:val="checkbox"/>
                <w:rFonts w:ascii="Arial" w:hAnsi="Arial" w:cs="Arial"/>
              </w:rPr>
              <w:t>bw</w:t>
            </w:r>
            <w:proofErr w:type="spellEnd"/>
            <w:r w:rsidR="003A14FB" w:rsidRPr="00B27626">
              <w:rPr>
                <w:rStyle w:val="checkbox"/>
                <w:rFonts w:ascii="Arial" w:hAnsi="Arial" w:cs="Arial"/>
              </w:rPr>
              <w:t>, increased erythropoiesis in bone marrow and increased liver weight</w:t>
            </w:r>
          </w:p>
          <w:p w14:paraId="7FB485B4" w14:textId="6A135F87" w:rsidR="006153AE" w:rsidRPr="005A4F49" w:rsidRDefault="006153AE" w:rsidP="00A34AF0">
            <w:pPr>
              <w:pStyle w:val="ListBullet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 w:rsidRPr="005A4F49">
              <w:rPr>
                <w:rStyle w:val="checkbox"/>
                <w:rFonts w:ascii="Arial" w:hAnsi="Arial" w:cs="Arial"/>
              </w:rPr>
              <w:t xml:space="preserve">Inhalation </w:t>
            </w:r>
            <w:proofErr w:type="spellStart"/>
            <w:r w:rsidR="008D0877">
              <w:rPr>
                <w:rStyle w:val="checkbox"/>
                <w:rFonts w:ascii="Arial" w:hAnsi="Arial" w:cs="Arial"/>
              </w:rPr>
              <w:t>RfD</w:t>
            </w:r>
            <w:proofErr w:type="spellEnd"/>
            <w:r w:rsidRPr="005A4F49">
              <w:rPr>
                <w:rStyle w:val="checkbox"/>
                <w:rFonts w:ascii="Arial" w:hAnsi="Arial" w:cs="Arial"/>
              </w:rPr>
              <w:t xml:space="preserve"> not yet established</w:t>
            </w:r>
          </w:p>
          <w:p w14:paraId="618A40EB" w14:textId="65A3A3A4" w:rsidR="006153AE" w:rsidRPr="005A4F49" w:rsidRDefault="006153AE" w:rsidP="00A34AF0">
            <w:pPr>
              <w:pStyle w:val="ListBullet"/>
              <w:numPr>
                <w:ilvl w:val="0"/>
                <w:numId w:val="5"/>
              </w:numPr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</w:rPr>
            </w:pPr>
            <w:r w:rsidRPr="005A4F49">
              <w:rPr>
                <w:rStyle w:val="checkbox"/>
                <w:rFonts w:ascii="Arial" w:hAnsi="Arial" w:cs="Arial"/>
              </w:rPr>
              <w:t>Carcinogenic potential not yet evaluated.</w:t>
            </w:r>
          </w:p>
        </w:tc>
      </w:tr>
      <w:tr w:rsidR="004966BF" w:rsidRPr="005A4F49" w14:paraId="0D796323" w14:textId="77777777" w:rsidTr="00A34AF0">
        <w:tc>
          <w:tcPr>
            <w:tcW w:w="1491" w:type="dxa"/>
          </w:tcPr>
          <w:p w14:paraId="0572CF91" w14:textId="77777777" w:rsidR="004966BF" w:rsidRPr="006B0E84" w:rsidRDefault="004966BF" w:rsidP="00224EE2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ECHA</w:t>
            </w:r>
          </w:p>
        </w:tc>
        <w:tc>
          <w:tcPr>
            <w:tcW w:w="422" w:type="dxa"/>
          </w:tcPr>
          <w:p w14:paraId="2091B097" w14:textId="53B46D0D" w:rsidR="004966BF" w:rsidRPr="006B0E84" w:rsidRDefault="009F2C2A" w:rsidP="00AB43C4">
            <w:pPr>
              <w:spacing w:before="40"/>
              <w:jc w:val="center"/>
              <w:rPr>
                <w:rStyle w:val="checkbox"/>
                <w:rFonts w:ascii="Arial" w:hAnsi="Arial" w:cs="Arial"/>
              </w:rPr>
            </w:pPr>
            <w:sdt>
              <w:sdtPr>
                <w:rPr>
                  <w:rStyle w:val="checkbox"/>
                </w:rPr>
                <w:id w:val="-532576938"/>
                <w:placeholder>
                  <w:docPart w:val="7C899E2BA5F54172BFD48E67A3C7889B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94267F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10304C34" w14:textId="5F64660D" w:rsidR="004966BF" w:rsidRPr="006B0E84" w:rsidRDefault="00984BEA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>2019</w:t>
            </w:r>
          </w:p>
        </w:tc>
        <w:tc>
          <w:tcPr>
            <w:tcW w:w="6452" w:type="dxa"/>
          </w:tcPr>
          <w:p w14:paraId="083B5EE9" w14:textId="5685747B" w:rsidR="007F518B" w:rsidRPr="006B0E84" w:rsidRDefault="007F518B" w:rsidP="00A34AF0">
            <w:pPr>
              <w:pStyle w:val="Tablefont"/>
              <w:numPr>
                <w:ilvl w:val="0"/>
                <w:numId w:val="8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>Human data:</w:t>
            </w:r>
          </w:p>
          <w:p w14:paraId="58D28373" w14:textId="6296AF5A" w:rsidR="007F518B" w:rsidRPr="006B0E84" w:rsidRDefault="006E2B28" w:rsidP="00A34AF0">
            <w:pPr>
              <w:pStyle w:val="ListBullet"/>
              <w:numPr>
                <w:ilvl w:val="1"/>
                <w:numId w:val="5"/>
              </w:numPr>
              <w:spacing w:before="60" w:after="60"/>
              <w:ind w:left="1094" w:hanging="357"/>
              <w:contextualSpacing w:val="0"/>
              <w:rPr>
                <w:rStyle w:val="checkbox"/>
                <w:rFonts w:ascii="Arial" w:hAnsi="Arial" w:cs="Arial"/>
                <w:lang w:eastAsia="en-AU"/>
              </w:rPr>
            </w:pPr>
            <w:r>
              <w:rPr>
                <w:rStyle w:val="checkbox"/>
                <w:rFonts w:ascii="Arial" w:hAnsi="Arial" w:cs="Arial"/>
              </w:rPr>
              <w:t>n</w:t>
            </w:r>
            <w:r w:rsidR="007F518B" w:rsidRPr="006B0E84">
              <w:rPr>
                <w:rStyle w:val="checkbox"/>
                <w:rFonts w:ascii="Arial" w:hAnsi="Arial" w:cs="Arial"/>
              </w:rPr>
              <w:t>o striking symptom</w:t>
            </w:r>
            <w:r w:rsidR="00652C9E" w:rsidRPr="006B0E84">
              <w:rPr>
                <w:rStyle w:val="checkbox"/>
                <w:rFonts w:ascii="Arial" w:hAnsi="Arial" w:cs="Arial"/>
              </w:rPr>
              <w:t xml:space="preserve">s </w:t>
            </w:r>
            <w:r w:rsidR="007F518B" w:rsidRPr="006B0E84">
              <w:rPr>
                <w:rStyle w:val="checkbox"/>
                <w:rFonts w:ascii="Arial" w:hAnsi="Arial" w:cs="Arial"/>
              </w:rPr>
              <w:t xml:space="preserve">in a woman who </w:t>
            </w:r>
            <w:r w:rsidR="00652C9E" w:rsidRPr="006B0E84">
              <w:rPr>
                <w:rStyle w:val="checkbox"/>
                <w:rFonts w:ascii="Arial" w:hAnsi="Arial" w:cs="Arial"/>
              </w:rPr>
              <w:t xml:space="preserve">ingested </w:t>
            </w:r>
            <w:r w:rsidR="008D0877" w:rsidRPr="006B0E84">
              <w:rPr>
                <w:rStyle w:val="checkbox"/>
                <w:rFonts w:ascii="Arial" w:hAnsi="Arial" w:cs="Arial"/>
              </w:rPr>
              <w:t>38</w:t>
            </w:r>
            <w:r w:rsidR="008D0877">
              <w:rPr>
                <w:rStyle w:val="checkbox"/>
                <w:rFonts w:ascii="Arial" w:hAnsi="Arial" w:cs="Arial"/>
              </w:rPr>
              <w:t> </w:t>
            </w:r>
            <w:r w:rsidR="00652C9E" w:rsidRPr="006B0E84">
              <w:rPr>
                <w:rStyle w:val="checkbox"/>
                <w:rFonts w:ascii="Arial" w:hAnsi="Arial" w:cs="Arial"/>
              </w:rPr>
              <w:t>mg/kg</w:t>
            </w:r>
          </w:p>
          <w:p w14:paraId="2FBB5D78" w14:textId="49D2027C" w:rsidR="007F518B" w:rsidRPr="006B0E84" w:rsidRDefault="006E2B28" w:rsidP="00A34AF0">
            <w:pPr>
              <w:pStyle w:val="ListBullet"/>
              <w:numPr>
                <w:ilvl w:val="1"/>
                <w:numId w:val="5"/>
              </w:numPr>
              <w:spacing w:before="60" w:after="60"/>
              <w:ind w:left="1094" w:hanging="357"/>
              <w:contextualSpacing w:val="0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n</w:t>
            </w:r>
            <w:r w:rsidR="00652C9E" w:rsidRPr="006B0E84">
              <w:rPr>
                <w:rStyle w:val="checkbox"/>
                <w:rFonts w:ascii="Arial" w:hAnsi="Arial" w:cs="Arial"/>
              </w:rPr>
              <w:t>o exposure</w:t>
            </w:r>
            <w:r w:rsidR="007F518B" w:rsidRPr="006B0E84">
              <w:rPr>
                <w:rStyle w:val="checkbox"/>
                <w:rFonts w:ascii="Arial" w:hAnsi="Arial" w:cs="Arial"/>
              </w:rPr>
              <w:t>-related effects in</w:t>
            </w:r>
            <w:r w:rsidR="00652C9E" w:rsidRPr="006B0E84">
              <w:rPr>
                <w:rStyle w:val="checkbox"/>
                <w:rFonts w:ascii="Arial" w:hAnsi="Arial" w:cs="Arial"/>
              </w:rPr>
              <w:t xml:space="preserve"> personnel of </w:t>
            </w:r>
            <w:proofErr w:type="spellStart"/>
            <w:r w:rsidR="00652C9E" w:rsidRPr="006B0E84">
              <w:rPr>
                <w:rStyle w:val="checkbox"/>
                <w:rFonts w:ascii="Arial" w:hAnsi="Arial" w:cs="Arial"/>
              </w:rPr>
              <w:t>Diuron</w:t>
            </w:r>
            <w:proofErr w:type="spellEnd"/>
            <w:r w:rsidR="00652C9E" w:rsidRPr="006B0E84">
              <w:rPr>
                <w:rStyle w:val="checkbox"/>
                <w:rFonts w:ascii="Arial" w:hAnsi="Arial" w:cs="Arial"/>
              </w:rPr>
              <w:t xml:space="preserve"> production</w:t>
            </w:r>
          </w:p>
          <w:p w14:paraId="1C202033" w14:textId="4BFEFC92" w:rsidR="007F518B" w:rsidRPr="006B0E84" w:rsidRDefault="007F518B" w:rsidP="00A34AF0">
            <w:pPr>
              <w:pStyle w:val="Tablefont"/>
              <w:numPr>
                <w:ilvl w:val="0"/>
                <w:numId w:val="5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  <w:lang w:eastAsia="en-US"/>
              </w:rPr>
            </w:pPr>
            <w:r w:rsidRPr="006B0E84">
              <w:rPr>
                <w:rStyle w:val="checkbox"/>
                <w:rFonts w:ascii="Arial" w:hAnsi="Arial" w:cs="Arial"/>
              </w:rPr>
              <w:t>Animal data:</w:t>
            </w:r>
          </w:p>
          <w:p w14:paraId="4E1CC5E0" w14:textId="46823C6C" w:rsidR="00652C9E" w:rsidRPr="006B0E84" w:rsidRDefault="006E2B28" w:rsidP="00A34AF0">
            <w:pPr>
              <w:pStyle w:val="Tablefont"/>
              <w:numPr>
                <w:ilvl w:val="1"/>
                <w:numId w:val="5"/>
              </w:numPr>
              <w:spacing w:before="60" w:after="60"/>
              <w:ind w:left="1094" w:hanging="357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r</w:t>
            </w:r>
            <w:r w:rsidR="00652C9E" w:rsidRPr="006B0E84">
              <w:rPr>
                <w:rStyle w:val="checkbox"/>
                <w:rFonts w:ascii="Arial" w:hAnsi="Arial" w:cs="Arial"/>
              </w:rPr>
              <w:t xml:space="preserve">epeat inhalation study using aerosol with </w:t>
            </w:r>
            <w:r w:rsidR="00BD3B95">
              <w:rPr>
                <w:rStyle w:val="checkbox"/>
                <w:rFonts w:ascii="Arial" w:hAnsi="Arial" w:cs="Arial"/>
              </w:rPr>
              <w:t xml:space="preserve">exposure range </w:t>
            </w:r>
            <w:r w:rsidR="00953466">
              <w:rPr>
                <w:rStyle w:val="checkbox"/>
                <w:rFonts w:ascii="Arial" w:hAnsi="Arial" w:cs="Arial"/>
              </w:rPr>
              <w:t>0</w:t>
            </w:r>
            <w:r w:rsidR="00BD3B95">
              <w:rPr>
                <w:rStyle w:val="checkbox"/>
                <w:rFonts w:ascii="Arial" w:hAnsi="Arial" w:cs="Arial"/>
              </w:rPr>
              <w:t xml:space="preserve">, </w:t>
            </w:r>
            <w:r w:rsidR="00652C9E" w:rsidRPr="006B0E84">
              <w:rPr>
                <w:rStyle w:val="checkbox"/>
                <w:rFonts w:ascii="Arial" w:hAnsi="Arial" w:cs="Arial"/>
              </w:rPr>
              <w:t>4.1</w:t>
            </w:r>
            <w:r w:rsidR="00BD3B95">
              <w:rPr>
                <w:rStyle w:val="checkbox"/>
                <w:rFonts w:ascii="Arial" w:hAnsi="Arial" w:cs="Arial"/>
              </w:rPr>
              <w:t>–</w:t>
            </w:r>
            <w:r w:rsidR="00652C9E" w:rsidRPr="006B0E84">
              <w:rPr>
                <w:rStyle w:val="checkbox"/>
                <w:rFonts w:ascii="Arial" w:hAnsi="Arial" w:cs="Arial"/>
              </w:rPr>
              <w:t>268.1 mg/m</w:t>
            </w:r>
            <w:r w:rsidR="00652C9E" w:rsidRPr="006B0E84">
              <w:rPr>
                <w:rStyle w:val="checkbox"/>
                <w:rFonts w:ascii="Arial" w:hAnsi="Arial" w:cs="Arial"/>
                <w:vertAlign w:val="superscript"/>
              </w:rPr>
              <w:t>3</w:t>
            </w:r>
            <w:r w:rsidR="00652C9E" w:rsidRPr="006B0E84">
              <w:rPr>
                <w:rStyle w:val="checkbox"/>
                <w:rFonts w:ascii="Arial" w:hAnsi="Arial" w:cs="Arial"/>
              </w:rPr>
              <w:t xml:space="preserve"> (rats, </w:t>
            </w:r>
            <w:r w:rsidR="00301098" w:rsidRPr="006B0E84">
              <w:rPr>
                <w:rStyle w:val="checkbox"/>
                <w:rFonts w:ascii="Arial" w:hAnsi="Arial" w:cs="Arial"/>
              </w:rPr>
              <w:t>6 h/d, 5 d/</w:t>
            </w:r>
            <w:proofErr w:type="spellStart"/>
            <w:r w:rsidR="00301098" w:rsidRPr="006B0E84">
              <w:rPr>
                <w:rStyle w:val="checkbox"/>
                <w:rFonts w:ascii="Arial" w:hAnsi="Arial" w:cs="Arial"/>
              </w:rPr>
              <w:t>wk</w:t>
            </w:r>
            <w:proofErr w:type="spellEnd"/>
            <w:r w:rsidR="00301098" w:rsidRPr="006B0E84">
              <w:rPr>
                <w:rStyle w:val="checkbox"/>
                <w:rFonts w:ascii="Arial" w:hAnsi="Arial" w:cs="Arial"/>
              </w:rPr>
              <w:t xml:space="preserve">, 14 or </w:t>
            </w:r>
            <w:r w:rsidR="008D0877" w:rsidRPr="006B0E84">
              <w:rPr>
                <w:rStyle w:val="checkbox"/>
                <w:rFonts w:ascii="Arial" w:hAnsi="Arial" w:cs="Arial"/>
              </w:rPr>
              <w:t>28</w:t>
            </w:r>
            <w:r w:rsidR="008D0877">
              <w:rPr>
                <w:rStyle w:val="checkbox"/>
                <w:rFonts w:ascii="Arial" w:hAnsi="Arial" w:cs="Arial"/>
              </w:rPr>
              <w:t> </w:t>
            </w:r>
            <w:r w:rsidR="00301098" w:rsidRPr="006B0E84">
              <w:rPr>
                <w:rStyle w:val="checkbox"/>
                <w:rFonts w:ascii="Arial" w:hAnsi="Arial" w:cs="Arial"/>
              </w:rPr>
              <w:t>d)</w:t>
            </w:r>
          </w:p>
          <w:p w14:paraId="149EC353" w14:textId="046F8078" w:rsidR="00652C9E" w:rsidRPr="006B0E84" w:rsidRDefault="00652C9E" w:rsidP="00A34AF0">
            <w:pPr>
              <w:pStyle w:val="Tablefont"/>
              <w:numPr>
                <w:ilvl w:val="1"/>
                <w:numId w:val="5"/>
              </w:numPr>
              <w:spacing w:before="60" w:after="60"/>
              <w:ind w:left="1094" w:hanging="357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>NOAE</w:t>
            </w:r>
            <w:r w:rsidR="000C0C22" w:rsidRPr="006B0E84">
              <w:rPr>
                <w:rStyle w:val="checkbox"/>
                <w:rFonts w:ascii="Arial" w:hAnsi="Arial" w:cs="Arial"/>
              </w:rPr>
              <w:t>C</w:t>
            </w:r>
            <w:r w:rsidRPr="006B0E84">
              <w:rPr>
                <w:rStyle w:val="checkbox"/>
                <w:rFonts w:ascii="Arial" w:hAnsi="Arial" w:cs="Arial"/>
              </w:rPr>
              <w:t>: 37.4 mg/m</w:t>
            </w:r>
            <w:r w:rsidRPr="006B0E84">
              <w:rPr>
                <w:rStyle w:val="checkbox"/>
                <w:rFonts w:ascii="Arial" w:hAnsi="Arial" w:cs="Arial"/>
                <w:vertAlign w:val="superscript"/>
              </w:rPr>
              <w:t>3</w:t>
            </w:r>
            <w:r w:rsidRPr="006B0E84">
              <w:rPr>
                <w:rStyle w:val="checkbox"/>
                <w:rFonts w:ascii="Arial" w:hAnsi="Arial" w:cs="Arial"/>
              </w:rPr>
              <w:t xml:space="preserve"> </w:t>
            </w:r>
            <w:r w:rsidR="00AF5641" w:rsidRPr="006B0E84">
              <w:rPr>
                <w:rStyle w:val="checkbox"/>
                <w:rFonts w:ascii="Arial" w:hAnsi="Arial" w:cs="Arial"/>
              </w:rPr>
              <w:t>(males), 4.1 mg/m</w:t>
            </w:r>
            <w:r w:rsidR="00AF5641" w:rsidRPr="006B0E84">
              <w:rPr>
                <w:rStyle w:val="checkbox"/>
                <w:rFonts w:ascii="Arial" w:hAnsi="Arial" w:cs="Arial"/>
                <w:vertAlign w:val="superscript"/>
              </w:rPr>
              <w:t>3</w:t>
            </w:r>
            <w:r w:rsidR="00AF5641" w:rsidRPr="006B0E84">
              <w:rPr>
                <w:rStyle w:val="checkbox"/>
                <w:rFonts w:ascii="Arial" w:hAnsi="Arial" w:cs="Arial"/>
              </w:rPr>
              <w:t xml:space="preserve"> (females)</w:t>
            </w:r>
          </w:p>
          <w:p w14:paraId="65195101" w14:textId="44A03789" w:rsidR="00652C9E" w:rsidRPr="006B0E84" w:rsidRDefault="00652C9E" w:rsidP="00A34AF0">
            <w:pPr>
              <w:pStyle w:val="Tablefont"/>
              <w:numPr>
                <w:ilvl w:val="1"/>
                <w:numId w:val="5"/>
              </w:numPr>
              <w:spacing w:before="60" w:after="60"/>
              <w:ind w:left="1094" w:hanging="357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>LOAE</w:t>
            </w:r>
            <w:r w:rsidR="000C0C22" w:rsidRPr="006B0E84">
              <w:rPr>
                <w:rStyle w:val="checkbox"/>
                <w:rFonts w:ascii="Arial" w:hAnsi="Arial" w:cs="Arial"/>
              </w:rPr>
              <w:t>C</w:t>
            </w:r>
            <w:r w:rsidRPr="006B0E84">
              <w:rPr>
                <w:rStyle w:val="checkbox"/>
                <w:rFonts w:ascii="Arial" w:hAnsi="Arial" w:cs="Arial"/>
              </w:rPr>
              <w:t xml:space="preserve"> 268.1 mg/m</w:t>
            </w:r>
            <w:r w:rsidRPr="006B0E84">
              <w:rPr>
                <w:rStyle w:val="checkbox"/>
                <w:rFonts w:ascii="Arial" w:hAnsi="Arial" w:cs="Arial"/>
                <w:vertAlign w:val="superscript"/>
              </w:rPr>
              <w:t>3</w:t>
            </w:r>
            <w:r w:rsidRPr="006B0E84">
              <w:rPr>
                <w:rStyle w:val="checkbox"/>
                <w:rFonts w:ascii="Arial" w:hAnsi="Arial" w:cs="Arial"/>
              </w:rPr>
              <w:t xml:space="preserve"> </w:t>
            </w:r>
            <w:r w:rsidR="00AF5641" w:rsidRPr="006B0E84">
              <w:rPr>
                <w:rStyle w:val="checkbox"/>
                <w:rFonts w:ascii="Arial" w:hAnsi="Arial" w:cs="Arial"/>
              </w:rPr>
              <w:t>(males), 37.4 mg/m</w:t>
            </w:r>
            <w:r w:rsidR="00AF5641" w:rsidRPr="006B0E84">
              <w:rPr>
                <w:rStyle w:val="checkbox"/>
                <w:rFonts w:ascii="Arial" w:hAnsi="Arial" w:cs="Arial"/>
                <w:vertAlign w:val="superscript"/>
              </w:rPr>
              <w:t>3</w:t>
            </w:r>
            <w:r w:rsidR="00AF5641" w:rsidRPr="006B0E84">
              <w:rPr>
                <w:rStyle w:val="checkbox"/>
                <w:rFonts w:ascii="Arial" w:hAnsi="Arial" w:cs="Arial"/>
              </w:rPr>
              <w:t xml:space="preserve"> (females) </w:t>
            </w:r>
            <w:r w:rsidRPr="006B0E84">
              <w:rPr>
                <w:rStyle w:val="checkbox"/>
                <w:rFonts w:ascii="Arial" w:hAnsi="Arial" w:cs="Arial"/>
              </w:rPr>
              <w:t>for changes in haematological parameters and dark, enlarged spleens</w:t>
            </w:r>
          </w:p>
          <w:p w14:paraId="060EA786" w14:textId="193E91C8" w:rsidR="00AF5641" w:rsidRPr="006B0E84" w:rsidRDefault="00AF5641" w:rsidP="00A34AF0">
            <w:pPr>
              <w:pStyle w:val="Tablefont"/>
              <w:numPr>
                <w:ilvl w:val="1"/>
                <w:numId w:val="5"/>
              </w:numPr>
              <w:spacing w:before="60" w:after="60"/>
              <w:ind w:left="1094" w:hanging="357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>NOAE</w:t>
            </w:r>
            <w:r w:rsidR="000C0C22" w:rsidRPr="006B0E84">
              <w:rPr>
                <w:rStyle w:val="checkbox"/>
                <w:rFonts w:ascii="Arial" w:hAnsi="Arial" w:cs="Arial"/>
              </w:rPr>
              <w:t>C</w:t>
            </w:r>
            <w:r w:rsidRPr="006B0E84">
              <w:rPr>
                <w:rStyle w:val="checkbox"/>
                <w:rFonts w:ascii="Arial" w:hAnsi="Arial" w:cs="Arial"/>
              </w:rPr>
              <w:t>: 6.6 mg/m</w:t>
            </w:r>
            <w:r w:rsidRPr="006B0E84">
              <w:rPr>
                <w:rStyle w:val="checkbox"/>
                <w:rFonts w:ascii="Arial" w:hAnsi="Arial" w:cs="Arial"/>
                <w:vertAlign w:val="superscript"/>
              </w:rPr>
              <w:t>3</w:t>
            </w:r>
            <w:r w:rsidRPr="006B0E84">
              <w:rPr>
                <w:rStyle w:val="checkbox"/>
                <w:rFonts w:ascii="Arial" w:hAnsi="Arial" w:cs="Arial"/>
              </w:rPr>
              <w:t xml:space="preserve"> and LOAE</w:t>
            </w:r>
            <w:r w:rsidR="000C0C22" w:rsidRPr="006B0E84">
              <w:rPr>
                <w:rStyle w:val="checkbox"/>
                <w:rFonts w:ascii="Arial" w:hAnsi="Arial" w:cs="Arial"/>
              </w:rPr>
              <w:t>C</w:t>
            </w:r>
            <w:r w:rsidRPr="006B0E84">
              <w:rPr>
                <w:rStyle w:val="checkbox"/>
                <w:rFonts w:ascii="Arial" w:hAnsi="Arial" w:cs="Arial"/>
              </w:rPr>
              <w:t>: 47.6</w:t>
            </w:r>
            <w:r w:rsidR="00D16BCE">
              <w:rPr>
                <w:rStyle w:val="checkbox"/>
                <w:rFonts w:ascii="Arial" w:hAnsi="Arial" w:cs="Arial"/>
              </w:rPr>
              <w:t xml:space="preserve"> </w:t>
            </w:r>
            <w:r w:rsidRPr="006B0E84">
              <w:rPr>
                <w:rStyle w:val="checkbox"/>
                <w:rFonts w:ascii="Arial" w:hAnsi="Arial" w:cs="Arial"/>
              </w:rPr>
              <w:t>mg/m</w:t>
            </w:r>
            <w:r w:rsidRPr="006B0E84">
              <w:rPr>
                <w:rStyle w:val="checkbox"/>
                <w:rFonts w:ascii="Arial" w:hAnsi="Arial" w:cs="Arial"/>
                <w:vertAlign w:val="superscript"/>
              </w:rPr>
              <w:t>3</w:t>
            </w:r>
            <w:r w:rsidRPr="006B0E84">
              <w:rPr>
                <w:rStyle w:val="checkbox"/>
                <w:rFonts w:ascii="Arial" w:hAnsi="Arial" w:cs="Arial"/>
              </w:rPr>
              <w:t xml:space="preserve"> in similar study with same endpoints (rats, 21 d)</w:t>
            </w:r>
          </w:p>
          <w:p w14:paraId="295B4F24" w14:textId="73016C30" w:rsidR="00301098" w:rsidRPr="006B0E84" w:rsidRDefault="00301098" w:rsidP="00A34AF0">
            <w:pPr>
              <w:pStyle w:val="Tablefont"/>
              <w:numPr>
                <w:ilvl w:val="0"/>
                <w:numId w:val="5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 xml:space="preserve">Repeat dermal dose at 50 or 250 mg/kg/d (rabbits, 3 </w:t>
            </w:r>
            <w:proofErr w:type="spellStart"/>
            <w:r w:rsidRPr="006B0E84">
              <w:rPr>
                <w:rStyle w:val="checkbox"/>
                <w:rFonts w:ascii="Arial" w:hAnsi="Arial" w:cs="Arial"/>
              </w:rPr>
              <w:t>wk</w:t>
            </w:r>
            <w:proofErr w:type="spellEnd"/>
            <w:r w:rsidRPr="006B0E84">
              <w:rPr>
                <w:rStyle w:val="checkbox"/>
                <w:rFonts w:ascii="Arial" w:hAnsi="Arial" w:cs="Arial"/>
              </w:rPr>
              <w:t>) reported no adverse effects or systemic toxicity at highest dose</w:t>
            </w:r>
          </w:p>
          <w:p w14:paraId="2BFF3D3C" w14:textId="354890EC" w:rsidR="00301098" w:rsidRPr="006B0E84" w:rsidRDefault="00301098" w:rsidP="00A34AF0">
            <w:pPr>
              <w:pStyle w:val="Tablefont"/>
              <w:numPr>
                <w:ilvl w:val="0"/>
                <w:numId w:val="5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>Non-sensitising when challenged with 50% solution (guinea pigs, solvent not specified)</w:t>
            </w:r>
          </w:p>
          <w:p w14:paraId="1E5D249B" w14:textId="70E16873" w:rsidR="007F518B" w:rsidRPr="006B0E84" w:rsidRDefault="006D166C" w:rsidP="00A34AF0">
            <w:pPr>
              <w:pStyle w:val="Tablefont"/>
              <w:numPr>
                <w:ilvl w:val="0"/>
                <w:numId w:val="5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>Oral absorption is rapid, &gt;95% of 5–200 mg/kg dose recovered in excreta; 57% in urine, 38% in bile, peak blood concentrations at 1.7–6.8 h after dose (rats)</w:t>
            </w:r>
          </w:p>
          <w:p w14:paraId="127101E3" w14:textId="31D2AEE2" w:rsidR="006D166C" w:rsidRPr="006B0E84" w:rsidRDefault="006D166C" w:rsidP="00A34AF0">
            <w:pPr>
              <w:pStyle w:val="Tablefont"/>
              <w:numPr>
                <w:ilvl w:val="0"/>
                <w:numId w:val="5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 xml:space="preserve">Repeat feeding carcinogenicity study with </w:t>
            </w:r>
            <w:r w:rsidR="00BD3B95">
              <w:rPr>
                <w:rStyle w:val="checkbox"/>
                <w:rFonts w:ascii="Arial" w:hAnsi="Arial" w:cs="Arial"/>
              </w:rPr>
              <w:t>exposure</w:t>
            </w:r>
            <w:r w:rsidRPr="006B0E84">
              <w:rPr>
                <w:rStyle w:val="checkbox"/>
                <w:rFonts w:ascii="Arial" w:hAnsi="Arial" w:cs="Arial"/>
              </w:rPr>
              <w:t xml:space="preserve"> </w:t>
            </w:r>
            <w:r w:rsidR="00DA5A97" w:rsidRPr="006B0E84">
              <w:rPr>
                <w:rStyle w:val="checkbox"/>
                <w:rFonts w:ascii="Arial" w:hAnsi="Arial" w:cs="Arial"/>
              </w:rPr>
              <w:t>groups</w:t>
            </w:r>
            <w:r w:rsidRPr="006B0E84">
              <w:rPr>
                <w:rStyle w:val="checkbox"/>
                <w:rFonts w:ascii="Arial" w:hAnsi="Arial" w:cs="Arial"/>
              </w:rPr>
              <w:t xml:space="preserve"> </w:t>
            </w:r>
            <w:r w:rsidR="00953466">
              <w:rPr>
                <w:rStyle w:val="checkbox"/>
                <w:rFonts w:ascii="Arial" w:hAnsi="Arial" w:cs="Arial"/>
              </w:rPr>
              <w:t>0</w:t>
            </w:r>
            <w:r w:rsidR="00BD3B95">
              <w:rPr>
                <w:rStyle w:val="checkbox"/>
                <w:rFonts w:ascii="Arial" w:hAnsi="Arial" w:cs="Arial"/>
              </w:rPr>
              <w:t xml:space="preserve">, </w:t>
            </w:r>
            <w:r w:rsidRPr="006B0E84">
              <w:rPr>
                <w:rStyle w:val="checkbox"/>
                <w:rFonts w:ascii="Arial" w:hAnsi="Arial" w:cs="Arial"/>
              </w:rPr>
              <w:t>25</w:t>
            </w:r>
            <w:r w:rsidR="00DA5A97" w:rsidRPr="006B0E84">
              <w:rPr>
                <w:rStyle w:val="checkbox"/>
                <w:rFonts w:ascii="Arial" w:hAnsi="Arial" w:cs="Arial"/>
              </w:rPr>
              <w:t xml:space="preserve">, 250, and </w:t>
            </w:r>
            <w:r w:rsidRPr="006B0E84">
              <w:rPr>
                <w:rStyle w:val="checkbox"/>
                <w:rFonts w:ascii="Arial" w:hAnsi="Arial" w:cs="Arial"/>
              </w:rPr>
              <w:t xml:space="preserve">2,500 ppm </w:t>
            </w:r>
            <w:r w:rsidR="00DA5A97" w:rsidRPr="006B0E84">
              <w:rPr>
                <w:rStyle w:val="checkbox"/>
                <w:rFonts w:ascii="Arial" w:hAnsi="Arial" w:cs="Arial"/>
              </w:rPr>
              <w:t>of</w:t>
            </w:r>
            <w:r w:rsidRPr="006B0E84">
              <w:rPr>
                <w:rStyle w:val="checkbox"/>
                <w:rFonts w:ascii="Arial" w:hAnsi="Arial" w:cs="Arial"/>
              </w:rPr>
              <w:t xml:space="preserve"> diet</w:t>
            </w:r>
            <w:r w:rsidR="00DA5A97" w:rsidRPr="006B0E84">
              <w:rPr>
                <w:rStyle w:val="checkbox"/>
                <w:rFonts w:ascii="Arial" w:hAnsi="Arial" w:cs="Arial"/>
              </w:rPr>
              <w:t>;</w:t>
            </w:r>
            <w:r w:rsidRPr="006B0E84">
              <w:rPr>
                <w:rStyle w:val="checkbox"/>
                <w:rFonts w:ascii="Arial" w:hAnsi="Arial" w:cs="Arial"/>
              </w:rPr>
              <w:t xml:space="preserve"> ≈</w:t>
            </w:r>
            <w:r w:rsidR="00953466">
              <w:rPr>
                <w:rStyle w:val="checkbox"/>
                <w:rFonts w:ascii="Arial" w:hAnsi="Arial" w:cs="Arial"/>
              </w:rPr>
              <w:t>0</w:t>
            </w:r>
            <w:r w:rsidR="00BD3B95">
              <w:rPr>
                <w:rStyle w:val="checkbox"/>
                <w:rFonts w:ascii="Arial" w:hAnsi="Arial" w:cs="Arial"/>
              </w:rPr>
              <w:t xml:space="preserve">, </w:t>
            </w:r>
            <w:r w:rsidRPr="006B0E84">
              <w:rPr>
                <w:rStyle w:val="checkbox"/>
                <w:rFonts w:ascii="Arial" w:hAnsi="Arial" w:cs="Arial"/>
              </w:rPr>
              <w:t>1</w:t>
            </w:r>
            <w:r w:rsidR="00DA5A97" w:rsidRPr="006B0E84">
              <w:rPr>
                <w:rStyle w:val="checkbox"/>
                <w:rFonts w:ascii="Arial" w:hAnsi="Arial" w:cs="Arial"/>
              </w:rPr>
              <w:t xml:space="preserve">, 10, and </w:t>
            </w:r>
            <w:r w:rsidRPr="006B0E84">
              <w:rPr>
                <w:rStyle w:val="checkbox"/>
                <w:rFonts w:ascii="Arial" w:hAnsi="Arial" w:cs="Arial"/>
              </w:rPr>
              <w:t>111 mg/kg/d for males, ≈</w:t>
            </w:r>
            <w:r w:rsidR="00953466">
              <w:rPr>
                <w:rStyle w:val="checkbox"/>
                <w:rFonts w:ascii="Arial" w:hAnsi="Arial" w:cs="Arial"/>
              </w:rPr>
              <w:t>0</w:t>
            </w:r>
            <w:r w:rsidR="00BD3B95">
              <w:rPr>
                <w:rStyle w:val="checkbox"/>
                <w:rFonts w:ascii="Arial" w:hAnsi="Arial" w:cs="Arial"/>
              </w:rPr>
              <w:t xml:space="preserve">, </w:t>
            </w:r>
            <w:r w:rsidR="00DA5A97" w:rsidRPr="006B0E84">
              <w:rPr>
                <w:rStyle w:val="checkbox"/>
                <w:rFonts w:ascii="Arial" w:hAnsi="Arial" w:cs="Arial"/>
              </w:rPr>
              <w:t xml:space="preserve">1.7, 17, and 203 mg/kg/d for females (rats, </w:t>
            </w:r>
            <w:r w:rsidR="008D0877" w:rsidRPr="006B0E84">
              <w:rPr>
                <w:rStyle w:val="checkbox"/>
                <w:rFonts w:ascii="Arial" w:hAnsi="Arial" w:cs="Arial"/>
              </w:rPr>
              <w:t>2</w:t>
            </w:r>
            <w:r w:rsidR="008D0877">
              <w:rPr>
                <w:rStyle w:val="checkbox"/>
                <w:rFonts w:ascii="Arial" w:hAnsi="Arial" w:cs="Arial"/>
              </w:rPr>
              <w:t> </w:t>
            </w:r>
            <w:proofErr w:type="spellStart"/>
            <w:r w:rsidR="00DA5A97" w:rsidRPr="006B0E84">
              <w:rPr>
                <w:rStyle w:val="checkbox"/>
                <w:rFonts w:ascii="Arial" w:hAnsi="Arial" w:cs="Arial"/>
              </w:rPr>
              <w:t>yr</w:t>
            </w:r>
            <w:proofErr w:type="spellEnd"/>
            <w:r w:rsidR="00DA5A97" w:rsidRPr="006B0E84">
              <w:rPr>
                <w:rStyle w:val="checkbox"/>
                <w:rFonts w:ascii="Arial" w:hAnsi="Arial" w:cs="Arial"/>
              </w:rPr>
              <w:t>)</w:t>
            </w:r>
            <w:r w:rsidR="006E2B28">
              <w:rPr>
                <w:rStyle w:val="checkbox"/>
                <w:rFonts w:ascii="Arial" w:hAnsi="Arial" w:cs="Arial"/>
              </w:rPr>
              <w:t>:</w:t>
            </w:r>
          </w:p>
          <w:p w14:paraId="6F7D7C6C" w14:textId="7FF5A142" w:rsidR="00DA5A97" w:rsidRPr="006B0E84" w:rsidRDefault="003B3D00" w:rsidP="00A34AF0">
            <w:pPr>
              <w:pStyle w:val="Tablefont"/>
              <w:numPr>
                <w:ilvl w:val="1"/>
                <w:numId w:val="5"/>
              </w:numPr>
              <w:spacing w:before="60" w:after="60"/>
              <w:ind w:left="1094" w:hanging="357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>l</w:t>
            </w:r>
            <w:r w:rsidR="00DA5A97" w:rsidRPr="006B0E84">
              <w:rPr>
                <w:rStyle w:val="checkbox"/>
                <w:rFonts w:ascii="Arial" w:hAnsi="Arial" w:cs="Arial"/>
              </w:rPr>
              <w:t>ow mortality overall</w:t>
            </w:r>
          </w:p>
          <w:p w14:paraId="29CA0399" w14:textId="14F0C415" w:rsidR="00DA5A97" w:rsidRPr="006B0E84" w:rsidRDefault="003B3D00" w:rsidP="00A34AF0">
            <w:pPr>
              <w:pStyle w:val="Tablefont"/>
              <w:numPr>
                <w:ilvl w:val="1"/>
                <w:numId w:val="5"/>
              </w:numPr>
              <w:spacing w:before="60" w:after="60"/>
              <w:ind w:left="1094" w:hanging="357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>m</w:t>
            </w:r>
            <w:r w:rsidR="00DA5A97" w:rsidRPr="006B0E84">
              <w:rPr>
                <w:rStyle w:val="checkbox"/>
                <w:rFonts w:ascii="Arial" w:hAnsi="Arial" w:cs="Arial"/>
              </w:rPr>
              <w:t xml:space="preserve">alignant </w:t>
            </w:r>
            <w:proofErr w:type="spellStart"/>
            <w:r w:rsidR="00DA5A97" w:rsidRPr="006B0E84">
              <w:rPr>
                <w:rStyle w:val="checkbox"/>
                <w:rFonts w:ascii="Arial" w:hAnsi="Arial" w:cs="Arial"/>
              </w:rPr>
              <w:t>neoplasias</w:t>
            </w:r>
            <w:proofErr w:type="spellEnd"/>
            <w:r w:rsidR="00DA5A97" w:rsidRPr="006B0E84">
              <w:rPr>
                <w:rStyle w:val="checkbox"/>
                <w:rFonts w:ascii="Arial" w:hAnsi="Arial" w:cs="Arial"/>
              </w:rPr>
              <w:t xml:space="preserve"> in bladder at 2,500 ppm and renal epithelial carcinoma in some males at 2,500 ppm</w:t>
            </w:r>
          </w:p>
          <w:p w14:paraId="722A18E1" w14:textId="26789584" w:rsidR="00E11BAB" w:rsidRPr="006B0E84" w:rsidRDefault="00E11BAB" w:rsidP="00A34AF0">
            <w:pPr>
              <w:pStyle w:val="Tablefont"/>
              <w:numPr>
                <w:ilvl w:val="1"/>
                <w:numId w:val="5"/>
              </w:numPr>
              <w:spacing w:before="60" w:after="60"/>
              <w:ind w:left="1094" w:hanging="357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>NOAEL for carcinogenic effects was 1–10 mg/kg/d (males) and 1.7–17 mg/kg/d (females)</w:t>
            </w:r>
          </w:p>
          <w:p w14:paraId="5E28C842" w14:textId="6BB8C0C2" w:rsidR="00DA5A97" w:rsidRPr="006B0E84" w:rsidRDefault="00DA5A97" w:rsidP="00A34AF0">
            <w:pPr>
              <w:pStyle w:val="Tablefont"/>
              <w:numPr>
                <w:ilvl w:val="1"/>
                <w:numId w:val="5"/>
              </w:numPr>
              <w:spacing w:before="60" w:after="60"/>
              <w:ind w:left="1094" w:hanging="357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 xml:space="preserve">NOAEL: </w:t>
            </w:r>
            <w:r w:rsidR="00E11BAB" w:rsidRPr="006B0E84">
              <w:rPr>
                <w:rStyle w:val="checkbox"/>
                <w:rFonts w:ascii="Arial" w:hAnsi="Arial" w:cs="Arial"/>
              </w:rPr>
              <w:t>1</w:t>
            </w:r>
            <w:r w:rsidRPr="006B0E84">
              <w:rPr>
                <w:rStyle w:val="checkbox"/>
                <w:rFonts w:ascii="Arial" w:hAnsi="Arial" w:cs="Arial"/>
              </w:rPr>
              <w:t xml:space="preserve"> </w:t>
            </w:r>
            <w:r w:rsidR="00E11BAB" w:rsidRPr="006B0E84">
              <w:rPr>
                <w:rStyle w:val="checkbox"/>
                <w:rFonts w:ascii="Arial" w:hAnsi="Arial" w:cs="Arial"/>
              </w:rPr>
              <w:t>mg/kg/d</w:t>
            </w:r>
            <w:r w:rsidRPr="006B0E84">
              <w:rPr>
                <w:rStyle w:val="checkbox"/>
                <w:rFonts w:ascii="Arial" w:hAnsi="Arial" w:cs="Arial"/>
              </w:rPr>
              <w:t xml:space="preserve"> for urothelial lesions</w:t>
            </w:r>
            <w:r w:rsidR="00E11BAB" w:rsidRPr="006B0E84">
              <w:rPr>
                <w:rStyle w:val="checkbox"/>
                <w:rFonts w:ascii="Arial" w:hAnsi="Arial" w:cs="Arial"/>
              </w:rPr>
              <w:t>;</w:t>
            </w:r>
            <w:r w:rsidRPr="006B0E84">
              <w:rPr>
                <w:rStyle w:val="checkbox"/>
                <w:rFonts w:ascii="Arial" w:hAnsi="Arial" w:cs="Arial"/>
              </w:rPr>
              <w:t xml:space="preserve"> no NOAEL </w:t>
            </w:r>
            <w:r w:rsidR="00E11BAB" w:rsidRPr="006B0E84">
              <w:rPr>
                <w:rStyle w:val="checkbox"/>
                <w:rFonts w:ascii="Arial" w:hAnsi="Arial" w:cs="Arial"/>
              </w:rPr>
              <w:t xml:space="preserve">for haematological changes in females </w:t>
            </w:r>
            <w:r w:rsidRPr="006B0E84">
              <w:rPr>
                <w:rStyle w:val="checkbox"/>
                <w:rFonts w:ascii="Arial" w:hAnsi="Arial" w:cs="Arial"/>
              </w:rPr>
              <w:t xml:space="preserve">established </w:t>
            </w:r>
          </w:p>
          <w:p w14:paraId="0C77BDAC" w14:textId="37692BA5" w:rsidR="00DA5A97" w:rsidRPr="006B0E84" w:rsidRDefault="003B3D00" w:rsidP="00A34AF0">
            <w:pPr>
              <w:pStyle w:val="Tablefont"/>
              <w:numPr>
                <w:ilvl w:val="1"/>
                <w:numId w:val="5"/>
              </w:numPr>
              <w:spacing w:before="60" w:after="60"/>
              <w:ind w:left="1094" w:hanging="357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>s</w:t>
            </w:r>
            <w:r w:rsidR="00DA5A97" w:rsidRPr="006B0E84">
              <w:rPr>
                <w:rStyle w:val="checkbox"/>
                <w:rFonts w:ascii="Arial" w:hAnsi="Arial" w:cs="Arial"/>
              </w:rPr>
              <w:t>pleen fibrosis and haematological changes at 250 ppm of diet (males), 2,500 ppm of diet (females)</w:t>
            </w:r>
          </w:p>
          <w:p w14:paraId="083E3AB6" w14:textId="352CCF7B" w:rsidR="007F518B" w:rsidRPr="006B0E84" w:rsidRDefault="003B3D00" w:rsidP="00A34AF0">
            <w:pPr>
              <w:pStyle w:val="Tablefont"/>
              <w:numPr>
                <w:ilvl w:val="1"/>
                <w:numId w:val="5"/>
              </w:numPr>
              <w:spacing w:before="60" w:after="60"/>
              <w:ind w:left="1094" w:hanging="357"/>
              <w:rPr>
                <w:rStyle w:val="checkbox"/>
                <w:rFonts w:ascii="Arial" w:hAnsi="Arial" w:cs="Arial"/>
              </w:rPr>
            </w:pPr>
            <w:r w:rsidRPr="006B0E84">
              <w:rPr>
                <w:rStyle w:val="checkbox"/>
                <w:rFonts w:ascii="Arial" w:hAnsi="Arial" w:cs="Arial"/>
              </w:rPr>
              <w:t>s</w:t>
            </w:r>
            <w:r w:rsidR="00E11BAB" w:rsidRPr="006B0E84">
              <w:rPr>
                <w:rStyle w:val="checkbox"/>
                <w:rFonts w:ascii="Arial" w:hAnsi="Arial" w:cs="Arial"/>
              </w:rPr>
              <w:t>imilar study with mice reported NOAEL of 250 ppm; ≈51</w:t>
            </w:r>
            <w:r w:rsidR="00E47035">
              <w:rPr>
                <w:rStyle w:val="checkbox"/>
                <w:rFonts w:ascii="Arial" w:hAnsi="Arial" w:cs="Arial"/>
              </w:rPr>
              <w:t> </w:t>
            </w:r>
            <w:r w:rsidR="00E11BAB" w:rsidRPr="006B0E84">
              <w:rPr>
                <w:rStyle w:val="checkbox"/>
                <w:rFonts w:ascii="Arial" w:hAnsi="Arial" w:cs="Arial"/>
              </w:rPr>
              <w:t>mg/kg/d for males, ≈78 mg/kg/d for females for bladder hyperplasia</w:t>
            </w:r>
          </w:p>
          <w:p w14:paraId="27E814F9" w14:textId="78561DDF" w:rsidR="0017206C" w:rsidRPr="00E47035" w:rsidRDefault="0017206C" w:rsidP="00A34AF0">
            <w:pPr>
              <w:pStyle w:val="Tablefont"/>
              <w:numPr>
                <w:ilvl w:val="0"/>
                <w:numId w:val="5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  <w:lang w:val="it-IT"/>
              </w:rPr>
            </w:pPr>
            <w:r w:rsidRPr="002925D1">
              <w:rPr>
                <w:rStyle w:val="checkbox"/>
                <w:rFonts w:ascii="Arial" w:hAnsi="Arial" w:cs="Arial"/>
                <w:lang w:val="it-IT"/>
              </w:rPr>
              <w:t>Non-</w:t>
            </w:r>
            <w:r w:rsidRPr="003E4420">
              <w:rPr>
                <w:rStyle w:val="checkbox"/>
                <w:rFonts w:ascii="Arial" w:hAnsi="Arial" w:cs="Arial"/>
              </w:rPr>
              <w:t>mutagenic</w:t>
            </w:r>
            <w:r w:rsidRPr="002925D1">
              <w:rPr>
                <w:rStyle w:val="checkbox"/>
                <w:rFonts w:ascii="Arial" w:hAnsi="Arial" w:cs="Arial"/>
                <w:lang w:val="it-IT"/>
              </w:rPr>
              <w:t xml:space="preserve"> </w:t>
            </w:r>
            <w:r w:rsidRPr="002925D1">
              <w:rPr>
                <w:rStyle w:val="checkbox"/>
                <w:rFonts w:ascii="Arial" w:hAnsi="Arial" w:cs="Arial"/>
                <w:i/>
                <w:lang w:val="it-IT"/>
              </w:rPr>
              <w:t>in vitro</w:t>
            </w:r>
            <w:r w:rsidRPr="002925D1">
              <w:rPr>
                <w:rStyle w:val="checkbox"/>
                <w:rFonts w:ascii="Arial" w:hAnsi="Arial" w:cs="Arial"/>
                <w:lang w:val="it-IT"/>
              </w:rPr>
              <w:t xml:space="preserve"> or </w:t>
            </w:r>
            <w:r w:rsidRPr="002925D1">
              <w:rPr>
                <w:rStyle w:val="checkbox"/>
                <w:rFonts w:ascii="Arial" w:hAnsi="Arial" w:cs="Arial"/>
                <w:i/>
                <w:lang w:val="it-IT"/>
              </w:rPr>
              <w:t xml:space="preserve">in </w:t>
            </w:r>
            <w:r w:rsidRPr="00E47035">
              <w:rPr>
                <w:rStyle w:val="checkbox"/>
                <w:rFonts w:ascii="Arial" w:hAnsi="Arial" w:cs="Arial"/>
                <w:i/>
                <w:lang w:val="it-IT"/>
              </w:rPr>
              <w:t>vivo</w:t>
            </w:r>
            <w:r w:rsidRPr="00E47035">
              <w:rPr>
                <w:rStyle w:val="checkbox"/>
                <w:rFonts w:ascii="Arial" w:hAnsi="Arial" w:cs="Arial"/>
                <w:lang w:val="it-IT"/>
              </w:rPr>
              <w:t>.</w:t>
            </w:r>
          </w:p>
        </w:tc>
      </w:tr>
    </w:tbl>
    <w:p w14:paraId="4A351410" w14:textId="77777777" w:rsidR="007E2A4B" w:rsidRPr="00E47035" w:rsidRDefault="007E2A4B">
      <w:pPr>
        <w:rPr>
          <w:rFonts w:cs="Arial"/>
          <w:lang w:val="it-IT"/>
        </w:rPr>
      </w:pPr>
    </w:p>
    <w:bookmarkEnd w:id="0"/>
    <w:p w14:paraId="714F7F61" w14:textId="77777777" w:rsidR="007E2A4B" w:rsidRPr="006B0E84" w:rsidRDefault="007E2A4B" w:rsidP="007E2A4B">
      <w:pPr>
        <w:pStyle w:val="Heading3"/>
      </w:pPr>
      <w:r w:rsidRPr="006B0E84"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597"/>
        <w:gridCol w:w="2429"/>
      </w:tblGrid>
      <w:tr w:rsidR="002E0D61" w:rsidRPr="006B0E84" w14:paraId="463F4A2D" w14:textId="77777777" w:rsidTr="00604692">
        <w:trPr>
          <w:trHeight w:val="454"/>
          <w:tblHeader/>
        </w:trPr>
        <w:tc>
          <w:tcPr>
            <w:tcW w:w="6597" w:type="dxa"/>
            <w:vAlign w:val="center"/>
          </w:tcPr>
          <w:p w14:paraId="11D696B7" w14:textId="77777777" w:rsidR="002E0D61" w:rsidRPr="006B0E84" w:rsidRDefault="00B1422A" w:rsidP="00C3091E">
            <w:pPr>
              <w:pStyle w:val="Tablefont"/>
              <w:keepNext/>
              <w:keepLines/>
              <w:spacing w:before="40" w:after="40"/>
              <w:rPr>
                <w:rFonts w:cs="Arial"/>
              </w:rPr>
            </w:pPr>
            <w:bookmarkStart w:id="2" w:name="GCQuest"/>
            <w:r w:rsidRPr="006B0E84">
              <w:rPr>
                <w:rFonts w:cs="Arial"/>
              </w:rPr>
              <w:t>Is the chemical mutagenic</w:t>
            </w:r>
            <w:r w:rsidR="002E0D61" w:rsidRPr="006B0E84">
              <w:rPr>
                <w:rFonts w:cs="Arial"/>
              </w:rPr>
              <w:t>?</w:t>
            </w:r>
          </w:p>
        </w:tc>
        <w:sdt>
          <w:sdtPr>
            <w:rPr>
              <w:rFonts w:cs="Arial"/>
            </w:r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29" w:type="dxa"/>
                <w:vAlign w:val="center"/>
              </w:tcPr>
              <w:p w14:paraId="7060A24D" w14:textId="06314730" w:rsidR="002E0D61" w:rsidRPr="006B0E84" w:rsidRDefault="0017206C" w:rsidP="00C3091E">
                <w:pPr>
                  <w:pStyle w:val="Tablefont"/>
                  <w:keepNext/>
                  <w:keepLines/>
                  <w:spacing w:before="40" w:after="40"/>
                  <w:rPr>
                    <w:rFonts w:cs="Arial"/>
                  </w:rPr>
                </w:pPr>
                <w:r w:rsidRPr="006B0E84">
                  <w:rPr>
                    <w:rFonts w:cs="Arial"/>
                  </w:rPr>
                  <w:t>No</w:t>
                </w:r>
              </w:p>
            </w:tc>
          </w:sdtContent>
        </w:sdt>
      </w:tr>
      <w:tr w:rsidR="008A36CF" w:rsidRPr="006B0E84" w14:paraId="09F234CF" w14:textId="77777777" w:rsidTr="00604692">
        <w:trPr>
          <w:trHeight w:val="454"/>
        </w:trPr>
        <w:sdt>
          <w:sdtPr>
            <w:rPr>
              <w:rFonts w:cs="Arial"/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597" w:type="dxa"/>
                <w:vAlign w:val="center"/>
              </w:tcPr>
              <w:p w14:paraId="537F4578" w14:textId="7ECD749C" w:rsidR="008A36CF" w:rsidRPr="006B0E84" w:rsidRDefault="00604692" w:rsidP="008A36CF">
                <w:pPr>
                  <w:pStyle w:val="Tablefont"/>
                  <w:keepNext/>
                  <w:keepLines/>
                  <w:spacing w:before="40" w:after="40"/>
                  <w:rPr>
                    <w:rFonts w:cs="Arial"/>
                    <w:b/>
                  </w:rPr>
                </w:pPr>
                <w:r w:rsidRPr="006B0E84">
                  <w:rPr>
                    <w:rFonts w:cs="Arial"/>
                    <w:b/>
                  </w:rPr>
                  <w:t>The chemical is not a non-threshold based genotoxic carcinogen.</w:t>
                </w:r>
              </w:p>
            </w:tc>
          </w:sdtContent>
        </w:sdt>
        <w:tc>
          <w:tcPr>
            <w:tcW w:w="2429" w:type="dxa"/>
            <w:vAlign w:val="center"/>
          </w:tcPr>
          <w:p w14:paraId="5498EE13" w14:textId="77777777" w:rsidR="008A36CF" w:rsidRPr="006B0E84" w:rsidRDefault="008A36CF" w:rsidP="008A36CF">
            <w:pPr>
              <w:pStyle w:val="Tablefont"/>
              <w:keepNext/>
              <w:keepLines/>
              <w:spacing w:before="40" w:after="40"/>
              <w:rPr>
                <w:rFonts w:cs="Arial"/>
              </w:rPr>
            </w:pPr>
          </w:p>
        </w:tc>
      </w:tr>
    </w:tbl>
    <w:bookmarkEnd w:id="2"/>
    <w:p w14:paraId="77BD54C1" w14:textId="77777777" w:rsidR="00687890" w:rsidRPr="006B0E84" w:rsidRDefault="00B479A9" w:rsidP="00474E33">
      <w:pPr>
        <w:pStyle w:val="Heading2"/>
      </w:pPr>
      <w:r w:rsidRPr="006B0E84"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6B0E84" w14:paraId="0B1F705F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35696347" w14:textId="77777777" w:rsidR="00687890" w:rsidRPr="006B0E84" w:rsidRDefault="00687890" w:rsidP="00263255">
            <w:pPr>
              <w:pStyle w:val="Tableheader"/>
              <w:rPr>
                <w:rFonts w:cs="Arial"/>
              </w:rPr>
            </w:pPr>
            <w:bookmarkStart w:id="3" w:name="Notations"/>
            <w:r w:rsidRPr="006B0E84">
              <w:rPr>
                <w:rFonts w:cs="Arial"/>
              </w:rPr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27127BAD" w14:textId="77777777" w:rsidR="00687890" w:rsidRPr="006B0E84" w:rsidRDefault="00687890" w:rsidP="00F4402E">
            <w:pPr>
              <w:pStyle w:val="Tableheader"/>
              <w:tabs>
                <w:tab w:val="right" w:pos="5272"/>
              </w:tabs>
              <w:rPr>
                <w:rFonts w:cs="Arial"/>
              </w:rPr>
            </w:pPr>
            <w:r w:rsidRPr="006B0E84">
              <w:rPr>
                <w:rFonts w:cs="Arial"/>
              </w:rPr>
              <w:t>Notations</w:t>
            </w:r>
            <w:r w:rsidR="003A2B94" w:rsidRPr="006B0E84">
              <w:rPr>
                <w:rFonts w:cs="Arial"/>
              </w:rPr>
              <w:tab/>
            </w:r>
          </w:p>
        </w:tc>
      </w:tr>
      <w:tr w:rsidR="00687890" w:rsidRPr="006B0E84" w14:paraId="77A1C9A3" w14:textId="77777777" w:rsidTr="00812887">
        <w:trPr>
          <w:cantSplit/>
        </w:trPr>
        <w:tc>
          <w:tcPr>
            <w:tcW w:w="3227" w:type="dxa"/>
          </w:tcPr>
          <w:p w14:paraId="50269BCA" w14:textId="77777777" w:rsidR="004079B4" w:rsidRPr="006B0E84" w:rsidRDefault="00084513" w:rsidP="00F4402E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SWA</w:t>
            </w:r>
          </w:p>
        </w:tc>
        <w:tc>
          <w:tcPr>
            <w:tcW w:w="6015" w:type="dxa"/>
          </w:tcPr>
          <w:p w14:paraId="743385D2" w14:textId="188C8913" w:rsidR="00687890" w:rsidRPr="006B0E84" w:rsidRDefault="003344BC" w:rsidP="00DD2F9B">
            <w:pPr>
              <w:pStyle w:val="Tablefont"/>
              <w:rPr>
                <w:rFonts w:cs="Arial"/>
              </w:rPr>
            </w:pPr>
            <w:proofErr w:type="spellStart"/>
            <w:r w:rsidRPr="006B0E84">
              <w:rPr>
                <w:rFonts w:cs="Arial"/>
              </w:rPr>
              <w:t>Carc</w:t>
            </w:r>
            <w:proofErr w:type="spellEnd"/>
            <w:r w:rsidRPr="006B0E84">
              <w:rPr>
                <w:rFonts w:cs="Arial"/>
              </w:rPr>
              <w:t>. 2</w:t>
            </w:r>
          </w:p>
        </w:tc>
      </w:tr>
      <w:tr w:rsidR="007925F0" w:rsidRPr="006B0E84" w14:paraId="017C853B" w14:textId="77777777" w:rsidTr="00812887">
        <w:trPr>
          <w:cantSplit/>
        </w:trPr>
        <w:tc>
          <w:tcPr>
            <w:tcW w:w="3227" w:type="dxa"/>
          </w:tcPr>
          <w:p w14:paraId="14C17844" w14:textId="77777777" w:rsidR="004079B4" w:rsidRPr="006B0E84" w:rsidRDefault="007925F0" w:rsidP="00F4402E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HCIS</w:t>
            </w:r>
          </w:p>
        </w:tc>
        <w:tc>
          <w:tcPr>
            <w:tcW w:w="6015" w:type="dxa"/>
          </w:tcPr>
          <w:p w14:paraId="5D2F7A87" w14:textId="0A7AC731" w:rsidR="007925F0" w:rsidRPr="006B0E84" w:rsidRDefault="003344BC" w:rsidP="00DD2F9B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Carcinogenicity – category 2</w:t>
            </w:r>
          </w:p>
        </w:tc>
      </w:tr>
      <w:tr w:rsidR="00AF483F" w:rsidRPr="006B0E84" w14:paraId="29FCBBA3" w14:textId="77777777" w:rsidTr="00812887">
        <w:trPr>
          <w:cantSplit/>
        </w:trPr>
        <w:tc>
          <w:tcPr>
            <w:tcW w:w="3227" w:type="dxa"/>
          </w:tcPr>
          <w:p w14:paraId="210FE966" w14:textId="77777777" w:rsidR="00AF483F" w:rsidRPr="006B0E84" w:rsidRDefault="00AF483F" w:rsidP="00F4402E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NICNAS</w:t>
            </w:r>
          </w:p>
        </w:tc>
        <w:tc>
          <w:tcPr>
            <w:tcW w:w="6015" w:type="dxa"/>
          </w:tcPr>
          <w:p w14:paraId="7A79B409" w14:textId="3F0F2BD4" w:rsidR="00AF483F" w:rsidRPr="006B0E84" w:rsidRDefault="003344BC" w:rsidP="00DD2F9B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NA</w:t>
            </w:r>
          </w:p>
        </w:tc>
      </w:tr>
      <w:tr w:rsidR="00687890" w:rsidRPr="006B0E84" w14:paraId="077A68D6" w14:textId="77777777" w:rsidTr="00812887">
        <w:trPr>
          <w:cantSplit/>
        </w:trPr>
        <w:tc>
          <w:tcPr>
            <w:tcW w:w="3227" w:type="dxa"/>
          </w:tcPr>
          <w:p w14:paraId="5FB72FE8" w14:textId="77777777" w:rsidR="004079B4" w:rsidRPr="006B0E84" w:rsidRDefault="00687890" w:rsidP="00F4402E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EU Annex</w:t>
            </w:r>
          </w:p>
        </w:tc>
        <w:tc>
          <w:tcPr>
            <w:tcW w:w="6015" w:type="dxa"/>
          </w:tcPr>
          <w:p w14:paraId="11B5D35E" w14:textId="11FD2C76" w:rsidR="00687890" w:rsidRPr="006B0E84" w:rsidRDefault="003344BC" w:rsidP="00DD2F9B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Carcinogenicity – category 2</w:t>
            </w:r>
          </w:p>
        </w:tc>
      </w:tr>
      <w:tr w:rsidR="00E41A26" w:rsidRPr="006B0E84" w14:paraId="206DD9B7" w14:textId="77777777" w:rsidTr="00812887">
        <w:trPr>
          <w:cantSplit/>
        </w:trPr>
        <w:tc>
          <w:tcPr>
            <w:tcW w:w="3227" w:type="dxa"/>
          </w:tcPr>
          <w:p w14:paraId="7E14893E" w14:textId="77777777" w:rsidR="00E41A26" w:rsidRPr="006B0E84" w:rsidRDefault="00E41A26" w:rsidP="00F4402E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ECHA</w:t>
            </w:r>
          </w:p>
        </w:tc>
        <w:tc>
          <w:tcPr>
            <w:tcW w:w="6015" w:type="dxa"/>
          </w:tcPr>
          <w:p w14:paraId="74E215DE" w14:textId="1B970CCA" w:rsidR="00E41A26" w:rsidRPr="006B0E84" w:rsidRDefault="003344BC" w:rsidP="00DD2F9B">
            <w:pPr>
              <w:pStyle w:val="Tablefont"/>
              <w:rPr>
                <w:rFonts w:cs="Arial"/>
              </w:rPr>
            </w:pPr>
            <w:proofErr w:type="spellStart"/>
            <w:r w:rsidRPr="006B0E84">
              <w:rPr>
                <w:rFonts w:cs="Arial"/>
              </w:rPr>
              <w:t>Carc</w:t>
            </w:r>
            <w:proofErr w:type="spellEnd"/>
            <w:r w:rsidRPr="006B0E84">
              <w:rPr>
                <w:rFonts w:cs="Arial"/>
              </w:rPr>
              <w:t>. 2</w:t>
            </w:r>
          </w:p>
        </w:tc>
      </w:tr>
      <w:tr w:rsidR="002E0D61" w:rsidRPr="006B0E84" w14:paraId="568EB1E6" w14:textId="77777777" w:rsidTr="00812887">
        <w:trPr>
          <w:cantSplit/>
        </w:trPr>
        <w:tc>
          <w:tcPr>
            <w:tcW w:w="3227" w:type="dxa"/>
          </w:tcPr>
          <w:p w14:paraId="314602E5" w14:textId="77777777" w:rsidR="004079B4" w:rsidRPr="006B0E84" w:rsidRDefault="002E0D61" w:rsidP="00F4402E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ACGIH</w:t>
            </w:r>
          </w:p>
        </w:tc>
        <w:tc>
          <w:tcPr>
            <w:tcW w:w="6015" w:type="dxa"/>
          </w:tcPr>
          <w:p w14:paraId="65E9D49F" w14:textId="1301AD8A" w:rsidR="002E0D61" w:rsidRPr="006B0E84" w:rsidRDefault="003344BC" w:rsidP="00DD2F9B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Carcinogenicity – A4</w:t>
            </w:r>
          </w:p>
        </w:tc>
      </w:tr>
      <w:tr w:rsidR="002E0D61" w:rsidRPr="006B0E84" w14:paraId="28D6446C" w14:textId="77777777" w:rsidTr="00812887">
        <w:trPr>
          <w:cantSplit/>
        </w:trPr>
        <w:tc>
          <w:tcPr>
            <w:tcW w:w="3227" w:type="dxa"/>
          </w:tcPr>
          <w:p w14:paraId="3B4BB21A" w14:textId="77777777" w:rsidR="004079B4" w:rsidRPr="006B0E84" w:rsidRDefault="002E0D61" w:rsidP="00F4402E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DFG</w:t>
            </w:r>
          </w:p>
        </w:tc>
        <w:tc>
          <w:tcPr>
            <w:tcW w:w="6015" w:type="dxa"/>
          </w:tcPr>
          <w:p w14:paraId="61FC5859" w14:textId="6E5500E4" w:rsidR="002E0D61" w:rsidRPr="006B0E84" w:rsidRDefault="003344BC" w:rsidP="00DD2F9B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NA</w:t>
            </w:r>
          </w:p>
        </w:tc>
      </w:tr>
      <w:tr w:rsidR="002E0D61" w:rsidRPr="006B0E84" w14:paraId="796480E6" w14:textId="77777777" w:rsidTr="00812887">
        <w:trPr>
          <w:cantSplit/>
        </w:trPr>
        <w:tc>
          <w:tcPr>
            <w:tcW w:w="3227" w:type="dxa"/>
          </w:tcPr>
          <w:p w14:paraId="3F0BA0E7" w14:textId="77777777" w:rsidR="004079B4" w:rsidRPr="006B0E84" w:rsidRDefault="002E0D61" w:rsidP="00F4402E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SCOEL</w:t>
            </w:r>
          </w:p>
        </w:tc>
        <w:tc>
          <w:tcPr>
            <w:tcW w:w="6015" w:type="dxa"/>
          </w:tcPr>
          <w:p w14:paraId="3C288434" w14:textId="315C5400" w:rsidR="002E0D61" w:rsidRPr="006B0E84" w:rsidRDefault="003344BC" w:rsidP="00DD2F9B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NA</w:t>
            </w:r>
          </w:p>
        </w:tc>
      </w:tr>
      <w:tr w:rsidR="002E0D61" w:rsidRPr="006B0E84" w14:paraId="59CBAEC6" w14:textId="77777777" w:rsidTr="00812887">
        <w:trPr>
          <w:cantSplit/>
        </w:trPr>
        <w:tc>
          <w:tcPr>
            <w:tcW w:w="3227" w:type="dxa"/>
          </w:tcPr>
          <w:p w14:paraId="1FB1F8BC" w14:textId="77777777" w:rsidR="004079B4" w:rsidRPr="006B0E84" w:rsidRDefault="002E0D61" w:rsidP="00F4402E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HCOTN</w:t>
            </w:r>
          </w:p>
        </w:tc>
        <w:tc>
          <w:tcPr>
            <w:tcW w:w="6015" w:type="dxa"/>
          </w:tcPr>
          <w:p w14:paraId="099FFD79" w14:textId="31615BF7" w:rsidR="002E0D61" w:rsidRPr="006B0E84" w:rsidRDefault="003344BC" w:rsidP="00DD2F9B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NA</w:t>
            </w:r>
          </w:p>
        </w:tc>
      </w:tr>
      <w:tr w:rsidR="00386093" w:rsidRPr="006B0E84" w14:paraId="3C1E3164" w14:textId="77777777" w:rsidTr="00812887">
        <w:trPr>
          <w:cantSplit/>
        </w:trPr>
        <w:tc>
          <w:tcPr>
            <w:tcW w:w="3227" w:type="dxa"/>
          </w:tcPr>
          <w:p w14:paraId="75FCB506" w14:textId="77777777" w:rsidR="004079B4" w:rsidRPr="006B0E84" w:rsidRDefault="00386093" w:rsidP="00F4402E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IARC</w:t>
            </w:r>
          </w:p>
        </w:tc>
        <w:tc>
          <w:tcPr>
            <w:tcW w:w="6015" w:type="dxa"/>
          </w:tcPr>
          <w:p w14:paraId="7AB991E0" w14:textId="720589B8" w:rsidR="00386093" w:rsidRPr="006B0E84" w:rsidRDefault="003344BC" w:rsidP="00DD2F9B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NA</w:t>
            </w:r>
          </w:p>
        </w:tc>
      </w:tr>
      <w:tr w:rsidR="00386093" w:rsidRPr="006B0E84" w14:paraId="51735AD8" w14:textId="77777777" w:rsidTr="00812887">
        <w:trPr>
          <w:cantSplit/>
        </w:trPr>
        <w:tc>
          <w:tcPr>
            <w:tcW w:w="3227" w:type="dxa"/>
          </w:tcPr>
          <w:p w14:paraId="6D599C45" w14:textId="77777777" w:rsidR="004079B4" w:rsidRPr="006B0E84" w:rsidRDefault="00386093" w:rsidP="00F4402E">
            <w:pPr>
              <w:pStyle w:val="Tablefont"/>
              <w:keepNext/>
              <w:rPr>
                <w:rFonts w:cs="Arial"/>
              </w:rPr>
            </w:pPr>
            <w:r w:rsidRPr="006B0E84">
              <w:rPr>
                <w:rFonts w:cs="Arial"/>
              </w:rPr>
              <w:t>US NIOSH</w:t>
            </w:r>
          </w:p>
        </w:tc>
        <w:tc>
          <w:tcPr>
            <w:tcW w:w="6015" w:type="dxa"/>
          </w:tcPr>
          <w:p w14:paraId="21CD0631" w14:textId="04D0A689" w:rsidR="00386093" w:rsidRPr="006B0E84" w:rsidRDefault="003344BC" w:rsidP="00D87570">
            <w:pPr>
              <w:pStyle w:val="Tablefont"/>
              <w:keepNext/>
              <w:rPr>
                <w:rFonts w:cs="Arial"/>
              </w:rPr>
            </w:pPr>
            <w:r w:rsidRPr="006B0E84">
              <w:rPr>
                <w:rFonts w:cs="Arial"/>
              </w:rPr>
              <w:t>NA</w:t>
            </w:r>
          </w:p>
        </w:tc>
      </w:tr>
    </w:tbl>
    <w:bookmarkEnd w:id="3"/>
    <w:p w14:paraId="5170F087" w14:textId="77777777" w:rsidR="00485BFD" w:rsidRPr="006B0E84" w:rsidRDefault="00485BFD" w:rsidP="00485BFD">
      <w:pPr>
        <w:pStyle w:val="Tablefooter"/>
        <w:rPr>
          <w:rFonts w:cs="Arial"/>
        </w:rPr>
      </w:pPr>
      <w:r w:rsidRPr="006B0E84">
        <w:rPr>
          <w:rFonts w:cs="Arial"/>
        </w:rPr>
        <w:t>NA = not applicable (a recommendation has not been made by this Agency); —</w:t>
      </w:r>
      <w:r w:rsidR="00D87570" w:rsidRPr="006B0E84">
        <w:rPr>
          <w:rFonts w:cs="Arial"/>
        </w:rPr>
        <w:t xml:space="preserve"> = the Agency has assessed available data for this chemical but has not recommended any notations</w:t>
      </w:r>
    </w:p>
    <w:p w14:paraId="74C83FA2" w14:textId="77777777" w:rsidR="00474E33" w:rsidRPr="006B0E84" w:rsidRDefault="00474E33" w:rsidP="00474E33">
      <w:pPr>
        <w:pStyle w:val="Heading3"/>
      </w:pPr>
      <w:r w:rsidRPr="006B0E84"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6B0E84" w14:paraId="094A87FA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413E2CD4" w14:textId="77777777" w:rsidR="00932DCE" w:rsidRPr="006B0E84" w:rsidRDefault="00932DCE" w:rsidP="00F4402E">
            <w:pPr>
              <w:pStyle w:val="Tableheader"/>
              <w:keepNext/>
              <w:tabs>
                <w:tab w:val="right" w:pos="8800"/>
              </w:tabs>
              <w:rPr>
                <w:rFonts w:cs="Arial"/>
              </w:rPr>
            </w:pPr>
            <w:bookmarkStart w:id="4" w:name="SkinNot"/>
            <w:r w:rsidRPr="006B0E84">
              <w:rPr>
                <w:rFonts w:cs="Arial"/>
              </w:rPr>
              <w:t>Calculation</w:t>
            </w:r>
            <w:r w:rsidR="00177CA1" w:rsidRPr="006B0E84">
              <w:rPr>
                <w:rFonts w:cs="Arial"/>
              </w:rPr>
              <w:tab/>
            </w:r>
          </w:p>
        </w:tc>
      </w:tr>
      <w:tr w:rsidR="00932DCE" w:rsidRPr="006B0E84" w14:paraId="78D0955F" w14:textId="77777777" w:rsidTr="00EA6243">
        <w:trPr>
          <w:cantSplit/>
          <w:tblHeader/>
        </w:trPr>
        <w:tc>
          <w:tcPr>
            <w:tcW w:w="5000" w:type="pct"/>
            <w:vAlign w:val="center"/>
          </w:tcPr>
          <w:tbl>
            <w:tblPr>
              <w:tblW w:w="8790" w:type="dxa"/>
              <w:tblLook w:val="04A0" w:firstRow="1" w:lastRow="0" w:firstColumn="1" w:lastColumn="0" w:noHBand="0" w:noVBand="1"/>
            </w:tblPr>
            <w:tblGrid>
              <w:gridCol w:w="3657"/>
              <w:gridCol w:w="1077"/>
              <w:gridCol w:w="1077"/>
              <w:gridCol w:w="2979"/>
            </w:tblGrid>
            <w:tr w:rsidR="00C65D1D" w:rsidRPr="006B0E84" w14:paraId="7E3B5E14" w14:textId="77777777" w:rsidTr="00C65D1D">
              <w:trPr>
                <w:trHeight w:val="231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94AB2E1" w14:textId="77777777" w:rsidR="00C65D1D" w:rsidRPr="006B0E84" w:rsidRDefault="00C65D1D" w:rsidP="00C65D1D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Adverse effects in human case study: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1BD3ECC" w14:textId="77777777" w:rsidR="00C65D1D" w:rsidRPr="006B0E84" w:rsidRDefault="00C65D1D" w:rsidP="00C65D1D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41F08E1" w14:textId="77777777" w:rsidR="00C65D1D" w:rsidRPr="006B0E84" w:rsidRDefault="00C65D1D" w:rsidP="00C65D1D">
                  <w:pPr>
                    <w:spacing w:after="0" w:line="240" w:lineRule="auto"/>
                    <w:rPr>
                      <w:rFonts w:eastAsia="Times New Roman" w:cs="Arial"/>
                      <w:color w:val="C5D9F1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5A46174" w14:textId="77777777" w:rsidR="00C65D1D" w:rsidRPr="006B0E84" w:rsidRDefault="00C65D1D" w:rsidP="00C65D1D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65D1D" w:rsidRPr="006B0E84" w14:paraId="58C1C62A" w14:textId="77777777" w:rsidTr="00C65D1D">
              <w:trPr>
                <w:trHeight w:val="231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6951549" w14:textId="77777777" w:rsidR="00C65D1D" w:rsidRPr="006B0E84" w:rsidRDefault="00C65D1D" w:rsidP="00C65D1D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 xml:space="preserve"> ≤1000 mg/kg: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05E5A46" w14:textId="77777777" w:rsidR="00C65D1D" w:rsidRPr="006B0E84" w:rsidRDefault="00C65D1D" w:rsidP="00C65D1D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EBA1795" w14:textId="77777777" w:rsidR="00C65D1D" w:rsidRPr="006B0E84" w:rsidRDefault="00C65D1D" w:rsidP="00C65D1D">
                  <w:pPr>
                    <w:spacing w:after="0" w:line="240" w:lineRule="auto"/>
                    <w:rPr>
                      <w:rFonts w:eastAsia="Times New Roman" w:cs="Arial"/>
                      <w:color w:val="C5D9F1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4277509" w14:textId="77777777" w:rsidR="00C65D1D" w:rsidRPr="006B0E84" w:rsidRDefault="00C65D1D" w:rsidP="00C65D1D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65D1D" w:rsidRPr="006B0E84" w14:paraId="78413F60" w14:textId="77777777" w:rsidTr="00C65D1D">
              <w:trPr>
                <w:trHeight w:val="231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CDC28AE" w14:textId="77777777" w:rsidR="00C65D1D" w:rsidRPr="006B0E84" w:rsidRDefault="00C65D1D" w:rsidP="00C65D1D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Dermal repeat-dose NOAEL ≤200 mg/kg: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5115282" w14:textId="77777777" w:rsidR="00C65D1D" w:rsidRPr="006B0E84" w:rsidRDefault="00C65D1D" w:rsidP="00C65D1D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no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4972104" w14:textId="77777777" w:rsidR="00C65D1D" w:rsidRPr="006B0E84" w:rsidRDefault="00C65D1D" w:rsidP="00C65D1D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C5D9F1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C5D9F1"/>
                      <w:sz w:val="18"/>
                      <w:szCs w:val="18"/>
                      <w:lang w:eastAsia="en-AU"/>
                    </w:rPr>
                    <w:t>-3.00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4DA5D7B" w14:textId="77777777" w:rsidR="00C65D1D" w:rsidRPr="006B0E84" w:rsidRDefault="00C65D1D" w:rsidP="00C65D1D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65D1D" w:rsidRPr="006B0E84" w14:paraId="76371A43" w14:textId="77777777" w:rsidTr="00C65D1D">
              <w:trPr>
                <w:trHeight w:val="231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A294447" w14:textId="77777777" w:rsidR="00C65D1D" w:rsidRPr="006B0E84" w:rsidRDefault="00C65D1D" w:rsidP="00C65D1D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/Inhalation LD</w:t>
                  </w: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 xml:space="preserve"> &lt;10: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C2D421E" w14:textId="77777777" w:rsidR="00C65D1D" w:rsidRPr="006B0E84" w:rsidRDefault="00C65D1D" w:rsidP="00C65D1D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F4E4926" w14:textId="77777777" w:rsidR="00C65D1D" w:rsidRPr="006B0E84" w:rsidRDefault="00C65D1D" w:rsidP="00C65D1D">
                  <w:pPr>
                    <w:spacing w:after="0" w:line="240" w:lineRule="auto"/>
                    <w:rPr>
                      <w:rFonts w:eastAsia="Times New Roman" w:cs="Arial"/>
                      <w:color w:val="C5D9F1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958FEE3" w14:textId="77777777" w:rsidR="00C65D1D" w:rsidRPr="006B0E84" w:rsidRDefault="00C65D1D" w:rsidP="00C65D1D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65D1D" w:rsidRPr="006B0E84" w14:paraId="628ED3C0" w14:textId="77777777" w:rsidTr="00C65D1D">
              <w:trPr>
                <w:trHeight w:val="231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AF76757" w14:textId="77777777" w:rsidR="00C65D1D" w:rsidRPr="006B0E84" w:rsidRDefault="00C65D1D" w:rsidP="00C65D1D">
                  <w:pPr>
                    <w:spacing w:after="0" w:line="240" w:lineRule="auto"/>
                    <w:jc w:val="right"/>
                    <w:rPr>
                      <w:rFonts w:eastAsia="Times New Roman" w:cs="Arial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In vivo</w:t>
                  </w: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 xml:space="preserve"> dermal absorption rate &gt;10%: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04436C4" w14:textId="77777777" w:rsidR="00C65D1D" w:rsidRPr="006B0E84" w:rsidRDefault="00C65D1D" w:rsidP="00C65D1D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3F5E5F5" w14:textId="77777777" w:rsidR="00C65D1D" w:rsidRPr="006B0E84" w:rsidRDefault="00C65D1D" w:rsidP="00C65D1D">
                  <w:pPr>
                    <w:spacing w:after="0" w:line="240" w:lineRule="auto"/>
                    <w:rPr>
                      <w:rFonts w:eastAsia="Times New Roman" w:cs="Arial"/>
                      <w:color w:val="C5D9F1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B8398EE" w14:textId="77777777" w:rsidR="00C65D1D" w:rsidRPr="006B0E84" w:rsidRDefault="00C65D1D" w:rsidP="00C65D1D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65D1D" w:rsidRPr="006B0E84" w14:paraId="7C2981E0" w14:textId="77777777" w:rsidTr="00C65D1D">
              <w:trPr>
                <w:trHeight w:val="231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C5E5F2B" w14:textId="77777777" w:rsidR="00C65D1D" w:rsidRPr="006B0E84" w:rsidRDefault="00C65D1D" w:rsidP="00C65D1D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Estimated dermal exposure at WES &gt;10%: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B75B61B" w14:textId="77777777" w:rsidR="00C65D1D" w:rsidRPr="006B0E84" w:rsidRDefault="00C65D1D" w:rsidP="00C65D1D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DD82093" w14:textId="77777777" w:rsidR="00C65D1D" w:rsidRPr="006B0E84" w:rsidRDefault="00C65D1D" w:rsidP="00C65D1D">
                  <w:pPr>
                    <w:spacing w:after="0" w:line="240" w:lineRule="auto"/>
                    <w:rPr>
                      <w:rFonts w:eastAsia="Times New Roman" w:cs="Arial"/>
                      <w:color w:val="C5D9F1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7665723" w14:textId="77777777" w:rsidR="00C65D1D" w:rsidRPr="006B0E84" w:rsidRDefault="00C65D1D" w:rsidP="00C65D1D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65D1D" w:rsidRPr="006B0E84" w14:paraId="0ACC80C7" w14:textId="77777777" w:rsidTr="00C65D1D">
              <w:trPr>
                <w:trHeight w:val="231"/>
              </w:trPr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F685600" w14:textId="77777777" w:rsidR="00C65D1D" w:rsidRPr="006B0E84" w:rsidRDefault="00C65D1D" w:rsidP="00C65D1D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0B81FEE" w14:textId="77777777" w:rsidR="00C65D1D" w:rsidRPr="006B0E84" w:rsidRDefault="00C65D1D" w:rsidP="00C65D1D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2ADD6CF" w14:textId="77777777" w:rsidR="00C65D1D" w:rsidRPr="006B0E84" w:rsidRDefault="00C65D1D" w:rsidP="00C65D1D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C5D9F1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color w:val="C5D9F1"/>
                      <w:sz w:val="18"/>
                      <w:szCs w:val="18"/>
                      <w:lang w:eastAsia="en-AU"/>
                    </w:rPr>
                    <w:t>-3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216ABE1" w14:textId="77777777" w:rsidR="00C65D1D" w:rsidRPr="006B0E84" w:rsidRDefault="00C65D1D" w:rsidP="00C65D1D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6B0E84">
                    <w:rPr>
                      <w:rFonts w:eastAsia="Times New Roman" w:cs="Arial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a skin notation is not warranted</w:t>
                  </w:r>
                </w:p>
              </w:tc>
            </w:tr>
          </w:tbl>
          <w:p w14:paraId="0B4F35D3" w14:textId="263F6677" w:rsidR="00932DCE" w:rsidRPr="006B0E84" w:rsidRDefault="00932DCE" w:rsidP="00F9496B">
            <w:pPr>
              <w:pStyle w:val="Tablefont"/>
              <w:rPr>
                <w:rFonts w:cs="Arial"/>
              </w:rPr>
            </w:pPr>
          </w:p>
        </w:tc>
      </w:tr>
    </w:tbl>
    <w:bookmarkEnd w:id="4"/>
    <w:p w14:paraId="74FF66C7" w14:textId="77777777" w:rsidR="00EB3D1B" w:rsidRPr="006B0E84" w:rsidRDefault="00EB3D1B" w:rsidP="00EB3D1B">
      <w:pPr>
        <w:pStyle w:val="Heading3"/>
      </w:pPr>
      <w:r w:rsidRPr="006B0E84"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9"/>
        <w:gridCol w:w="4757"/>
      </w:tblGrid>
      <w:tr w:rsidR="00EB3D1B" w:rsidRPr="006B0E84" w14:paraId="014AD095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0516D782" w14:textId="77777777" w:rsidR="00EB3D1B" w:rsidRPr="006B0E84" w:rsidRDefault="00EB3D1B" w:rsidP="00D87570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 xml:space="preserve">Is there a </w:t>
            </w:r>
            <w:r w:rsidR="006E5D05" w:rsidRPr="006B0E84">
              <w:rPr>
                <w:rFonts w:cs="Arial"/>
              </w:rPr>
              <w:t>suitable</w:t>
            </w:r>
            <w:r w:rsidRPr="006B0E84">
              <w:rPr>
                <w:rFonts w:cs="Arial"/>
              </w:rPr>
              <w:t xml:space="preserve"> IDLH value available?</w:t>
            </w:r>
          </w:p>
        </w:tc>
        <w:sdt>
          <w:sdtPr>
            <w:rPr>
              <w:rFonts w:cs="Arial"/>
            </w:r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58564967" w14:textId="071C1ED1" w:rsidR="00EB3D1B" w:rsidRPr="006B0E84" w:rsidRDefault="00FC30B5" w:rsidP="00EB3D1B">
                <w:pPr>
                  <w:pStyle w:val="Tablefont"/>
                  <w:rPr>
                    <w:rFonts w:cs="Arial"/>
                  </w:rPr>
                </w:pPr>
                <w:r w:rsidRPr="006B0E84">
                  <w:rPr>
                    <w:rFonts w:cs="Arial"/>
                  </w:rPr>
                  <w:t>No</w:t>
                </w:r>
              </w:p>
            </w:tc>
          </w:sdtContent>
        </w:sdt>
      </w:tr>
    </w:tbl>
    <w:p w14:paraId="2E30A7A4" w14:textId="77777777" w:rsidR="00687890" w:rsidRPr="006B0E84" w:rsidRDefault="00B479A9" w:rsidP="00474E33">
      <w:pPr>
        <w:pStyle w:val="Heading2"/>
      </w:pPr>
      <w:r w:rsidRPr="006B0E84">
        <w:lastRenderedPageBreak/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6"/>
        <w:gridCol w:w="5030"/>
      </w:tblGrid>
      <w:tr w:rsidR="001B79E5" w:rsidRPr="006B0E84" w14:paraId="2FD6912B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1B9C0B4F" w14:textId="77777777" w:rsidR="001B79E5" w:rsidRPr="006B0E84" w:rsidRDefault="001B79E5" w:rsidP="00A31D99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Molecular weight:</w:t>
            </w:r>
          </w:p>
        </w:tc>
        <w:sdt>
          <w:sdtPr>
            <w:rPr>
              <w:rFonts w:cs="Arial"/>
            </w:r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4C6A94AD" w14:textId="4A7812D5" w:rsidR="001B79E5" w:rsidRPr="006B0E84" w:rsidRDefault="001E7B33" w:rsidP="001B79E5">
                <w:pPr>
                  <w:pStyle w:val="Tablefont"/>
                  <w:rPr>
                    <w:rFonts w:cs="Arial"/>
                  </w:rPr>
                </w:pPr>
                <w:r w:rsidRPr="006B0E84">
                  <w:rPr>
                    <w:rFonts w:cs="Arial"/>
                  </w:rPr>
                  <w:t>233.10</w:t>
                </w:r>
              </w:p>
            </w:tc>
          </w:sdtContent>
        </w:sdt>
      </w:tr>
      <w:tr w:rsidR="00A31D99" w:rsidRPr="006B0E84" w14:paraId="16ED55A2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558BF862" w14:textId="77777777" w:rsidR="00A31D99" w:rsidRPr="006B0E84" w:rsidRDefault="00A31D99" w:rsidP="00A31D99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 xml:space="preserve">Conversion factors at 25°C and 101.3 </w:t>
            </w:r>
            <w:proofErr w:type="spellStart"/>
            <w:r w:rsidRPr="006B0E84">
              <w:rPr>
                <w:rFonts w:cs="Arial"/>
              </w:rPr>
              <w:t>kPa</w:t>
            </w:r>
            <w:proofErr w:type="spellEnd"/>
            <w:r w:rsidRPr="006B0E84">
              <w:rPr>
                <w:rFonts w:cs="Arial"/>
              </w:rPr>
              <w:t xml:space="preserve">: </w:t>
            </w:r>
          </w:p>
        </w:tc>
        <w:tc>
          <w:tcPr>
            <w:tcW w:w="5165" w:type="dxa"/>
            <w:vAlign w:val="center"/>
          </w:tcPr>
          <w:p w14:paraId="75C4B8AA" w14:textId="060660F3" w:rsidR="00A31D99" w:rsidRPr="006B0E84" w:rsidRDefault="00A0643F" w:rsidP="00A174CC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 xml:space="preserve">1 ppm = </w:t>
            </w:r>
            <w:sdt>
              <w:sdtPr>
                <w:rPr>
                  <w:rFonts w:cs="Arial"/>
                </w:rPr>
                <w:id w:val="-371151491"/>
                <w:placeholder>
                  <w:docPart w:val="A7231FB73EFF4B2B92EB3BD21C0CEA01"/>
                </w:placeholder>
              </w:sdtPr>
              <w:sdtEndPr/>
              <w:sdtContent>
                <w:r w:rsidR="001E7B33" w:rsidRPr="006B0E84">
                  <w:rPr>
                    <w:rFonts w:cs="Arial"/>
                  </w:rPr>
                  <w:t>9.53</w:t>
                </w:r>
              </w:sdtContent>
            </w:sdt>
            <w:r w:rsidRPr="006B0E84">
              <w:rPr>
                <w:rFonts w:cs="Arial"/>
              </w:rPr>
              <w:t xml:space="preserve"> mg/m</w:t>
            </w:r>
            <w:r w:rsidRPr="006B0E84">
              <w:rPr>
                <w:rFonts w:cs="Arial"/>
                <w:vertAlign w:val="superscript"/>
              </w:rPr>
              <w:t>3</w:t>
            </w:r>
            <w:r w:rsidRPr="006B0E84">
              <w:rPr>
                <w:rFonts w:cs="Arial"/>
              </w:rPr>
              <w:t>; 1 mg/m</w:t>
            </w:r>
            <w:r w:rsidRPr="006B0E84">
              <w:rPr>
                <w:rFonts w:cs="Arial"/>
                <w:vertAlign w:val="superscript"/>
              </w:rPr>
              <w:t>3</w:t>
            </w:r>
            <w:r w:rsidRPr="006B0E84">
              <w:rPr>
                <w:rFonts w:cs="Arial"/>
              </w:rPr>
              <w:t xml:space="preserve"> = </w:t>
            </w:r>
            <w:sdt>
              <w:sdtPr>
                <w:rPr>
                  <w:rFonts w:cs="Arial"/>
                </w:rPr>
                <w:id w:val="-1913150218"/>
                <w:placeholder>
                  <w:docPart w:val="5D98FA8C84704C71B6F1557317AE5303"/>
                </w:placeholder>
              </w:sdtPr>
              <w:sdtEndPr/>
              <w:sdtContent>
                <w:r w:rsidR="001E7B33" w:rsidRPr="006B0E84">
                  <w:rPr>
                    <w:rFonts w:cs="Arial"/>
                  </w:rPr>
                  <w:t>0.105</w:t>
                </w:r>
              </w:sdtContent>
            </w:sdt>
            <w:r w:rsidRPr="006B0E84">
              <w:rPr>
                <w:rFonts w:cs="Arial"/>
              </w:rPr>
              <w:t xml:space="preserve"> ppm</w:t>
            </w:r>
          </w:p>
        </w:tc>
      </w:tr>
      <w:tr w:rsidR="00687890" w:rsidRPr="006B0E84" w14:paraId="68355F57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29FAF5B4" w14:textId="77777777" w:rsidR="00687890" w:rsidRPr="006B0E84" w:rsidRDefault="00687890" w:rsidP="00263255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This chemical is used as a pesticide:</w:t>
            </w:r>
          </w:p>
        </w:tc>
        <w:sdt>
          <w:sdtPr>
            <w:rPr>
              <w:rFonts w:cs="Arial"/>
            </w:rPr>
            <w:id w:val="170444106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1BB0C9AB" w14:textId="09A1D2CA" w:rsidR="00687890" w:rsidRPr="006B0E84" w:rsidRDefault="00984BEA" w:rsidP="00717D45">
                <w:pPr>
                  <w:pStyle w:val="Tablefont"/>
                  <w:rPr>
                    <w:rFonts w:cs="Arial"/>
                  </w:rPr>
                </w:pPr>
                <w:r w:rsidRPr="006B0E84">
                  <w:rPr>
                    <w:rFonts w:cs="Arial"/>
                  </w:rPr>
                  <w:sym w:font="Wingdings" w:char="F0FC"/>
                </w:r>
              </w:p>
            </w:tc>
          </w:sdtContent>
        </w:sdt>
      </w:tr>
      <w:tr w:rsidR="00687890" w:rsidRPr="006B0E84" w14:paraId="675EB0D6" w14:textId="77777777" w:rsidTr="00EA6243">
        <w:trPr>
          <w:cantSplit/>
        </w:trPr>
        <w:tc>
          <w:tcPr>
            <w:tcW w:w="4077" w:type="dxa"/>
            <w:vAlign w:val="center"/>
          </w:tcPr>
          <w:p w14:paraId="62976B9D" w14:textId="77777777" w:rsidR="00687890" w:rsidRPr="006B0E84" w:rsidRDefault="00687890" w:rsidP="00263255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This chemical is a biological product:</w:t>
            </w:r>
          </w:p>
        </w:tc>
        <w:sdt>
          <w:sdtPr>
            <w:rPr>
              <w:rFonts w:cs="Arial"/>
            </w:r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66084C29" w14:textId="77777777" w:rsidR="00687890" w:rsidRPr="006B0E84" w:rsidRDefault="00A20751" w:rsidP="00717D45">
                <w:pPr>
                  <w:pStyle w:val="Tablefont"/>
                  <w:rPr>
                    <w:rFonts w:cs="Arial"/>
                  </w:rPr>
                </w:pPr>
                <w:r w:rsidRPr="006B0E8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87890" w:rsidRPr="006B0E84" w14:paraId="69CD8D16" w14:textId="77777777" w:rsidTr="00EA6243">
        <w:trPr>
          <w:cantSplit/>
        </w:trPr>
        <w:tc>
          <w:tcPr>
            <w:tcW w:w="4077" w:type="dxa"/>
            <w:vAlign w:val="center"/>
          </w:tcPr>
          <w:p w14:paraId="36B2E9D2" w14:textId="77777777" w:rsidR="00687890" w:rsidRPr="006B0E84" w:rsidRDefault="00687890" w:rsidP="00263255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>This chemical is a by-product of a process:</w:t>
            </w:r>
          </w:p>
        </w:tc>
        <w:sdt>
          <w:sdtPr>
            <w:rPr>
              <w:rFonts w:cs="Arial"/>
            </w:r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08C0DC3C" w14:textId="77777777" w:rsidR="00687890" w:rsidRPr="006B0E84" w:rsidRDefault="00687890" w:rsidP="00717D45">
                <w:pPr>
                  <w:pStyle w:val="Tablefont"/>
                  <w:rPr>
                    <w:rFonts w:cs="Arial"/>
                  </w:rPr>
                </w:pPr>
                <w:r w:rsidRPr="006B0E8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06F40" w:rsidRPr="006B0E84" w14:paraId="2A5E522C" w14:textId="77777777" w:rsidTr="00EA6243">
        <w:trPr>
          <w:cantSplit/>
        </w:trPr>
        <w:tc>
          <w:tcPr>
            <w:tcW w:w="4077" w:type="dxa"/>
            <w:vAlign w:val="center"/>
          </w:tcPr>
          <w:p w14:paraId="0DAA740A" w14:textId="77777777" w:rsidR="00E06F40" w:rsidRPr="006B0E84" w:rsidRDefault="00E06F40" w:rsidP="00084513">
            <w:pPr>
              <w:pStyle w:val="Tablefont"/>
              <w:rPr>
                <w:rFonts w:cs="Arial"/>
              </w:rPr>
            </w:pPr>
            <w:r w:rsidRPr="006B0E84">
              <w:rPr>
                <w:rFonts w:cs="Arial"/>
              </w:rPr>
              <w:t xml:space="preserve">A biological exposure index has been recommended by </w:t>
            </w:r>
            <w:r w:rsidR="00084513" w:rsidRPr="006B0E84">
              <w:rPr>
                <w:rFonts w:cs="Arial"/>
              </w:rPr>
              <w:t>these agencies</w:t>
            </w:r>
            <w:r w:rsidRPr="006B0E84">
              <w:rPr>
                <w:rFonts w:cs="Arial"/>
              </w:rPr>
              <w:t>:</w:t>
            </w:r>
          </w:p>
        </w:tc>
        <w:tc>
          <w:tcPr>
            <w:tcW w:w="5165" w:type="dxa"/>
            <w:vAlign w:val="center"/>
          </w:tcPr>
          <w:p w14:paraId="5F325E73" w14:textId="77777777" w:rsidR="00E06F40" w:rsidRPr="006B0E84" w:rsidRDefault="009F2C2A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92759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6B0E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6F40" w:rsidRPr="006B0E84">
              <w:rPr>
                <w:rFonts w:cs="Arial"/>
              </w:rPr>
              <w:t xml:space="preserve"> ACGIH</w:t>
            </w:r>
            <w:r w:rsidR="00E06F40" w:rsidRPr="006B0E8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29367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6B0E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6F40" w:rsidRPr="006B0E84">
              <w:rPr>
                <w:rFonts w:cs="Arial"/>
              </w:rPr>
              <w:t xml:space="preserve"> DFG</w:t>
            </w:r>
            <w:r w:rsidR="00E06F40" w:rsidRPr="006B0E8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6B0E8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6F40" w:rsidRPr="006B0E84">
              <w:rPr>
                <w:rFonts w:cs="Arial"/>
              </w:rPr>
              <w:t xml:space="preserve"> SCOEL</w:t>
            </w:r>
            <w:r w:rsidR="00E06F40" w:rsidRPr="006B0E84">
              <w:rPr>
                <w:rFonts w:cs="Arial"/>
              </w:rPr>
              <w:tab/>
            </w:r>
          </w:p>
        </w:tc>
      </w:tr>
    </w:tbl>
    <w:p w14:paraId="7F832724" w14:textId="77777777" w:rsidR="007F1005" w:rsidRPr="006B0E84" w:rsidRDefault="007F1005" w:rsidP="00EB3D1B">
      <w:pPr>
        <w:pStyle w:val="Heading2"/>
        <w:keepLines/>
      </w:pPr>
      <w:r w:rsidRPr="006B0E84">
        <w:t xml:space="preserve">Workplace exposure </w:t>
      </w:r>
      <w:r w:rsidR="00B479A9" w:rsidRPr="006B0E8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6B0E84" w14:paraId="7F22867F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65818304" w14:textId="77777777" w:rsidR="00224EE2" w:rsidRPr="006B0E84" w:rsidRDefault="00224EE2" w:rsidP="00EB3D1B">
            <w:pPr>
              <w:pStyle w:val="Tableheader"/>
              <w:keepNext/>
              <w:keepLines/>
              <w:rPr>
                <w:rFonts w:cs="Arial"/>
              </w:rPr>
            </w:pPr>
            <w:bookmarkStart w:id="5" w:name="History" w:colFirst="0" w:colLast="1"/>
            <w:r w:rsidRPr="006B0E84">
              <w:rPr>
                <w:rFonts w:cs="Arial"/>
              </w:rP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348C22DF" w14:textId="77777777" w:rsidR="00224EE2" w:rsidRPr="006B0E84" w:rsidRDefault="00224EE2" w:rsidP="00EB3D1B">
            <w:pPr>
              <w:pStyle w:val="Tableheader"/>
              <w:keepNext/>
              <w:keepLines/>
              <w:rPr>
                <w:rFonts w:cs="Arial"/>
              </w:rPr>
            </w:pPr>
            <w:r w:rsidRPr="006B0E84">
              <w:rPr>
                <w:rFonts w:cs="Arial"/>
              </w:rPr>
              <w:t>Standard</w:t>
            </w:r>
          </w:p>
        </w:tc>
      </w:tr>
      <w:tr w:rsidR="007F1005" w:rsidRPr="006B0E84" w14:paraId="53C3B3D4" w14:textId="77777777" w:rsidTr="00F053FA">
        <w:trPr>
          <w:tblHeader/>
        </w:trPr>
        <w:sdt>
          <w:sdtPr>
            <w:rPr>
              <w:rFonts w:cs="Arial"/>
            </w:rPr>
            <w:id w:val="-25557549"/>
            <w:placeholder>
              <w:docPart w:val="2BF891C0AB704CDAB9BC6E80D556473F"/>
            </w:placeholder>
            <w:showingPlcHdr/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6A8EACE5" w14:textId="77777777" w:rsidR="007F1005" w:rsidRPr="006B0E84" w:rsidRDefault="00131092" w:rsidP="00EB3D1B">
                <w:pPr>
                  <w:pStyle w:val="Tablefont"/>
                  <w:keepLines/>
                  <w:rPr>
                    <w:rFonts w:cs="Arial"/>
                  </w:rPr>
                </w:pPr>
                <w:r w:rsidRPr="006B0E84">
                  <w:rPr>
                    <w:rStyle w:val="PlaceholderText"/>
                    <w:rFonts w:cs="Arial"/>
                  </w:rPr>
                  <w:t>Click here to enter year</w:t>
                </w:r>
              </w:p>
            </w:tc>
          </w:sdtContent>
        </w:sdt>
        <w:tc>
          <w:tcPr>
            <w:tcW w:w="5165" w:type="dxa"/>
            <w:vAlign w:val="center"/>
          </w:tcPr>
          <w:p w14:paraId="7E8BC9A5" w14:textId="77777777" w:rsidR="007F1005" w:rsidRPr="006B0E84" w:rsidRDefault="007F1005" w:rsidP="00EB3D1B">
            <w:pPr>
              <w:pStyle w:val="Tablefont"/>
              <w:keepLines/>
              <w:rPr>
                <w:rFonts w:cs="Arial"/>
              </w:rPr>
            </w:pPr>
          </w:p>
        </w:tc>
      </w:tr>
    </w:tbl>
    <w:bookmarkEnd w:id="5"/>
    <w:p w14:paraId="15D6B3A5" w14:textId="77777777" w:rsidR="00F87D92" w:rsidRPr="006B0E84" w:rsidRDefault="00F87D92" w:rsidP="00EF7F78">
      <w:pPr>
        <w:pStyle w:val="Heading2"/>
        <w:tabs>
          <w:tab w:val="right" w:pos="8505"/>
        </w:tabs>
      </w:pPr>
      <w:r w:rsidRPr="006B0E84">
        <w:t>References</w:t>
      </w:r>
      <w:r w:rsidR="00EF7F78" w:rsidRPr="006B0E84">
        <w:tab/>
      </w:r>
    </w:p>
    <w:p w14:paraId="68B67C6F" w14:textId="5CFD2121" w:rsidR="007F1005" w:rsidRPr="006B0E84" w:rsidRDefault="006650FE" w:rsidP="00084859">
      <w:pPr>
        <w:rPr>
          <w:rFonts w:cs="Arial"/>
        </w:rPr>
      </w:pPr>
      <w:r w:rsidRPr="006B0E84">
        <w:rPr>
          <w:rFonts w:cs="Arial"/>
        </w:rPr>
        <w:t>American Conference of Industrial Hygienists (ACGIH</w:t>
      </w:r>
      <w:r w:rsidRPr="006B0E84">
        <w:rPr>
          <w:rFonts w:cs="Arial"/>
          <w:vertAlign w:val="superscript"/>
        </w:rPr>
        <w:t>®</w:t>
      </w:r>
      <w:r w:rsidRPr="006B0E84">
        <w:rPr>
          <w:rFonts w:cs="Arial"/>
        </w:rPr>
        <w:t>) (201</w:t>
      </w:r>
      <w:r w:rsidR="00F67BBB" w:rsidRPr="006B0E84">
        <w:rPr>
          <w:rFonts w:cs="Arial"/>
        </w:rPr>
        <w:t>8</w:t>
      </w:r>
      <w:r w:rsidRPr="006B0E84">
        <w:rPr>
          <w:rFonts w:cs="Arial"/>
        </w:rPr>
        <w:t>) TLVs</w:t>
      </w:r>
      <w:r w:rsidRPr="006B0E84">
        <w:rPr>
          <w:rFonts w:cs="Arial"/>
          <w:vertAlign w:val="superscript"/>
        </w:rPr>
        <w:t>®</w:t>
      </w:r>
      <w:r w:rsidRPr="006B0E84">
        <w:rPr>
          <w:rFonts w:cs="Arial"/>
        </w:rPr>
        <w:t xml:space="preserve"> and BEIs</w:t>
      </w:r>
      <w:r w:rsidRPr="006B0E84">
        <w:rPr>
          <w:rFonts w:cs="Arial"/>
          <w:vertAlign w:val="superscript"/>
        </w:rPr>
        <w:t>®</w:t>
      </w:r>
      <w:r w:rsidRPr="006B0E84">
        <w:rPr>
          <w:rFonts w:cs="Arial"/>
        </w:rPr>
        <w:t xml:space="preserve"> with 7</w:t>
      </w:r>
      <w:r w:rsidRPr="006B0E84">
        <w:rPr>
          <w:rFonts w:cs="Arial"/>
          <w:vertAlign w:val="superscript"/>
        </w:rPr>
        <w:t>th</w:t>
      </w:r>
      <w:r w:rsidRPr="006B0E84">
        <w:rPr>
          <w:rFonts w:cs="Arial"/>
        </w:rPr>
        <w:t xml:space="preserve"> Edition Documentation, CD-ROM, Single User Version. Copyright 201</w:t>
      </w:r>
      <w:r w:rsidR="00F67BBB" w:rsidRPr="006B0E84">
        <w:rPr>
          <w:rFonts w:cs="Arial"/>
        </w:rPr>
        <w:t>8</w:t>
      </w:r>
      <w:r w:rsidRPr="006B0E84">
        <w:rPr>
          <w:rFonts w:cs="Arial"/>
        </w:rPr>
        <w:t xml:space="preserve">. Reprinted with permission. See the </w:t>
      </w:r>
      <w:hyperlink r:id="rId17" w:history="1">
        <w:r w:rsidRPr="006B0E84">
          <w:rPr>
            <w:rStyle w:val="Hyperlink"/>
            <w:rFonts w:cs="Arial"/>
            <w:i/>
          </w:rPr>
          <w:t>TLVs</w:t>
        </w:r>
        <w:r w:rsidRPr="006B0E84">
          <w:rPr>
            <w:rStyle w:val="Hyperlink"/>
            <w:rFonts w:cs="Arial"/>
            <w:i/>
            <w:vertAlign w:val="superscript"/>
          </w:rPr>
          <w:t>®</w:t>
        </w:r>
        <w:r w:rsidRPr="006B0E84">
          <w:rPr>
            <w:rStyle w:val="Hyperlink"/>
            <w:rFonts w:cs="Arial"/>
            <w:i/>
          </w:rPr>
          <w:t xml:space="preserve"> and BEIs</w:t>
        </w:r>
        <w:r w:rsidRPr="006B0E84">
          <w:rPr>
            <w:rStyle w:val="Hyperlink"/>
            <w:rFonts w:cs="Arial"/>
            <w:i/>
            <w:vertAlign w:val="superscript"/>
          </w:rPr>
          <w:t>®</w:t>
        </w:r>
        <w:r w:rsidRPr="006B0E84">
          <w:rPr>
            <w:rStyle w:val="Hyperlink"/>
            <w:rFonts w:cs="Arial"/>
            <w:i/>
          </w:rPr>
          <w:t xml:space="preserve"> Guidelines section</w:t>
        </w:r>
      </w:hyperlink>
      <w:r w:rsidRPr="006B0E84">
        <w:rPr>
          <w:rFonts w:cs="Arial"/>
        </w:rPr>
        <w:t xml:space="preserve"> on the ACGIH website.</w:t>
      </w:r>
    </w:p>
    <w:p w14:paraId="75ECD483" w14:textId="7F7050D5" w:rsidR="001E7B33" w:rsidRPr="006B0E84" w:rsidRDefault="001E7B33" w:rsidP="00084859">
      <w:pPr>
        <w:rPr>
          <w:rFonts w:cs="Arial"/>
        </w:rPr>
      </w:pPr>
      <w:r w:rsidRPr="006B0E84">
        <w:rPr>
          <w:rFonts w:cs="Arial"/>
        </w:rPr>
        <w:t xml:space="preserve">European Chemicals Agency (ECHA) (2019) </w:t>
      </w:r>
      <w:proofErr w:type="spellStart"/>
      <w:r w:rsidRPr="006B0E84">
        <w:rPr>
          <w:rFonts w:cs="Arial"/>
        </w:rPr>
        <w:t>Diuron</w:t>
      </w:r>
      <w:proofErr w:type="spellEnd"/>
      <w:r w:rsidRPr="006B0E84">
        <w:rPr>
          <w:rFonts w:cs="Arial"/>
        </w:rPr>
        <w:t xml:space="preserve"> – REACH assessment.</w:t>
      </w:r>
    </w:p>
    <w:p w14:paraId="54A4E907" w14:textId="77777777" w:rsidR="001E7B33" w:rsidRPr="006B0E84" w:rsidRDefault="001E7B33" w:rsidP="001E7B33">
      <w:pPr>
        <w:rPr>
          <w:rFonts w:cs="Arial"/>
        </w:rPr>
      </w:pPr>
      <w:r w:rsidRPr="006B0E84">
        <w:rPr>
          <w:rFonts w:cs="Arial"/>
        </w:rPr>
        <w:t>Tenth Adaptation to Technical Progress Commission Regulation (EU) No 2017/776 amending, for the purposes of its adaptation to technical and scientific progress, Regulation (EC) No 1272/2008 of the European Parliament and of the Council on classification, labelling and packaging of substances and mixtures (the CLP Regulation).</w:t>
      </w:r>
    </w:p>
    <w:p w14:paraId="3CF8D086" w14:textId="78FB4610" w:rsidR="00751336" w:rsidRPr="006B0E84" w:rsidRDefault="00751336" w:rsidP="00751336">
      <w:pPr>
        <w:rPr>
          <w:rFonts w:cs="Arial"/>
        </w:rPr>
      </w:pPr>
      <w:r w:rsidRPr="006B0E84">
        <w:rPr>
          <w:rFonts w:cs="Arial"/>
        </w:rPr>
        <w:t xml:space="preserve">UK Health and Safety Executive (HSE) (2002) </w:t>
      </w:r>
      <w:proofErr w:type="spellStart"/>
      <w:r w:rsidRPr="006B0E84">
        <w:rPr>
          <w:rFonts w:cs="Arial"/>
        </w:rPr>
        <w:t>Diuron</w:t>
      </w:r>
      <w:proofErr w:type="spellEnd"/>
      <w:r w:rsidRPr="006B0E84">
        <w:rPr>
          <w:rFonts w:cs="Arial"/>
        </w:rPr>
        <w:t xml:space="preserve"> – EH64: Summary criteria for occupational exposure limits.</w:t>
      </w:r>
    </w:p>
    <w:p w14:paraId="69D30319" w14:textId="61848CA6" w:rsidR="00751336" w:rsidRPr="006B0E84" w:rsidRDefault="00751336" w:rsidP="00751336">
      <w:pPr>
        <w:rPr>
          <w:rFonts w:cs="Arial"/>
        </w:rPr>
      </w:pPr>
      <w:r w:rsidRPr="006B0E84">
        <w:rPr>
          <w:rFonts w:cs="Arial"/>
        </w:rPr>
        <w:t xml:space="preserve">US Environmental Protection Authority (US EPA) (1988) Integrated Risk Information System (IRIS) Chemical Assessment Summary – </w:t>
      </w:r>
      <w:proofErr w:type="spellStart"/>
      <w:r w:rsidRPr="006B0E84">
        <w:rPr>
          <w:rFonts w:cs="Arial"/>
        </w:rPr>
        <w:t>Diuron</w:t>
      </w:r>
      <w:proofErr w:type="spellEnd"/>
      <w:r w:rsidRPr="006B0E84">
        <w:rPr>
          <w:rFonts w:cs="Arial"/>
        </w:rPr>
        <w:t>.</w:t>
      </w:r>
    </w:p>
    <w:p w14:paraId="4ECF55C9" w14:textId="77777777" w:rsidR="00751336" w:rsidRPr="006B0E84" w:rsidRDefault="00751336" w:rsidP="00751336">
      <w:pPr>
        <w:rPr>
          <w:rFonts w:cs="Arial"/>
          <w:b/>
        </w:rPr>
      </w:pPr>
    </w:p>
    <w:p w14:paraId="0C638978" w14:textId="77777777" w:rsidR="001E7B33" w:rsidRPr="006B0E84" w:rsidRDefault="001E7B33" w:rsidP="00084859">
      <w:pPr>
        <w:rPr>
          <w:rFonts w:cs="Arial"/>
        </w:rPr>
      </w:pPr>
    </w:p>
    <w:sectPr w:rsidR="001E7B33" w:rsidRPr="006B0E84" w:rsidSect="00B87D4C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2E7988" w16cid:durableId="21690D52"/>
  <w16cid:commentId w16cid:paraId="3BF8C47B" w16cid:durableId="21691F60"/>
  <w16cid:commentId w16cid:paraId="4C08B5E8" w16cid:durableId="21690ADF"/>
  <w16cid:commentId w16cid:paraId="7757932E" w16cid:durableId="216910A6"/>
  <w16cid:commentId w16cid:paraId="35E371E5" w16cid:durableId="21691405"/>
  <w16cid:commentId w16cid:paraId="07951436" w16cid:durableId="2169136F"/>
  <w16cid:commentId w16cid:paraId="586FC341" w16cid:durableId="21691B28"/>
  <w16cid:commentId w16cid:paraId="78B8C930" w16cid:durableId="21691268"/>
  <w16cid:commentId w16cid:paraId="51932DA6" w16cid:durableId="216910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80304" w14:textId="77777777" w:rsidR="006658D7" w:rsidRDefault="006658D7" w:rsidP="00F43AD5">
      <w:pPr>
        <w:spacing w:after="0" w:line="240" w:lineRule="auto"/>
      </w:pPr>
      <w:r>
        <w:separator/>
      </w:r>
    </w:p>
  </w:endnote>
  <w:endnote w:type="continuationSeparator" w:id="0">
    <w:p w14:paraId="4748C832" w14:textId="77777777" w:rsidR="006658D7" w:rsidRDefault="006658D7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DE1C9" w14:textId="77777777" w:rsidR="00577FE8" w:rsidRDefault="00577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B7E3DB6" w14:textId="6EA86E02" w:rsidR="008A36CF" w:rsidRDefault="001D3D1E" w:rsidP="0034744C">
        <w:pPr>
          <w:pStyle w:val="Footer"/>
          <w:rPr>
            <w:sz w:val="18"/>
            <w:szCs w:val="18"/>
          </w:rPr>
        </w:pPr>
        <w:proofErr w:type="spellStart"/>
        <w:r w:rsidRPr="001D3D1E">
          <w:rPr>
            <w:b/>
            <w:sz w:val="18"/>
            <w:szCs w:val="18"/>
          </w:rPr>
          <w:t>Diuron</w:t>
        </w:r>
        <w:proofErr w:type="spellEnd"/>
        <w:r w:rsidR="008A36CF">
          <w:rPr>
            <w:b/>
            <w:sz w:val="18"/>
            <w:szCs w:val="18"/>
          </w:rPr>
          <w:t xml:space="preserve"> (</w:t>
        </w:r>
        <w:r w:rsidRPr="001D3D1E">
          <w:rPr>
            <w:b/>
            <w:sz w:val="18"/>
            <w:szCs w:val="18"/>
          </w:rPr>
          <w:t>330-54-1</w:t>
        </w:r>
        <w:proofErr w:type="gramStart"/>
        <w:r w:rsidR="008A36CF">
          <w:rPr>
            <w:b/>
            <w:sz w:val="18"/>
            <w:szCs w:val="18"/>
          </w:rPr>
          <w:t>)</w:t>
        </w:r>
        <w:proofErr w:type="gramEnd"/>
        <w:r w:rsidR="008A36CF" w:rsidRPr="00F43AD5">
          <w:rPr>
            <w:sz w:val="18"/>
            <w:szCs w:val="18"/>
          </w:rPr>
          <w:br/>
          <w:t xml:space="preserve">Safe Work Australia </w:t>
        </w:r>
        <w:r w:rsidR="008A36CF" w:rsidRPr="00F43AD5">
          <w:rPr>
            <w:rFonts w:ascii="Courier New" w:hAnsi="Courier New" w:cs="Courier New"/>
            <w:sz w:val="18"/>
            <w:szCs w:val="18"/>
          </w:rPr>
          <w:t>—</w:t>
        </w:r>
        <w:r w:rsidR="008A36CF" w:rsidRPr="00F43AD5">
          <w:rPr>
            <w:sz w:val="18"/>
            <w:szCs w:val="18"/>
          </w:rPr>
          <w:t xml:space="preserve"> 201</w:t>
        </w:r>
        <w:r w:rsidR="00351FE0">
          <w:rPr>
            <w:sz w:val="18"/>
            <w:szCs w:val="18"/>
          </w:rPr>
          <w:t>9</w:t>
        </w:r>
      </w:p>
      <w:p w14:paraId="051216C2" w14:textId="010DECE1" w:rsidR="008A36CF" w:rsidRPr="00F43AD5" w:rsidRDefault="008A36CF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9F2C2A">
          <w:rPr>
            <w:noProof/>
            <w:sz w:val="18"/>
            <w:szCs w:val="18"/>
          </w:rPr>
          <w:t>6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3889B" w14:textId="77777777" w:rsidR="00577FE8" w:rsidRDefault="00577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E3A33" w14:textId="77777777" w:rsidR="006658D7" w:rsidRDefault="006658D7" w:rsidP="00F43AD5">
      <w:pPr>
        <w:spacing w:after="0" w:line="240" w:lineRule="auto"/>
      </w:pPr>
      <w:r>
        <w:separator/>
      </w:r>
    </w:p>
  </w:footnote>
  <w:footnote w:type="continuationSeparator" w:id="0">
    <w:p w14:paraId="6687A901" w14:textId="77777777" w:rsidR="006658D7" w:rsidRDefault="006658D7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D66B8" w14:textId="6498CC58" w:rsidR="00577FE8" w:rsidRDefault="009F2C2A">
    <w:pPr>
      <w:pStyle w:val="Header"/>
    </w:pPr>
    <w:r>
      <w:rPr>
        <w:noProof/>
      </w:rPr>
      <w:pict w14:anchorId="209DE6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600938" o:spid="_x0000_s32770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0484B" w14:textId="0AB3C81C" w:rsidR="008A36CF" w:rsidRDefault="009F2C2A" w:rsidP="00F43AD5">
    <w:pPr>
      <w:pStyle w:val="Header"/>
      <w:jc w:val="right"/>
    </w:pPr>
    <w:r>
      <w:rPr>
        <w:noProof/>
      </w:rPr>
      <w:pict w14:anchorId="3C079A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600939" o:spid="_x0000_s32771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8A36CF">
      <w:rPr>
        <w:noProof/>
        <w:lang w:eastAsia="en-AU"/>
      </w:rPr>
      <w:drawing>
        <wp:inline distT="0" distB="0" distL="0" distR="0" wp14:anchorId="1F50867D" wp14:editId="6F441983">
          <wp:extent cx="2938272" cy="594360"/>
          <wp:effectExtent l="0" t="0" r="0" b="0"/>
          <wp:docPr id="2" name="Picture 2" descr="Safe Work Australi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27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94D8E" w14:textId="7D284190" w:rsidR="00577FE8" w:rsidRDefault="009F2C2A">
    <w:pPr>
      <w:pStyle w:val="Header"/>
    </w:pPr>
    <w:r>
      <w:rPr>
        <w:noProof/>
      </w:rPr>
      <w:pict w14:anchorId="60A38B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600937" o:spid="_x0000_s32769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60C3" w14:textId="725704CE" w:rsidR="009F2C2A" w:rsidRDefault="009F2C2A">
    <w:pPr>
      <w:pStyle w:val="Header"/>
    </w:pPr>
    <w:r>
      <w:rPr>
        <w:noProof/>
      </w:rPr>
      <w:pict w14:anchorId="4C8055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600941" o:spid="_x0000_s32773" type="#_x0000_t136" style="position:absolute;margin-left:0;margin-top:0;width:454.5pt;height:181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3630" w14:textId="1296EC22" w:rsidR="008A36CF" w:rsidRDefault="009F2C2A" w:rsidP="00F43AD5">
    <w:pPr>
      <w:pStyle w:val="Header"/>
      <w:jc w:val="right"/>
    </w:pPr>
    <w:r>
      <w:rPr>
        <w:noProof/>
      </w:rPr>
      <w:pict w14:anchorId="09837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600942" o:spid="_x0000_s32774" type="#_x0000_t136" style="position:absolute;left:0;text-align:left;margin-left:0;margin-top:0;width:454.5pt;height:181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73850" w14:textId="63D7BF61" w:rsidR="009F2C2A" w:rsidRDefault="009F2C2A">
    <w:pPr>
      <w:pStyle w:val="Header"/>
    </w:pPr>
    <w:r>
      <w:rPr>
        <w:noProof/>
      </w:rPr>
      <w:pict w14:anchorId="174C43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600940" o:spid="_x0000_s32772" type="#_x0000_t136" style="position:absolute;margin-left:0;margin-top:0;width:454.5pt;height:181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24435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69288C6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</w:abstractNum>
  <w:abstractNum w:abstractNumId="2" w15:restartNumberingAfterBreak="0">
    <w:nsid w:val="026B7304"/>
    <w:multiLevelType w:val="hybridMultilevel"/>
    <w:tmpl w:val="259C35B8"/>
    <w:lvl w:ilvl="0" w:tplc="E5B86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05E5B"/>
    <w:multiLevelType w:val="hybridMultilevel"/>
    <w:tmpl w:val="F60E1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47701"/>
    <w:multiLevelType w:val="hybridMultilevel"/>
    <w:tmpl w:val="6EB44B2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923D5F"/>
    <w:multiLevelType w:val="hybridMultilevel"/>
    <w:tmpl w:val="538A6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E470A"/>
    <w:multiLevelType w:val="hybridMultilevel"/>
    <w:tmpl w:val="2A7A0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C284B"/>
    <w:multiLevelType w:val="hybridMultilevel"/>
    <w:tmpl w:val="E6AC0F58"/>
    <w:lvl w:ilvl="0" w:tplc="1F686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2775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7B80"/>
    <w:rsid w:val="00013A22"/>
    <w:rsid w:val="00014C3F"/>
    <w:rsid w:val="00017C82"/>
    <w:rsid w:val="00032B88"/>
    <w:rsid w:val="00046DF5"/>
    <w:rsid w:val="00052060"/>
    <w:rsid w:val="0005574A"/>
    <w:rsid w:val="00055FE1"/>
    <w:rsid w:val="00056EC2"/>
    <w:rsid w:val="00060B48"/>
    <w:rsid w:val="00067F32"/>
    <w:rsid w:val="00071807"/>
    <w:rsid w:val="000803E1"/>
    <w:rsid w:val="00084513"/>
    <w:rsid w:val="00084859"/>
    <w:rsid w:val="00092D94"/>
    <w:rsid w:val="000B0868"/>
    <w:rsid w:val="000B3E12"/>
    <w:rsid w:val="000B3E78"/>
    <w:rsid w:val="000B7B48"/>
    <w:rsid w:val="000C096D"/>
    <w:rsid w:val="000C0C22"/>
    <w:rsid w:val="000C139A"/>
    <w:rsid w:val="000C2053"/>
    <w:rsid w:val="000C248C"/>
    <w:rsid w:val="000D291C"/>
    <w:rsid w:val="000E49F4"/>
    <w:rsid w:val="000E5A54"/>
    <w:rsid w:val="000E63D3"/>
    <w:rsid w:val="000E67CF"/>
    <w:rsid w:val="0010461E"/>
    <w:rsid w:val="00106FAA"/>
    <w:rsid w:val="00113443"/>
    <w:rsid w:val="001269A7"/>
    <w:rsid w:val="00131092"/>
    <w:rsid w:val="00140E6A"/>
    <w:rsid w:val="00146545"/>
    <w:rsid w:val="00146B75"/>
    <w:rsid w:val="0015266D"/>
    <w:rsid w:val="0015288A"/>
    <w:rsid w:val="00160F47"/>
    <w:rsid w:val="0017206C"/>
    <w:rsid w:val="00177CA1"/>
    <w:rsid w:val="00183823"/>
    <w:rsid w:val="00183942"/>
    <w:rsid w:val="0019460E"/>
    <w:rsid w:val="001A009E"/>
    <w:rsid w:val="001A1287"/>
    <w:rsid w:val="001A3859"/>
    <w:rsid w:val="001A3C9D"/>
    <w:rsid w:val="001A43F8"/>
    <w:rsid w:val="001B79E5"/>
    <w:rsid w:val="001D3D1E"/>
    <w:rsid w:val="001D56F0"/>
    <w:rsid w:val="001D663B"/>
    <w:rsid w:val="001D7B41"/>
    <w:rsid w:val="001E46DA"/>
    <w:rsid w:val="001E7B33"/>
    <w:rsid w:val="001E7D80"/>
    <w:rsid w:val="001F4B6C"/>
    <w:rsid w:val="001F62CB"/>
    <w:rsid w:val="001F6ED0"/>
    <w:rsid w:val="001F72E6"/>
    <w:rsid w:val="001F73C5"/>
    <w:rsid w:val="002046A6"/>
    <w:rsid w:val="00204956"/>
    <w:rsid w:val="00213640"/>
    <w:rsid w:val="00221547"/>
    <w:rsid w:val="002216FC"/>
    <w:rsid w:val="00222533"/>
    <w:rsid w:val="00222F30"/>
    <w:rsid w:val="00224EE2"/>
    <w:rsid w:val="00227EC7"/>
    <w:rsid w:val="00244AD1"/>
    <w:rsid w:val="002463BC"/>
    <w:rsid w:val="002465CE"/>
    <w:rsid w:val="0025600C"/>
    <w:rsid w:val="0025734A"/>
    <w:rsid w:val="00263255"/>
    <w:rsid w:val="00276494"/>
    <w:rsid w:val="00277B0C"/>
    <w:rsid w:val="002925D1"/>
    <w:rsid w:val="002B1A2C"/>
    <w:rsid w:val="002C34F2"/>
    <w:rsid w:val="002C58FF"/>
    <w:rsid w:val="002C7AFE"/>
    <w:rsid w:val="002D05D2"/>
    <w:rsid w:val="002E0D61"/>
    <w:rsid w:val="002E4C7B"/>
    <w:rsid w:val="00301098"/>
    <w:rsid w:val="0030740C"/>
    <w:rsid w:val="0031401F"/>
    <w:rsid w:val="00314281"/>
    <w:rsid w:val="00315833"/>
    <w:rsid w:val="003215EE"/>
    <w:rsid w:val="003224BF"/>
    <w:rsid w:val="003241A8"/>
    <w:rsid w:val="003253F0"/>
    <w:rsid w:val="003337DA"/>
    <w:rsid w:val="003344BC"/>
    <w:rsid w:val="00334EFB"/>
    <w:rsid w:val="00335CDE"/>
    <w:rsid w:val="003365A5"/>
    <w:rsid w:val="00347192"/>
    <w:rsid w:val="0034744C"/>
    <w:rsid w:val="00351FE0"/>
    <w:rsid w:val="00352615"/>
    <w:rsid w:val="0035412B"/>
    <w:rsid w:val="003567A8"/>
    <w:rsid w:val="00362895"/>
    <w:rsid w:val="00370DBF"/>
    <w:rsid w:val="00386093"/>
    <w:rsid w:val="003904A4"/>
    <w:rsid w:val="00391841"/>
    <w:rsid w:val="00391B6D"/>
    <w:rsid w:val="00394922"/>
    <w:rsid w:val="003A0E32"/>
    <w:rsid w:val="003A14FB"/>
    <w:rsid w:val="003A2B94"/>
    <w:rsid w:val="003B387D"/>
    <w:rsid w:val="003B3D00"/>
    <w:rsid w:val="003C0D58"/>
    <w:rsid w:val="003D4FA3"/>
    <w:rsid w:val="003E0807"/>
    <w:rsid w:val="003E4420"/>
    <w:rsid w:val="003E51FB"/>
    <w:rsid w:val="003E6B39"/>
    <w:rsid w:val="003F07E1"/>
    <w:rsid w:val="004030BC"/>
    <w:rsid w:val="00403F7D"/>
    <w:rsid w:val="00406785"/>
    <w:rsid w:val="004079B4"/>
    <w:rsid w:val="00417A56"/>
    <w:rsid w:val="00420957"/>
    <w:rsid w:val="00422A10"/>
    <w:rsid w:val="00430179"/>
    <w:rsid w:val="004414B5"/>
    <w:rsid w:val="00444482"/>
    <w:rsid w:val="00444B42"/>
    <w:rsid w:val="004453ED"/>
    <w:rsid w:val="00445E44"/>
    <w:rsid w:val="004509E2"/>
    <w:rsid w:val="004515EE"/>
    <w:rsid w:val="004529F0"/>
    <w:rsid w:val="00460A03"/>
    <w:rsid w:val="00472A11"/>
    <w:rsid w:val="00472AAD"/>
    <w:rsid w:val="00474E33"/>
    <w:rsid w:val="00476803"/>
    <w:rsid w:val="00485BFD"/>
    <w:rsid w:val="004867A2"/>
    <w:rsid w:val="004873F2"/>
    <w:rsid w:val="00490D4C"/>
    <w:rsid w:val="00493A35"/>
    <w:rsid w:val="0049527A"/>
    <w:rsid w:val="004966BF"/>
    <w:rsid w:val="00497984"/>
    <w:rsid w:val="004A5088"/>
    <w:rsid w:val="004A6A38"/>
    <w:rsid w:val="004C1E3F"/>
    <w:rsid w:val="004C23F4"/>
    <w:rsid w:val="004C3475"/>
    <w:rsid w:val="004C58B6"/>
    <w:rsid w:val="004D16A3"/>
    <w:rsid w:val="004D2E28"/>
    <w:rsid w:val="004D4AA1"/>
    <w:rsid w:val="004D6D68"/>
    <w:rsid w:val="004E5EDD"/>
    <w:rsid w:val="004F448A"/>
    <w:rsid w:val="004F493D"/>
    <w:rsid w:val="004F65E8"/>
    <w:rsid w:val="0050005E"/>
    <w:rsid w:val="00502B88"/>
    <w:rsid w:val="005142C4"/>
    <w:rsid w:val="0051509C"/>
    <w:rsid w:val="005272E2"/>
    <w:rsid w:val="0053108F"/>
    <w:rsid w:val="00532B56"/>
    <w:rsid w:val="00534B10"/>
    <w:rsid w:val="005446A2"/>
    <w:rsid w:val="00544D2F"/>
    <w:rsid w:val="00551BD8"/>
    <w:rsid w:val="00552F3B"/>
    <w:rsid w:val="00575D27"/>
    <w:rsid w:val="00577FE8"/>
    <w:rsid w:val="00581055"/>
    <w:rsid w:val="00581FF7"/>
    <w:rsid w:val="00582A34"/>
    <w:rsid w:val="00591E38"/>
    <w:rsid w:val="005A19C5"/>
    <w:rsid w:val="005A3034"/>
    <w:rsid w:val="005A462D"/>
    <w:rsid w:val="005A4F49"/>
    <w:rsid w:val="005B253B"/>
    <w:rsid w:val="005B771D"/>
    <w:rsid w:val="005C5D16"/>
    <w:rsid w:val="005D3193"/>
    <w:rsid w:val="005D4A6E"/>
    <w:rsid w:val="005E6979"/>
    <w:rsid w:val="005E75CB"/>
    <w:rsid w:val="006013C1"/>
    <w:rsid w:val="00604692"/>
    <w:rsid w:val="0060669E"/>
    <w:rsid w:val="00610F2E"/>
    <w:rsid w:val="00611399"/>
    <w:rsid w:val="006153AE"/>
    <w:rsid w:val="00624C4E"/>
    <w:rsid w:val="00625200"/>
    <w:rsid w:val="006363A8"/>
    <w:rsid w:val="00636DB7"/>
    <w:rsid w:val="00650905"/>
    <w:rsid w:val="00652C9E"/>
    <w:rsid w:val="006532ED"/>
    <w:rsid w:val="006549F2"/>
    <w:rsid w:val="006567B7"/>
    <w:rsid w:val="00657BFB"/>
    <w:rsid w:val="0066333C"/>
    <w:rsid w:val="006639B4"/>
    <w:rsid w:val="006650FE"/>
    <w:rsid w:val="006658D7"/>
    <w:rsid w:val="0067191E"/>
    <w:rsid w:val="0067305D"/>
    <w:rsid w:val="00675E06"/>
    <w:rsid w:val="00677D9B"/>
    <w:rsid w:val="006867F3"/>
    <w:rsid w:val="00687890"/>
    <w:rsid w:val="006901A2"/>
    <w:rsid w:val="00690368"/>
    <w:rsid w:val="0069079C"/>
    <w:rsid w:val="00690B53"/>
    <w:rsid w:val="00695B72"/>
    <w:rsid w:val="006B0E84"/>
    <w:rsid w:val="006B160A"/>
    <w:rsid w:val="006B443B"/>
    <w:rsid w:val="006B4E6C"/>
    <w:rsid w:val="006B50B6"/>
    <w:rsid w:val="006D166C"/>
    <w:rsid w:val="006D79EA"/>
    <w:rsid w:val="006E2B28"/>
    <w:rsid w:val="006E5D05"/>
    <w:rsid w:val="00701053"/>
    <w:rsid w:val="00701507"/>
    <w:rsid w:val="00714021"/>
    <w:rsid w:val="00716A0F"/>
    <w:rsid w:val="00717D45"/>
    <w:rsid w:val="007208F7"/>
    <w:rsid w:val="007218AF"/>
    <w:rsid w:val="0072461C"/>
    <w:rsid w:val="00725D3F"/>
    <w:rsid w:val="007365D1"/>
    <w:rsid w:val="00740E0E"/>
    <w:rsid w:val="00750212"/>
    <w:rsid w:val="00751336"/>
    <w:rsid w:val="00754779"/>
    <w:rsid w:val="0075716D"/>
    <w:rsid w:val="00765F14"/>
    <w:rsid w:val="00770E31"/>
    <w:rsid w:val="007770F1"/>
    <w:rsid w:val="00783FB1"/>
    <w:rsid w:val="00785CDD"/>
    <w:rsid w:val="00791847"/>
    <w:rsid w:val="007925F0"/>
    <w:rsid w:val="007939B3"/>
    <w:rsid w:val="0079509C"/>
    <w:rsid w:val="00796708"/>
    <w:rsid w:val="007970D5"/>
    <w:rsid w:val="007A703F"/>
    <w:rsid w:val="007B1B42"/>
    <w:rsid w:val="007C30EB"/>
    <w:rsid w:val="007E063C"/>
    <w:rsid w:val="007E2A4B"/>
    <w:rsid w:val="007E307D"/>
    <w:rsid w:val="007E6A4E"/>
    <w:rsid w:val="007E6C94"/>
    <w:rsid w:val="007F1005"/>
    <w:rsid w:val="007F25E0"/>
    <w:rsid w:val="007F518B"/>
    <w:rsid w:val="007F5328"/>
    <w:rsid w:val="00804F5A"/>
    <w:rsid w:val="00810C6D"/>
    <w:rsid w:val="00812887"/>
    <w:rsid w:val="00826F21"/>
    <w:rsid w:val="00834CC8"/>
    <w:rsid w:val="00835E00"/>
    <w:rsid w:val="00837113"/>
    <w:rsid w:val="008414E4"/>
    <w:rsid w:val="00843744"/>
    <w:rsid w:val="00843E21"/>
    <w:rsid w:val="0084508E"/>
    <w:rsid w:val="00857A8A"/>
    <w:rsid w:val="008630EE"/>
    <w:rsid w:val="00864D13"/>
    <w:rsid w:val="00871CD5"/>
    <w:rsid w:val="008745A2"/>
    <w:rsid w:val="008768A8"/>
    <w:rsid w:val="0088798F"/>
    <w:rsid w:val="00887E4B"/>
    <w:rsid w:val="008915C8"/>
    <w:rsid w:val="008A36CF"/>
    <w:rsid w:val="008A3BC4"/>
    <w:rsid w:val="008B403C"/>
    <w:rsid w:val="008B7983"/>
    <w:rsid w:val="008C2511"/>
    <w:rsid w:val="008D026D"/>
    <w:rsid w:val="008D0877"/>
    <w:rsid w:val="008D23AB"/>
    <w:rsid w:val="008D4B8B"/>
    <w:rsid w:val="008D5A78"/>
    <w:rsid w:val="008E11EE"/>
    <w:rsid w:val="008E7B64"/>
    <w:rsid w:val="008F5DCD"/>
    <w:rsid w:val="008F64D2"/>
    <w:rsid w:val="00900951"/>
    <w:rsid w:val="009118A6"/>
    <w:rsid w:val="00916909"/>
    <w:rsid w:val="00916EC0"/>
    <w:rsid w:val="00920467"/>
    <w:rsid w:val="00921A71"/>
    <w:rsid w:val="00921DE7"/>
    <w:rsid w:val="0093041A"/>
    <w:rsid w:val="00930714"/>
    <w:rsid w:val="00931B03"/>
    <w:rsid w:val="009323B9"/>
    <w:rsid w:val="00932DCE"/>
    <w:rsid w:val="0093327E"/>
    <w:rsid w:val="00934028"/>
    <w:rsid w:val="0093760E"/>
    <w:rsid w:val="0094267F"/>
    <w:rsid w:val="00946044"/>
    <w:rsid w:val="0094660B"/>
    <w:rsid w:val="00946A33"/>
    <w:rsid w:val="0095260E"/>
    <w:rsid w:val="00953466"/>
    <w:rsid w:val="009578DD"/>
    <w:rsid w:val="00961124"/>
    <w:rsid w:val="009621B6"/>
    <w:rsid w:val="00974F2D"/>
    <w:rsid w:val="00977524"/>
    <w:rsid w:val="00977E88"/>
    <w:rsid w:val="00984920"/>
    <w:rsid w:val="00984BEA"/>
    <w:rsid w:val="0099303A"/>
    <w:rsid w:val="009971C2"/>
    <w:rsid w:val="009A1254"/>
    <w:rsid w:val="009A72DB"/>
    <w:rsid w:val="009B2FF2"/>
    <w:rsid w:val="009B380C"/>
    <w:rsid w:val="009B4843"/>
    <w:rsid w:val="009B6543"/>
    <w:rsid w:val="009C199D"/>
    <w:rsid w:val="009C278F"/>
    <w:rsid w:val="009C2B94"/>
    <w:rsid w:val="009C5874"/>
    <w:rsid w:val="009D3B5A"/>
    <w:rsid w:val="009E0C05"/>
    <w:rsid w:val="009E0D1C"/>
    <w:rsid w:val="009E2214"/>
    <w:rsid w:val="009E355A"/>
    <w:rsid w:val="009E63E2"/>
    <w:rsid w:val="009F04D2"/>
    <w:rsid w:val="009F05CF"/>
    <w:rsid w:val="009F0F3A"/>
    <w:rsid w:val="009F2C2A"/>
    <w:rsid w:val="00A01D0C"/>
    <w:rsid w:val="00A0643F"/>
    <w:rsid w:val="00A067EE"/>
    <w:rsid w:val="00A10FCE"/>
    <w:rsid w:val="00A16D91"/>
    <w:rsid w:val="00A174CC"/>
    <w:rsid w:val="00A2073D"/>
    <w:rsid w:val="00A20751"/>
    <w:rsid w:val="00A27E2D"/>
    <w:rsid w:val="00A31D99"/>
    <w:rsid w:val="00A34AF0"/>
    <w:rsid w:val="00A357BA"/>
    <w:rsid w:val="00A35ADC"/>
    <w:rsid w:val="00A402A3"/>
    <w:rsid w:val="00A53681"/>
    <w:rsid w:val="00A57DFA"/>
    <w:rsid w:val="00A633D4"/>
    <w:rsid w:val="00A6461A"/>
    <w:rsid w:val="00A84504"/>
    <w:rsid w:val="00A8672F"/>
    <w:rsid w:val="00A906D9"/>
    <w:rsid w:val="00A93057"/>
    <w:rsid w:val="00A968B0"/>
    <w:rsid w:val="00AB2672"/>
    <w:rsid w:val="00AB2817"/>
    <w:rsid w:val="00AB43C4"/>
    <w:rsid w:val="00AC32E7"/>
    <w:rsid w:val="00AC3A9F"/>
    <w:rsid w:val="00AC6D2F"/>
    <w:rsid w:val="00AD1B28"/>
    <w:rsid w:val="00AD592D"/>
    <w:rsid w:val="00AE2745"/>
    <w:rsid w:val="00AE2F64"/>
    <w:rsid w:val="00AF393E"/>
    <w:rsid w:val="00AF42CB"/>
    <w:rsid w:val="00AF483F"/>
    <w:rsid w:val="00AF5641"/>
    <w:rsid w:val="00AF5E07"/>
    <w:rsid w:val="00AF5F06"/>
    <w:rsid w:val="00B00A25"/>
    <w:rsid w:val="00B1422A"/>
    <w:rsid w:val="00B1765C"/>
    <w:rsid w:val="00B213C4"/>
    <w:rsid w:val="00B27626"/>
    <w:rsid w:val="00B40C60"/>
    <w:rsid w:val="00B479A9"/>
    <w:rsid w:val="00B52EDF"/>
    <w:rsid w:val="00B71188"/>
    <w:rsid w:val="00B76A41"/>
    <w:rsid w:val="00B8530D"/>
    <w:rsid w:val="00B87D4C"/>
    <w:rsid w:val="00B93646"/>
    <w:rsid w:val="00BA0B38"/>
    <w:rsid w:val="00BA1DBB"/>
    <w:rsid w:val="00BA4510"/>
    <w:rsid w:val="00BA529A"/>
    <w:rsid w:val="00BB612A"/>
    <w:rsid w:val="00BD3B95"/>
    <w:rsid w:val="00BD499F"/>
    <w:rsid w:val="00BD56DE"/>
    <w:rsid w:val="00BF2406"/>
    <w:rsid w:val="00C06E43"/>
    <w:rsid w:val="00C07837"/>
    <w:rsid w:val="00C16315"/>
    <w:rsid w:val="00C3091E"/>
    <w:rsid w:val="00C40FF1"/>
    <w:rsid w:val="00C419E2"/>
    <w:rsid w:val="00C5020E"/>
    <w:rsid w:val="00C57452"/>
    <w:rsid w:val="00C61BE8"/>
    <w:rsid w:val="00C61EDF"/>
    <w:rsid w:val="00C6239D"/>
    <w:rsid w:val="00C6594B"/>
    <w:rsid w:val="00C65D1D"/>
    <w:rsid w:val="00C67FFB"/>
    <w:rsid w:val="00C7155E"/>
    <w:rsid w:val="00C71D1E"/>
    <w:rsid w:val="00C71D7D"/>
    <w:rsid w:val="00C74833"/>
    <w:rsid w:val="00C850A0"/>
    <w:rsid w:val="00C85A86"/>
    <w:rsid w:val="00C978F0"/>
    <w:rsid w:val="00CA58FE"/>
    <w:rsid w:val="00CB1CB1"/>
    <w:rsid w:val="00CB6BC1"/>
    <w:rsid w:val="00CB6CB8"/>
    <w:rsid w:val="00CC1A68"/>
    <w:rsid w:val="00CC2123"/>
    <w:rsid w:val="00CC4BDA"/>
    <w:rsid w:val="00CD2BFD"/>
    <w:rsid w:val="00CE5AD6"/>
    <w:rsid w:val="00CE617F"/>
    <w:rsid w:val="00CE78EF"/>
    <w:rsid w:val="00D048F7"/>
    <w:rsid w:val="00D0517E"/>
    <w:rsid w:val="00D140FC"/>
    <w:rsid w:val="00D16BCE"/>
    <w:rsid w:val="00D21D8C"/>
    <w:rsid w:val="00D30293"/>
    <w:rsid w:val="00D31357"/>
    <w:rsid w:val="00D33220"/>
    <w:rsid w:val="00D334D1"/>
    <w:rsid w:val="00D404B3"/>
    <w:rsid w:val="00D44C89"/>
    <w:rsid w:val="00D516CD"/>
    <w:rsid w:val="00D647E6"/>
    <w:rsid w:val="00D668E6"/>
    <w:rsid w:val="00D70670"/>
    <w:rsid w:val="00D73D1F"/>
    <w:rsid w:val="00D74D80"/>
    <w:rsid w:val="00D76624"/>
    <w:rsid w:val="00D86C05"/>
    <w:rsid w:val="00D87570"/>
    <w:rsid w:val="00D91CB9"/>
    <w:rsid w:val="00D97989"/>
    <w:rsid w:val="00D97D8D"/>
    <w:rsid w:val="00DA352E"/>
    <w:rsid w:val="00DA5A97"/>
    <w:rsid w:val="00DC4737"/>
    <w:rsid w:val="00DC7694"/>
    <w:rsid w:val="00DD1BF6"/>
    <w:rsid w:val="00DD2F9B"/>
    <w:rsid w:val="00DE2513"/>
    <w:rsid w:val="00DE26E8"/>
    <w:rsid w:val="00DF5582"/>
    <w:rsid w:val="00DF6F36"/>
    <w:rsid w:val="00E0084C"/>
    <w:rsid w:val="00E025AB"/>
    <w:rsid w:val="00E02B23"/>
    <w:rsid w:val="00E06F40"/>
    <w:rsid w:val="00E07CE8"/>
    <w:rsid w:val="00E11BAB"/>
    <w:rsid w:val="00E26A07"/>
    <w:rsid w:val="00E32595"/>
    <w:rsid w:val="00E37CFD"/>
    <w:rsid w:val="00E41A26"/>
    <w:rsid w:val="00E46BCB"/>
    <w:rsid w:val="00E47035"/>
    <w:rsid w:val="00E50645"/>
    <w:rsid w:val="00E51CAF"/>
    <w:rsid w:val="00E60F04"/>
    <w:rsid w:val="00E62AAC"/>
    <w:rsid w:val="00E67C2F"/>
    <w:rsid w:val="00E67EF5"/>
    <w:rsid w:val="00E7221B"/>
    <w:rsid w:val="00E804EA"/>
    <w:rsid w:val="00E80A71"/>
    <w:rsid w:val="00E82337"/>
    <w:rsid w:val="00E92499"/>
    <w:rsid w:val="00E949AF"/>
    <w:rsid w:val="00E96077"/>
    <w:rsid w:val="00EA0A06"/>
    <w:rsid w:val="00EA6243"/>
    <w:rsid w:val="00EA74AB"/>
    <w:rsid w:val="00EB3D1B"/>
    <w:rsid w:val="00ED1D89"/>
    <w:rsid w:val="00ED66BC"/>
    <w:rsid w:val="00EF233A"/>
    <w:rsid w:val="00EF303E"/>
    <w:rsid w:val="00EF3A40"/>
    <w:rsid w:val="00EF511D"/>
    <w:rsid w:val="00EF7F78"/>
    <w:rsid w:val="00F01B08"/>
    <w:rsid w:val="00F01C4D"/>
    <w:rsid w:val="00F053FA"/>
    <w:rsid w:val="00F10C97"/>
    <w:rsid w:val="00F11C71"/>
    <w:rsid w:val="00F16019"/>
    <w:rsid w:val="00F20E68"/>
    <w:rsid w:val="00F22093"/>
    <w:rsid w:val="00F236DF"/>
    <w:rsid w:val="00F43AD5"/>
    <w:rsid w:val="00F4402E"/>
    <w:rsid w:val="00F56DD0"/>
    <w:rsid w:val="00F6491C"/>
    <w:rsid w:val="00F67BBB"/>
    <w:rsid w:val="00F74E54"/>
    <w:rsid w:val="00F84760"/>
    <w:rsid w:val="00F87D92"/>
    <w:rsid w:val="00F90AA7"/>
    <w:rsid w:val="00F92498"/>
    <w:rsid w:val="00F9496B"/>
    <w:rsid w:val="00F95FB1"/>
    <w:rsid w:val="00F970C9"/>
    <w:rsid w:val="00FA06A8"/>
    <w:rsid w:val="00FA3DF5"/>
    <w:rsid w:val="00FA741F"/>
    <w:rsid w:val="00FB4E07"/>
    <w:rsid w:val="00FB755A"/>
    <w:rsid w:val="00FC30B5"/>
    <w:rsid w:val="00FC60A2"/>
    <w:rsid w:val="00FD07B1"/>
    <w:rsid w:val="00FD1871"/>
    <w:rsid w:val="00FD3110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5"/>
    <o:shapelayout v:ext="edit">
      <o:idmap v:ext="edit" data="1"/>
    </o:shapelayout>
  </w:shapeDefaults>
  <w:decimalSymbol w:val="."/>
  <w:listSeparator w:val=","/>
  <w14:docId w14:val="090CA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paragraph" w:styleId="ListBullet">
    <w:name w:val="List Bullet"/>
    <w:basedOn w:val="Normal"/>
    <w:uiPriority w:val="99"/>
    <w:unhideWhenUsed/>
    <w:rsid w:val="003A14FB"/>
    <w:pPr>
      <w:contextualSpacing/>
    </w:pPr>
  </w:style>
  <w:style w:type="paragraph" w:styleId="ListNumber">
    <w:name w:val="List Number"/>
    <w:basedOn w:val="Normal"/>
    <w:uiPriority w:val="99"/>
    <w:unhideWhenUsed/>
    <w:rsid w:val="003A14FB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0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E8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E8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E84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3B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cgih.org/tlv-bei-guidelines/policies-procedures-presentation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0A35AF4547E94E219E26BC12DBC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360E-8225-4AF6-9FDF-3CF80276F4FF}"/>
      </w:docPartPr>
      <w:docPartBody>
        <w:p w:rsidR="00D21A9F" w:rsidRDefault="00D21A9F">
          <w:pPr>
            <w:pStyle w:val="0A35AF4547E94E219E26BC12DBC3328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81CFEC2FDBC5451289F394E66D92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4E63-31E6-4636-887F-D101B2E0A187}"/>
      </w:docPartPr>
      <w:docPartBody>
        <w:p w:rsidR="00D21A9F" w:rsidRDefault="00D21A9F">
          <w:pPr>
            <w:pStyle w:val="81CFEC2FDBC5451289F394E66D92D1A0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8FBF9621EB94FE084F687C8955A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AE9-5999-4667-9E06-55916FEE5D03}"/>
      </w:docPartPr>
      <w:docPartBody>
        <w:p w:rsidR="00D21A9F" w:rsidRDefault="00D21A9F">
          <w:pPr>
            <w:pStyle w:val="C8FBF9621EB94FE084F687C8955AF85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22022AAE76B4622AC0DF750489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FBF-019C-4562-B49E-2AA0323A449A}"/>
      </w:docPartPr>
      <w:docPartBody>
        <w:p w:rsidR="00D21A9F" w:rsidRDefault="00D21A9F">
          <w:pPr>
            <w:pStyle w:val="522022AAE76B4622AC0DF750489702EB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918C77959FE4E2CB3B6BD78ABC6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E167-8D8A-4F47-8F15-5DED52B85CB3}"/>
      </w:docPartPr>
      <w:docPartBody>
        <w:p w:rsidR="00D21A9F" w:rsidRDefault="00D21A9F">
          <w:pPr>
            <w:pStyle w:val="6918C77959FE4E2CB3B6BD78ABC69E19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ED9AEC91FDC4528B51A567B2B19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FFA9-39F8-44B7-9FD3-B2DA6644805F}"/>
      </w:docPartPr>
      <w:docPartBody>
        <w:p w:rsidR="00D21A9F" w:rsidRDefault="00D21A9F">
          <w:pPr>
            <w:pStyle w:val="1ED9AEC91FDC4528B51A567B2B19EB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FDC2A24E7D2549238DA6EE03BD0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2BDC-5672-4815-991F-0CE2DEE74014}"/>
      </w:docPartPr>
      <w:docPartBody>
        <w:p w:rsidR="00D21A9F" w:rsidRDefault="00D21A9F">
          <w:pPr>
            <w:pStyle w:val="FDC2A24E7D2549238DA6EE03BD0A6AE0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E827C9D0DA949E385F2E9AB4264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B1BA-B22F-4B62-9CED-7D4A7A141414}"/>
      </w:docPartPr>
      <w:docPartBody>
        <w:p w:rsidR="00D21A9F" w:rsidRDefault="00D21A9F">
          <w:pPr>
            <w:pStyle w:val="9E827C9D0DA949E385F2E9AB4264125E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7E4EC2DB10B4B8E8A66F7A5C136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8905-5FB3-41F1-93DC-9CC4E0026343}"/>
      </w:docPartPr>
      <w:docPartBody>
        <w:p w:rsidR="00D21A9F" w:rsidRDefault="00D21A9F">
          <w:pPr>
            <w:pStyle w:val="47E4EC2DB10B4B8E8A66F7A5C13653CB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E4DD00C3A334F93BF5CC79754E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D032-152D-43ED-B301-B773F4E16730}"/>
      </w:docPartPr>
      <w:docPartBody>
        <w:p w:rsidR="00D21A9F" w:rsidRDefault="00D21A9F">
          <w:pPr>
            <w:pStyle w:val="5E4DD00C3A334F93BF5CC79754EBC5E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1708404F1C4A3BB080A0D8EEB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5B6-0ED1-45DE-89C6-97EC2AC4C0B7}"/>
      </w:docPartPr>
      <w:docPartBody>
        <w:p w:rsidR="00D21A9F" w:rsidRDefault="00D21A9F">
          <w:pPr>
            <w:pStyle w:val="EA1708404F1C4A3BB080A0D8EEB67D1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3D4204BA37A4A21A656C76DA42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64BC-C0C9-4379-B1B0-F8982B824A8E}"/>
      </w:docPartPr>
      <w:docPartBody>
        <w:p w:rsidR="00D21A9F" w:rsidRDefault="00D21A9F">
          <w:pPr>
            <w:pStyle w:val="F3D4204BA37A4A21A656C76DA4274412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D98FA8C84704C71B6F1557317AE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FB54-C6B8-4F2D-88BE-C0D2DC34C42D}"/>
      </w:docPartPr>
      <w:docPartBody>
        <w:p w:rsidR="00D21A9F" w:rsidRDefault="00D21A9F">
          <w:pPr>
            <w:pStyle w:val="5D98FA8C84704C71B6F1557317AE5303"/>
          </w:pPr>
          <w:r w:rsidRPr="00DF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891C0AB704CDAB9BC6E80D556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ED3B-D766-43B3-B75A-764D619F223B}"/>
      </w:docPartPr>
      <w:docPartBody>
        <w:p w:rsidR="00D21A9F" w:rsidRDefault="00D21A9F">
          <w:pPr>
            <w:pStyle w:val="2BF891C0AB704CDAB9BC6E80D556473F"/>
          </w:pPr>
          <w:r w:rsidRPr="004C23F4">
            <w:rPr>
              <w:rStyle w:val="PlaceholderText"/>
              <w:rFonts w:cs="Arial"/>
            </w:rPr>
            <w:t>Click here to enter year</w:t>
          </w:r>
        </w:p>
      </w:docPartBody>
    </w:docPart>
    <w:docPart>
      <w:docPartPr>
        <w:name w:val="C1360B8E768E4A2B8461AFEC9B976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635D-2796-4CED-9AA6-47F5BDBF2555}"/>
      </w:docPartPr>
      <w:docPartBody>
        <w:p w:rsidR="00CD2DF2" w:rsidRDefault="00A35CA9" w:rsidP="00A35CA9">
          <w:pPr>
            <w:pStyle w:val="C1360B8E768E4A2B8461AFEC9B976725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D1213C3B3171482BAB25053BA0CC4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006C-EB6D-444D-AB2D-495985856815}"/>
      </w:docPartPr>
      <w:docPartBody>
        <w:p w:rsidR="00604ECF" w:rsidRDefault="00E120E0" w:rsidP="00E120E0">
          <w:pPr>
            <w:pStyle w:val="D1213C3B3171482BAB25053BA0CC4E93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F0CD47D1A5F14ACD950872B30A98B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81835-CC54-4C35-8A3E-A1D9BFB702B4}"/>
      </w:docPartPr>
      <w:docPartBody>
        <w:p w:rsidR="00604ECF" w:rsidRDefault="00E120E0" w:rsidP="00E120E0">
          <w:pPr>
            <w:pStyle w:val="F0CD47D1A5F14ACD950872B30A98B3D5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7C899E2BA5F54172BFD48E67A3C78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512B5-55E0-4A29-A42A-B832EBB748A2}"/>
      </w:docPartPr>
      <w:docPartBody>
        <w:p w:rsidR="00604ECF" w:rsidRDefault="00E120E0" w:rsidP="00E120E0">
          <w:pPr>
            <w:pStyle w:val="7C899E2BA5F54172BFD48E67A3C7889B"/>
          </w:pPr>
          <w:r w:rsidRPr="00724F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2877DC"/>
    <w:rsid w:val="002A65D9"/>
    <w:rsid w:val="00604ECF"/>
    <w:rsid w:val="00A35CA9"/>
    <w:rsid w:val="00B74990"/>
    <w:rsid w:val="00CD2DF2"/>
    <w:rsid w:val="00D21A9F"/>
    <w:rsid w:val="00DD3B20"/>
    <w:rsid w:val="00E1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0E0"/>
    <w:rPr>
      <w:color w:val="808080"/>
    </w:rPr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A8678C1795E74652B379AA1F418D051C">
    <w:name w:val="A8678C1795E74652B379AA1F418D051C"/>
    <w:rsid w:val="00B74990"/>
  </w:style>
  <w:style w:type="paragraph" w:customStyle="1" w:styleId="B8A02F3E9BDE411A92169E021A820780">
    <w:name w:val="B8A02F3E9BDE411A92169E021A820780"/>
    <w:rsid w:val="00B74990"/>
  </w:style>
  <w:style w:type="paragraph" w:customStyle="1" w:styleId="565D483B83E24679B29EE269DA0BA73E">
    <w:name w:val="565D483B83E24679B29EE269DA0BA73E"/>
    <w:rsid w:val="00DD3B20"/>
  </w:style>
  <w:style w:type="paragraph" w:customStyle="1" w:styleId="829D3AE195CF4AB6AD38AF6B441BDE2E">
    <w:name w:val="829D3AE195CF4AB6AD38AF6B441BDE2E"/>
    <w:rsid w:val="00A35CA9"/>
  </w:style>
  <w:style w:type="paragraph" w:customStyle="1" w:styleId="F353A3471CC24A1F85F6A31C5CBB1A90">
    <w:name w:val="F353A3471CC24A1F85F6A31C5CBB1A90"/>
    <w:rsid w:val="00A35CA9"/>
  </w:style>
  <w:style w:type="paragraph" w:customStyle="1" w:styleId="C1360B8E768E4A2B8461AFEC9B976725">
    <w:name w:val="C1360B8E768E4A2B8461AFEC9B976725"/>
    <w:rsid w:val="00A35CA9"/>
  </w:style>
  <w:style w:type="paragraph" w:customStyle="1" w:styleId="D1213C3B3171482BAB25053BA0CC4E93">
    <w:name w:val="D1213C3B3171482BAB25053BA0CC4E93"/>
    <w:rsid w:val="00E120E0"/>
  </w:style>
  <w:style w:type="paragraph" w:customStyle="1" w:styleId="F0CD47D1A5F14ACD950872B30A98B3D5">
    <w:name w:val="F0CD47D1A5F14ACD950872B30A98B3D5"/>
    <w:rsid w:val="00E120E0"/>
  </w:style>
  <w:style w:type="paragraph" w:customStyle="1" w:styleId="7C899E2BA5F54172BFD48E67A3C7889B">
    <w:name w:val="7C899E2BA5F54172BFD48E67A3C7889B"/>
    <w:rsid w:val="00E12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04F5F-B70B-4DC9-9AAE-E850349D7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0028C-DB0C-4F7E-B650-CF1A9A6CA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77F7F-887C-4DBF-80CC-4CA6DBD6CC75}">
  <ds:schemaRefs>
    <ds:schemaRef ds:uri="http://purl.org/dc/terms/"/>
    <ds:schemaRef ds:uri="http://purl.org/dc/elements/1.1/"/>
    <ds:schemaRef ds:uri="http://purl.org/dc/dcmitype/"/>
    <ds:schemaRef ds:uri="bf54d604-3e62-4e70-ba33-9e9084b96a6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3DEC47-17A5-40DC-98B6-157A04E6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2019-11-08T03:44:00Z</dcterms:created>
  <dcterms:modified xsi:type="dcterms:W3CDTF">2019-12-05T23:18:00Z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