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Start w:id="1" w:name="_Hlk23689706" w:displacedByCustomXml="next"/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31DECB65" w14:textId="3763627E" w:rsidR="00BD499F" w:rsidRPr="004C23F4" w:rsidRDefault="00E67E39" w:rsidP="00B40C60">
          <w:pPr>
            <w:pStyle w:val="Heading1"/>
            <w:jc w:val="center"/>
            <w:rPr>
              <w:rFonts w:ascii="Arial" w:hAnsi="Arial" w:cs="Arial"/>
            </w:rPr>
          </w:pPr>
          <w:r w:rsidRPr="00E67E39">
            <w:rPr>
              <w:rFonts w:ascii="Arial" w:hAnsi="Arial" w:cs="Arial"/>
            </w:rPr>
            <w:t>Endosulfan</w:t>
          </w:r>
        </w:p>
      </w:sdtContent>
    </w:sdt>
    <w:bookmarkEnd w:id="1" w:displacedByCustomXml="prev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79"/>
        <w:gridCol w:w="5047"/>
      </w:tblGrid>
      <w:tr w:rsidR="00F43AD5" w:rsidRPr="004C23F4" w14:paraId="05F0CC56" w14:textId="77777777" w:rsidTr="00B76A41">
        <w:trPr>
          <w:cantSplit/>
          <w:tblHeader/>
        </w:trPr>
        <w:tc>
          <w:tcPr>
            <w:tcW w:w="4077" w:type="dxa"/>
          </w:tcPr>
          <w:p w14:paraId="4B2DA474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165" w:type="dxa"/>
          </w:tcPr>
          <w:p w14:paraId="310AC9E9" w14:textId="6419958E" w:rsidR="00F43AD5" w:rsidRPr="00717D45" w:rsidRDefault="00C9523D" w:rsidP="00B76A41">
            <w:pPr>
              <w:pStyle w:val="Tablefont"/>
            </w:pPr>
            <w:r w:rsidRPr="00C9523D">
              <w:t>115-29-7</w:t>
            </w:r>
          </w:p>
        </w:tc>
      </w:tr>
      <w:tr w:rsidR="00F43AD5" w:rsidRPr="004C23F4" w14:paraId="6FD1F2BA" w14:textId="77777777" w:rsidTr="00B76A41">
        <w:trPr>
          <w:cantSplit/>
        </w:trPr>
        <w:tc>
          <w:tcPr>
            <w:tcW w:w="4077" w:type="dxa"/>
          </w:tcPr>
          <w:p w14:paraId="01DBA6CF" w14:textId="0A13773F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629B0314" w14:textId="6ECC8E20" w:rsidR="00F43AD5" w:rsidRPr="00717D45" w:rsidRDefault="00C9523D" w:rsidP="00B76A41">
            <w:pPr>
              <w:pStyle w:val="Tablefont"/>
            </w:pPr>
            <w:r w:rsidRPr="00C9523D">
              <w:t>Thiodan</w:t>
            </w:r>
            <w:r>
              <w:t xml:space="preserve">, 6,7,8,9,10,10-Hexachloro-1,5,5a,6,9,9a-Hexahydro-6,9-methano-2,4,3-benzodioxathiepin 3-oxide, </w:t>
            </w:r>
            <w:r w:rsidR="00F357AE">
              <w:t>thiodan</w:t>
            </w:r>
          </w:p>
        </w:tc>
      </w:tr>
      <w:tr w:rsidR="00F43AD5" w:rsidRPr="004C23F4" w14:paraId="64FCF7A8" w14:textId="77777777" w:rsidTr="00B76A41">
        <w:trPr>
          <w:cantSplit/>
        </w:trPr>
        <w:tc>
          <w:tcPr>
            <w:tcW w:w="4077" w:type="dxa"/>
          </w:tcPr>
          <w:p w14:paraId="6459BFF5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6225F38B" w14:textId="0F6ABA31" w:rsidR="00F43AD5" w:rsidRPr="00717D45" w:rsidRDefault="00C9523D" w:rsidP="00B76A41">
            <w:pPr>
              <w:pStyle w:val="Tablefont"/>
            </w:pPr>
            <w:r>
              <w:t>C</w:t>
            </w:r>
            <w:r w:rsidRPr="00C9523D">
              <w:rPr>
                <w:vertAlign w:val="subscript"/>
              </w:rPr>
              <w:t>9</w:t>
            </w:r>
            <w:r>
              <w:t>H</w:t>
            </w:r>
            <w:r w:rsidRPr="00C9523D">
              <w:rPr>
                <w:vertAlign w:val="subscript"/>
              </w:rPr>
              <w:t>6</w:t>
            </w:r>
            <w:r>
              <w:t>Cl</w:t>
            </w:r>
            <w:r w:rsidRPr="00C9523D">
              <w:rPr>
                <w:vertAlign w:val="subscript"/>
              </w:rPr>
              <w:t>6</w:t>
            </w:r>
            <w:r>
              <w:t>O</w:t>
            </w:r>
            <w:r w:rsidRPr="00C9523D">
              <w:rPr>
                <w:vertAlign w:val="subscript"/>
              </w:rPr>
              <w:t>3</w:t>
            </w:r>
            <w:r>
              <w:t>S</w:t>
            </w:r>
          </w:p>
        </w:tc>
      </w:tr>
      <w:tr w:rsidR="00F43AD5" w:rsidRPr="004C23F4" w14:paraId="12E8EC92" w14:textId="77777777" w:rsidTr="00B76A41">
        <w:trPr>
          <w:cantSplit/>
        </w:trPr>
        <w:tc>
          <w:tcPr>
            <w:tcW w:w="4077" w:type="dxa"/>
          </w:tcPr>
          <w:p w14:paraId="57B5D1E7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75427E01" w14:textId="014D72AE" w:rsidR="00F43AD5" w:rsidRPr="00B40C60" w:rsidRDefault="00C9523D" w:rsidP="00B76A41">
            <w:pPr>
              <w:pStyle w:val="Tablerowheading"/>
              <w:rPr>
                <w:b w:val="0"/>
              </w:rPr>
            </w:pPr>
            <w:r>
              <w:t>—</w:t>
            </w:r>
          </w:p>
        </w:tc>
      </w:tr>
    </w:tbl>
    <w:p w14:paraId="0CC8486D" w14:textId="02E80DD7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DF1B6E">
            <w:rPr>
              <w:rStyle w:val="WESstatus"/>
            </w:rPr>
            <w:t>(retained)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3D98185B" w14:textId="77777777" w:rsidTr="00DF1B6E">
        <w:trPr>
          <w:cantSplit/>
          <w:tblHeader/>
        </w:trPr>
        <w:tc>
          <w:tcPr>
            <w:tcW w:w="4005" w:type="dxa"/>
            <w:vAlign w:val="center"/>
          </w:tcPr>
          <w:p w14:paraId="7A8F3797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63548C52" w14:textId="025832C0" w:rsidR="002C7AFE" w:rsidRPr="00312079" w:rsidRDefault="00A1739F" w:rsidP="00017C82">
            <w:pPr>
              <w:pStyle w:val="Tablefont"/>
              <w:rPr>
                <w:b/>
              </w:rPr>
            </w:pPr>
            <w:r w:rsidRPr="00312079">
              <w:rPr>
                <w:b/>
              </w:rPr>
              <w:t>0.1 mg/m</w:t>
            </w:r>
            <w:r w:rsidRPr="00312079">
              <w:rPr>
                <w:b/>
                <w:vertAlign w:val="superscript"/>
              </w:rPr>
              <w:t>3</w:t>
            </w:r>
          </w:p>
        </w:tc>
      </w:tr>
      <w:tr w:rsidR="002C7AFE" w:rsidRPr="004C23F4" w14:paraId="47ED64A8" w14:textId="77777777" w:rsidTr="00DF1B6E">
        <w:trPr>
          <w:cantSplit/>
        </w:trPr>
        <w:tc>
          <w:tcPr>
            <w:tcW w:w="4005" w:type="dxa"/>
            <w:vAlign w:val="center"/>
          </w:tcPr>
          <w:p w14:paraId="0EEB2A7C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6EC99F33" w14:textId="12AFED39" w:rsidR="002C7AFE" w:rsidRPr="00312079" w:rsidRDefault="00A1739F" w:rsidP="00017C82">
            <w:pPr>
              <w:pStyle w:val="Tablefont"/>
              <w:rPr>
                <w:b/>
              </w:rPr>
            </w:pPr>
            <w:r w:rsidRPr="00312079">
              <w:rPr>
                <w:b/>
              </w:rPr>
              <w:t>—</w:t>
            </w:r>
          </w:p>
        </w:tc>
      </w:tr>
      <w:tr w:rsidR="002C7AFE" w:rsidRPr="004C23F4" w14:paraId="4F4F55DF" w14:textId="77777777" w:rsidTr="00DF1B6E">
        <w:trPr>
          <w:cantSplit/>
        </w:trPr>
        <w:tc>
          <w:tcPr>
            <w:tcW w:w="4005" w:type="dxa"/>
            <w:vAlign w:val="center"/>
          </w:tcPr>
          <w:p w14:paraId="793B680E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7713D7EB" w14:textId="022C5E9B" w:rsidR="002C7AFE" w:rsidRPr="00312079" w:rsidRDefault="00A1739F" w:rsidP="00017C82">
            <w:pPr>
              <w:pStyle w:val="Tablefont"/>
              <w:rPr>
                <w:b/>
              </w:rPr>
            </w:pPr>
            <w:r w:rsidRPr="00312079">
              <w:rPr>
                <w:b/>
              </w:rPr>
              <w:t>—</w:t>
            </w:r>
          </w:p>
        </w:tc>
      </w:tr>
      <w:tr w:rsidR="002C7AFE" w:rsidRPr="004C23F4" w14:paraId="4DC9E348" w14:textId="77777777" w:rsidTr="00DF1B6E">
        <w:trPr>
          <w:cantSplit/>
        </w:trPr>
        <w:tc>
          <w:tcPr>
            <w:tcW w:w="4005" w:type="dxa"/>
          </w:tcPr>
          <w:p w14:paraId="319E1D76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19DCFC5B" w14:textId="39671859" w:rsidR="002C7AFE" w:rsidRPr="00312079" w:rsidRDefault="00007948" w:rsidP="008A36CF">
            <w:pPr>
              <w:pStyle w:val="Tablefont"/>
              <w:rPr>
                <w:b/>
              </w:rPr>
            </w:pPr>
            <w:r w:rsidRPr="00312079">
              <w:rPr>
                <w:b/>
              </w:rPr>
              <w:t>Sk</w:t>
            </w:r>
            <w:r w:rsidR="00DF1B6E">
              <w:rPr>
                <w:b/>
              </w:rPr>
              <w:t>.</w:t>
            </w:r>
          </w:p>
        </w:tc>
      </w:tr>
      <w:tr w:rsidR="002C7AFE" w:rsidRPr="004C23F4" w14:paraId="57FFD24D" w14:textId="77777777" w:rsidTr="00DF1B6E">
        <w:trPr>
          <w:cantSplit/>
        </w:trPr>
        <w:tc>
          <w:tcPr>
            <w:tcW w:w="4005" w:type="dxa"/>
            <w:vAlign w:val="center"/>
          </w:tcPr>
          <w:p w14:paraId="55213226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758DB258" w14:textId="05B61CE8" w:rsidR="002C7AFE" w:rsidRPr="00312079" w:rsidRDefault="00C9523D" w:rsidP="00017C82">
            <w:pPr>
              <w:pStyle w:val="Tablefont"/>
              <w:rPr>
                <w:b/>
              </w:rPr>
            </w:pPr>
            <w:r w:rsidRPr="00312079">
              <w:rPr>
                <w:b/>
              </w:rPr>
              <w:t>—</w:t>
            </w:r>
          </w:p>
        </w:tc>
      </w:tr>
      <w:tr w:rsidR="00DF1B6E" w:rsidRPr="004C23F4" w14:paraId="5522CCF3" w14:textId="77777777" w:rsidTr="00FD2AD0">
        <w:trPr>
          <w:cantSplit/>
        </w:trPr>
        <w:tc>
          <w:tcPr>
            <w:tcW w:w="9026" w:type="dxa"/>
            <w:gridSpan w:val="2"/>
            <w:vAlign w:val="center"/>
          </w:tcPr>
          <w:p w14:paraId="39C1A6A5" w14:textId="49277C50" w:rsidR="00DF1B6E" w:rsidRPr="00007948" w:rsidRDefault="00DF1B6E" w:rsidP="00017C82">
            <w:pPr>
              <w:pStyle w:val="Tablefont"/>
            </w:pPr>
            <w:r w:rsidRPr="00E673FA">
              <w:rPr>
                <w:b/>
              </w:rP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F0F11ED6411F43269C05ACA9EB42FCD2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E673FA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331D6B48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6C9472A3" w14:textId="211A5E61" w:rsidR="00523766" w:rsidRPr="0040214C" w:rsidRDefault="003B1BB5" w:rsidP="00F038E8">
      <w:r>
        <w:t>A</w:t>
      </w:r>
      <w:r w:rsidR="00D27C25">
        <w:t xml:space="preserve"> </w:t>
      </w:r>
      <w:r w:rsidR="00CE5320">
        <w:t>TWA of</w:t>
      </w:r>
      <w:r w:rsidR="001D45E3">
        <w:t xml:space="preserve"> </w:t>
      </w:r>
      <w:r w:rsidR="00CE5320">
        <w:t>0.1 mg/</w:t>
      </w:r>
      <w:r w:rsidR="00CE5320" w:rsidRPr="00E673FA">
        <w:t>m</w:t>
      </w:r>
      <w:r w:rsidR="00CE5320" w:rsidRPr="00E673FA">
        <w:rPr>
          <w:vertAlign w:val="superscript"/>
        </w:rPr>
        <w:t>3</w:t>
      </w:r>
      <w:r w:rsidR="00E673FA">
        <w:t xml:space="preserve"> </w:t>
      </w:r>
      <w:r w:rsidR="00CE5320" w:rsidRPr="00E673FA">
        <w:t>is</w:t>
      </w:r>
      <w:r w:rsidR="00D27C25">
        <w:t xml:space="preserve"> recommended</w:t>
      </w:r>
      <w:r w:rsidR="00CE5320">
        <w:t xml:space="preserve"> to protect </w:t>
      </w:r>
      <w:r>
        <w:t xml:space="preserve">for </w:t>
      </w:r>
      <w:r w:rsidR="00CE5320">
        <w:t>low</w:t>
      </w:r>
      <w:r>
        <w:t>er</w:t>
      </w:r>
      <w:r w:rsidR="00CE5320">
        <w:t xml:space="preserve"> respiratory tract irritation</w:t>
      </w:r>
      <w:r w:rsidR="00F01721">
        <w:t xml:space="preserve">, </w:t>
      </w:r>
      <w:r w:rsidR="00CE5320">
        <w:t>liver and kidney damage</w:t>
      </w:r>
      <w:r w:rsidR="00E673FA">
        <w:t xml:space="preserve"> and central nervous system (CNS)</w:t>
      </w:r>
      <w:r w:rsidR="00F01721">
        <w:t xml:space="preserve"> effects</w:t>
      </w:r>
      <w:r w:rsidR="00755E1C">
        <w:t xml:space="preserve"> in exposed workers</w:t>
      </w:r>
      <w:r w:rsidR="00CE5320">
        <w:t>.</w:t>
      </w:r>
    </w:p>
    <w:p w14:paraId="2338CC24" w14:textId="77777777" w:rsidR="00C7155E" w:rsidRPr="004C23F4" w:rsidRDefault="00F10C97" w:rsidP="003365A5">
      <w:pPr>
        <w:pStyle w:val="Heading2"/>
      </w:pPr>
      <w:r>
        <w:t>Discussion and conclusions</w:t>
      </w:r>
    </w:p>
    <w:p w14:paraId="0E471F87" w14:textId="77777777" w:rsidR="00D27C25" w:rsidRDefault="00F01721" w:rsidP="006639B4">
      <w:pPr>
        <w:rPr>
          <w:rFonts w:cs="Arial"/>
        </w:rPr>
      </w:pPr>
      <w:r>
        <w:rPr>
          <w:rFonts w:cs="Arial"/>
        </w:rPr>
        <w:t xml:space="preserve">Endosulfan has been widely applied as an insecticide (ACGIH, 2009). </w:t>
      </w:r>
    </w:p>
    <w:p w14:paraId="6C69FF7E" w14:textId="36267E6D" w:rsidR="00D27C25" w:rsidRPr="00B965BC" w:rsidRDefault="00E673FA" w:rsidP="006639B4">
      <w:pPr>
        <w:rPr>
          <w:rFonts w:cs="Arial"/>
        </w:rPr>
      </w:pPr>
      <w:r>
        <w:rPr>
          <w:rFonts w:cs="Arial"/>
        </w:rPr>
        <w:t>The critical effects are respiratory tract irritation, liver and kidney damage,</w:t>
      </w:r>
      <w:r w:rsidRPr="00E673FA">
        <w:t xml:space="preserve"> </w:t>
      </w:r>
      <w:r>
        <w:t>oedema of the brain and lungs</w:t>
      </w:r>
      <w:r>
        <w:rPr>
          <w:rFonts w:cs="Arial"/>
        </w:rPr>
        <w:t xml:space="preserve"> and CNS effects. </w:t>
      </w:r>
      <w:r w:rsidR="00607A5D">
        <w:rPr>
          <w:rFonts w:cs="Arial"/>
        </w:rPr>
        <w:t xml:space="preserve">Reliable human exposure data are not available. </w:t>
      </w:r>
      <w:r w:rsidR="00B965BC">
        <w:rPr>
          <w:rFonts w:cs="Arial"/>
        </w:rPr>
        <w:t>No effects were seen in rats exposed at 1 mg/m</w:t>
      </w:r>
      <w:r w:rsidR="00B965BC">
        <w:rPr>
          <w:rFonts w:cs="Arial"/>
          <w:vertAlign w:val="superscript"/>
        </w:rPr>
        <w:t>3</w:t>
      </w:r>
      <w:r w:rsidR="00B965BC">
        <w:rPr>
          <w:rFonts w:cs="Arial"/>
        </w:rPr>
        <w:t xml:space="preserve"> for 29 days</w:t>
      </w:r>
      <w:r w:rsidR="00B965BC" w:rsidRPr="00F038E8">
        <w:rPr>
          <w:rFonts w:cs="Arial"/>
        </w:rPr>
        <w:t>. A NOEL of</w:t>
      </w:r>
      <w:r w:rsidR="0041392B" w:rsidRPr="00F038E8">
        <w:rPr>
          <w:rFonts w:cs="Arial"/>
        </w:rPr>
        <w:t xml:space="preserve"> approximately</w:t>
      </w:r>
      <w:r w:rsidR="00B965BC" w:rsidRPr="00F038E8">
        <w:rPr>
          <w:rFonts w:cs="Arial"/>
        </w:rPr>
        <w:t xml:space="preserve"> 0.5</w:t>
      </w:r>
      <w:r w:rsidR="00AD7897" w:rsidRPr="00F038E8">
        <w:rPr>
          <w:rFonts w:cs="Arial"/>
        </w:rPr>
        <w:t> </w:t>
      </w:r>
      <w:r w:rsidR="00B965BC" w:rsidRPr="00F038E8">
        <w:rPr>
          <w:rFonts w:cs="Arial"/>
        </w:rPr>
        <w:t>mg/kg/d was reported from repeated dose studies in rats, mice and dogs</w:t>
      </w:r>
      <w:r w:rsidR="0049117D" w:rsidRPr="00F038E8">
        <w:rPr>
          <w:rFonts w:cs="Arial"/>
        </w:rPr>
        <w:t>.</w:t>
      </w:r>
      <w:r w:rsidR="0049117D">
        <w:rPr>
          <w:rFonts w:cs="Arial"/>
        </w:rPr>
        <w:t xml:space="preserve"> T</w:t>
      </w:r>
      <w:r w:rsidR="00B965BC">
        <w:rPr>
          <w:rFonts w:cs="Arial"/>
        </w:rPr>
        <w:t xml:space="preserve">he ACGIH reported </w:t>
      </w:r>
      <w:r w:rsidR="0049117D">
        <w:rPr>
          <w:rFonts w:cs="Arial"/>
        </w:rPr>
        <w:t xml:space="preserve">this dose </w:t>
      </w:r>
      <w:r w:rsidR="00B965BC">
        <w:rPr>
          <w:rFonts w:cs="Arial"/>
        </w:rPr>
        <w:t>as equivalent to a daily inhalation exposure of 3.5 mg/m</w:t>
      </w:r>
      <w:r w:rsidR="00B965BC">
        <w:rPr>
          <w:rFonts w:cs="Arial"/>
          <w:vertAlign w:val="superscript"/>
        </w:rPr>
        <w:t>3</w:t>
      </w:r>
      <w:r w:rsidR="00B965BC">
        <w:rPr>
          <w:rFonts w:cs="Arial"/>
        </w:rPr>
        <w:t xml:space="preserve"> </w:t>
      </w:r>
      <w:r w:rsidR="0049117D">
        <w:rPr>
          <w:rFonts w:cs="Arial"/>
        </w:rPr>
        <w:t>and assigned a TWA of 0.1 mg/m</w:t>
      </w:r>
      <w:r w:rsidR="0049117D">
        <w:rPr>
          <w:rFonts w:cs="Arial"/>
          <w:vertAlign w:val="superscript"/>
        </w:rPr>
        <w:t>3</w:t>
      </w:r>
      <w:r w:rsidR="0049117D">
        <w:rPr>
          <w:rFonts w:cs="Arial"/>
        </w:rPr>
        <w:t xml:space="preserve"> </w:t>
      </w:r>
      <w:r w:rsidR="00B965BC">
        <w:rPr>
          <w:rFonts w:cs="Arial"/>
        </w:rPr>
        <w:t>(ACGIH, 2018).</w:t>
      </w:r>
    </w:p>
    <w:p w14:paraId="54FC3A66" w14:textId="477991CE" w:rsidR="006639B4" w:rsidRPr="001F1945" w:rsidRDefault="005D7EA0" w:rsidP="006639B4">
      <w:pPr>
        <w:rPr>
          <w:rFonts w:cs="Arial"/>
        </w:rPr>
      </w:pPr>
      <w:r>
        <w:rPr>
          <w:rFonts w:cs="Arial"/>
        </w:rPr>
        <w:t xml:space="preserve">The current </w:t>
      </w:r>
      <w:r w:rsidR="001F1945">
        <w:rPr>
          <w:rFonts w:cs="Arial"/>
        </w:rPr>
        <w:t>TWA of 0.1 mg/m</w:t>
      </w:r>
      <w:r w:rsidR="001F1945">
        <w:rPr>
          <w:rFonts w:cs="Arial"/>
          <w:vertAlign w:val="superscript"/>
        </w:rPr>
        <w:t>3</w:t>
      </w:r>
      <w:r w:rsidR="00B965BC">
        <w:rPr>
          <w:rFonts w:cs="Arial"/>
        </w:rPr>
        <w:t xml:space="preserve"> is recommended </w:t>
      </w:r>
      <w:r>
        <w:rPr>
          <w:rFonts w:cs="Arial"/>
        </w:rPr>
        <w:t xml:space="preserve">to be retained </w:t>
      </w:r>
      <w:r w:rsidR="00B965BC">
        <w:rPr>
          <w:rFonts w:cs="Arial"/>
        </w:rPr>
        <w:t>as assigned by the ACGIH (2018)</w:t>
      </w:r>
      <w:r w:rsidR="001F1945">
        <w:rPr>
          <w:rFonts w:cs="Arial"/>
        </w:rPr>
        <w:t xml:space="preserve"> </w:t>
      </w:r>
      <w:r w:rsidR="00B965BC">
        <w:rPr>
          <w:rFonts w:cs="Arial"/>
        </w:rPr>
        <w:t>and</w:t>
      </w:r>
      <w:r w:rsidR="001A3159">
        <w:rPr>
          <w:rFonts w:cs="Arial"/>
        </w:rPr>
        <w:t xml:space="preserve"> based on</w:t>
      </w:r>
      <w:r w:rsidR="004F6458">
        <w:rPr>
          <w:rFonts w:cs="Arial"/>
        </w:rPr>
        <w:t xml:space="preserve"> </w:t>
      </w:r>
      <w:r w:rsidR="001A3159">
        <w:rPr>
          <w:rFonts w:cs="Arial"/>
        </w:rPr>
        <w:t xml:space="preserve">the weight of </w:t>
      </w:r>
      <w:r w:rsidR="004F6458">
        <w:rPr>
          <w:rFonts w:cs="Arial"/>
        </w:rPr>
        <w:t>evidence</w:t>
      </w:r>
      <w:r w:rsidR="001A3159">
        <w:rPr>
          <w:rFonts w:cs="Arial"/>
        </w:rPr>
        <w:t xml:space="preserve"> presented</w:t>
      </w:r>
      <w:r w:rsidR="00660FE4">
        <w:rPr>
          <w:rFonts w:cs="Arial"/>
        </w:rPr>
        <w:t>. The recommended TWA</w:t>
      </w:r>
      <w:r w:rsidR="004F6458">
        <w:rPr>
          <w:rFonts w:cs="Arial"/>
        </w:rPr>
        <w:t xml:space="preserve"> </w:t>
      </w:r>
      <w:r w:rsidR="00B965BC">
        <w:rPr>
          <w:rFonts w:cs="Arial"/>
        </w:rPr>
        <w:t xml:space="preserve">is expected to be protective of harmful effects in exposed workers. </w:t>
      </w:r>
    </w:p>
    <w:p w14:paraId="6B59332B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45DA284D" w14:textId="0AC4893B" w:rsidR="00C9523D" w:rsidRPr="00A70823" w:rsidRDefault="00C9523D" w:rsidP="00C9523D">
      <w:pPr>
        <w:rPr>
          <w:rFonts w:cs="Arial"/>
        </w:rPr>
      </w:pPr>
      <w:r w:rsidRPr="00A70823">
        <w:rPr>
          <w:rFonts w:cs="Arial"/>
        </w:rPr>
        <w:t>Not classified as a carcinogen according to the Globally Harmonized System of Classification and Labelling o</w:t>
      </w:r>
      <w:r w:rsidR="001D45E3">
        <w:rPr>
          <w:rFonts w:cs="Arial"/>
        </w:rPr>
        <w:t>f</w:t>
      </w:r>
      <w:r w:rsidRPr="00A70823">
        <w:rPr>
          <w:rFonts w:cs="Arial"/>
        </w:rPr>
        <w:t xml:space="preserve"> Chemicals (GHS). </w:t>
      </w:r>
    </w:p>
    <w:p w14:paraId="5D48ED89" w14:textId="3BD11930" w:rsidR="00C9523D" w:rsidRPr="00A70823" w:rsidRDefault="00C9523D" w:rsidP="00C9523D">
      <w:pPr>
        <w:rPr>
          <w:rFonts w:cs="Arial"/>
        </w:rPr>
      </w:pPr>
      <w:r w:rsidRPr="00A70823">
        <w:rPr>
          <w:rFonts w:cs="Arial"/>
        </w:rPr>
        <w:t xml:space="preserve">Not classified as a skin </w:t>
      </w:r>
      <w:r w:rsidR="001D45E3" w:rsidRPr="00A70823">
        <w:rPr>
          <w:rFonts w:cs="Arial"/>
        </w:rPr>
        <w:t xml:space="preserve">sensitiser </w:t>
      </w:r>
      <w:r w:rsidRPr="00A70823">
        <w:rPr>
          <w:rFonts w:cs="Arial"/>
        </w:rPr>
        <w:t>or respiratory sensitiser according to the GHS.</w:t>
      </w:r>
    </w:p>
    <w:p w14:paraId="7EC384DC" w14:textId="68DC538F" w:rsidR="001D45E3" w:rsidRPr="00312079" w:rsidRDefault="00D27C25" w:rsidP="001D45E3">
      <w:pPr>
        <w:rPr>
          <w:rFonts w:cs="Arial"/>
        </w:rPr>
      </w:pPr>
      <w:r>
        <w:rPr>
          <w:rFonts w:cs="Arial"/>
        </w:rPr>
        <w:t>A skin notation is recommended</w:t>
      </w:r>
      <w:r w:rsidR="001D45E3" w:rsidRPr="00312079">
        <w:rPr>
          <w:rFonts w:cs="Arial"/>
        </w:rPr>
        <w:t xml:space="preserve"> as evidence indicates rapid absorption through the skin and reports of acute poisonings in the workplace.</w:t>
      </w:r>
    </w:p>
    <w:p w14:paraId="0273A245" w14:textId="77777777" w:rsidR="0025734A" w:rsidRPr="004C23F4" w:rsidRDefault="0025734A">
      <w:pPr>
        <w:rPr>
          <w:rFonts w:cs="Arial"/>
        </w:rPr>
      </w:pPr>
    </w:p>
    <w:p w14:paraId="13A38980" w14:textId="77777777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03DEB4C4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11C97EB3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12E173CC" w14:textId="77777777" w:rsidTr="00DE26E8">
        <w:trPr>
          <w:gridAfter w:val="1"/>
          <w:wAfter w:w="8" w:type="pct"/>
          <w:cantSplit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7A0E550B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7688393B" w14:textId="77777777" w:rsidTr="00DE26E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E2402B1" w14:textId="7A1EB85D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C9523D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C9523D">
                  <w:t>TWA: 0.1 mg/m</w:t>
                </w:r>
                <w:r w:rsidR="00C9523D" w:rsidRPr="00C9523D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5B050F94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6308933A" w14:textId="09884FAF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12124E85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C33961A" w14:textId="35BBEA15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C9523D">
                  <w:t>2009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C9523D">
                  <w:t>TLV-TWA: 0.006 ppm (0.1 mg/m</w:t>
                </w:r>
                <w:r w:rsidR="00C9523D" w:rsidRPr="00C9523D">
                  <w:rPr>
                    <w:vertAlign w:val="superscript"/>
                  </w:rPr>
                  <w:t>3</w:t>
                </w:r>
                <w:r w:rsidR="00C9523D">
                  <w:t>)</w:t>
                </w:r>
              </w:sdtContent>
            </w:sdt>
          </w:p>
        </w:tc>
      </w:tr>
      <w:tr w:rsidR="00C978F0" w:rsidRPr="00DA352E" w14:paraId="372292EA" w14:textId="77777777" w:rsidTr="00D27C25">
        <w:trPr>
          <w:gridAfter w:val="1"/>
          <w:wAfter w:w="8" w:type="pct"/>
        </w:trPr>
        <w:tc>
          <w:tcPr>
            <w:tcW w:w="4992" w:type="pct"/>
          </w:tcPr>
          <w:p w14:paraId="716C7763" w14:textId="10121CBF" w:rsidR="00D27C25" w:rsidRDefault="0040214C" w:rsidP="003365A5">
            <w:pPr>
              <w:pStyle w:val="Tabletextprimarysource"/>
            </w:pPr>
            <w:r>
              <w:t xml:space="preserve">TLV-TWA derived from a NOEL of </w:t>
            </w:r>
            <w:r w:rsidR="00E923C5">
              <w:t>~</w:t>
            </w:r>
            <w:r>
              <w:t>0.5 mg/kg</w:t>
            </w:r>
            <w:r w:rsidR="00F71C32">
              <w:t>/d</w:t>
            </w:r>
            <w:r>
              <w:t xml:space="preserve"> </w:t>
            </w:r>
            <w:r w:rsidR="00E2697F">
              <w:t xml:space="preserve">(based on </w:t>
            </w:r>
            <w:r w:rsidR="00523766">
              <w:t xml:space="preserve">repeated dose studies </w:t>
            </w:r>
            <w:r>
              <w:t xml:space="preserve">in </w:t>
            </w:r>
            <w:r w:rsidR="00B965BC">
              <w:t>rats, mice and dogs</w:t>
            </w:r>
            <w:r w:rsidR="00E2697F">
              <w:t xml:space="preserve">) for protection of lower respiratory tract irritation and liver and kidney damage. </w:t>
            </w:r>
          </w:p>
          <w:p w14:paraId="40EC9C53" w14:textId="424126A7" w:rsidR="00D27C25" w:rsidRDefault="0040214C" w:rsidP="0049117D">
            <w:pPr>
              <w:pStyle w:val="Tabletextprimarysource"/>
            </w:pPr>
            <w:r>
              <w:t xml:space="preserve">Assuming </w:t>
            </w:r>
            <w:r w:rsidR="00E2697F">
              <w:t xml:space="preserve">100% absorption and </w:t>
            </w:r>
            <w:r>
              <w:t xml:space="preserve">inhalation rate </w:t>
            </w:r>
            <w:r w:rsidR="00E2697F">
              <w:t xml:space="preserve">of </w:t>
            </w:r>
            <w:r>
              <w:t>10 m</w:t>
            </w:r>
            <w:r>
              <w:rPr>
                <w:vertAlign w:val="superscript"/>
              </w:rPr>
              <w:t>3</w:t>
            </w:r>
            <w:r>
              <w:t xml:space="preserve"> during an 8</w:t>
            </w:r>
            <w:r w:rsidR="00F357AE">
              <w:t xml:space="preserve"> </w:t>
            </w:r>
            <w:r>
              <w:t>h period, the oral dose corresponds to a daily inhalation exposure of 3.5 mg/m</w:t>
            </w:r>
            <w:r>
              <w:rPr>
                <w:vertAlign w:val="superscript"/>
              </w:rPr>
              <w:t>3</w:t>
            </w:r>
            <w:r w:rsidR="009161C5">
              <w:t>; TLV-TWA sufficiently low to protect from unwanted effects</w:t>
            </w:r>
            <w:r w:rsidR="0049117D">
              <w:rPr>
                <w:vertAlign w:val="superscript"/>
              </w:rPr>
              <w:t xml:space="preserve"> </w:t>
            </w:r>
            <w:r w:rsidR="0049117D">
              <w:t>(no explanation on TLV-TWA derivation)</w:t>
            </w:r>
            <w:r w:rsidR="00E2697F">
              <w:t>.</w:t>
            </w:r>
            <w:r w:rsidR="005D7EA0">
              <w:t xml:space="preserve"> </w:t>
            </w:r>
          </w:p>
          <w:p w14:paraId="1824F99D" w14:textId="12722B1C" w:rsidR="009E7342" w:rsidRPr="0040214C" w:rsidRDefault="00312079" w:rsidP="0049117D">
            <w:pPr>
              <w:pStyle w:val="Tabletextprimarysource"/>
            </w:pPr>
            <w:r>
              <w:t xml:space="preserve">Due to </w:t>
            </w:r>
            <w:r w:rsidR="0003769F">
              <w:t xml:space="preserve">fatal effects on animals when applied dermally, a skin notation is assigned. </w:t>
            </w:r>
          </w:p>
          <w:p w14:paraId="5469295B" w14:textId="77777777" w:rsidR="00E673FA" w:rsidRDefault="00E673FA" w:rsidP="00E673FA">
            <w:pPr>
              <w:pStyle w:val="Tabletextprimarysource"/>
            </w:pPr>
            <w:r>
              <w:t>Summary of data:</w:t>
            </w:r>
          </w:p>
          <w:p w14:paraId="2B036AC5" w14:textId="77777777" w:rsidR="0082297C" w:rsidRDefault="0082297C" w:rsidP="003365A5">
            <w:pPr>
              <w:pStyle w:val="Tabletextprimarysource"/>
            </w:pPr>
            <w:r>
              <w:t>Human data:</w:t>
            </w:r>
          </w:p>
          <w:p w14:paraId="0BB23BE9" w14:textId="5CBCCD23" w:rsidR="0082297C" w:rsidRDefault="00F11DDB" w:rsidP="0082297C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9 workers involved in packaging experienced nausea, vomiting, dizziness and confusion </w:t>
            </w:r>
            <w:r w:rsidR="0053147A">
              <w:t>followed by convulsions</w:t>
            </w:r>
          </w:p>
          <w:p w14:paraId="71C9F239" w14:textId="59016BD3" w:rsidR="00F11DDB" w:rsidRDefault="00F357AE" w:rsidP="0082297C">
            <w:pPr>
              <w:pStyle w:val="Tabletextprimarysource"/>
              <w:numPr>
                <w:ilvl w:val="0"/>
                <w:numId w:val="1"/>
              </w:numPr>
            </w:pPr>
            <w:r>
              <w:t>I</w:t>
            </w:r>
            <w:r w:rsidR="00AF7464">
              <w:t xml:space="preserve">ndustrial worker exposed whilst cleaning a vat </w:t>
            </w:r>
            <w:r w:rsidR="0053147A">
              <w:t xml:space="preserve">experienced repeated </w:t>
            </w:r>
            <w:r w:rsidR="00AF7464">
              <w:t>convulsions and impaired consciousness</w:t>
            </w:r>
            <w:r w:rsidR="0053147A">
              <w:t xml:space="preserve"> that </w:t>
            </w:r>
            <w:r w:rsidR="00AF7464">
              <w:t>led to permanent brain damage</w:t>
            </w:r>
          </w:p>
          <w:p w14:paraId="4D2F0E46" w14:textId="625B94C0" w:rsidR="00D27C25" w:rsidRDefault="00AF7464" w:rsidP="0082297C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Several cases of acute poisoning </w:t>
            </w:r>
            <w:r w:rsidR="005F448E">
              <w:t>reported death following ingestion of up to 100 mL</w:t>
            </w:r>
            <w:r w:rsidR="00AD7897">
              <w:t>:</w:t>
            </w:r>
          </w:p>
          <w:p w14:paraId="0D1028BB" w14:textId="77777777" w:rsidR="00D27C25" w:rsidRDefault="00D27C25" w:rsidP="00F038E8">
            <w:pPr>
              <w:pStyle w:val="Tabletextprimarysource"/>
              <w:numPr>
                <w:ilvl w:val="0"/>
                <w:numId w:val="5"/>
              </w:numPr>
              <w:ind w:left="1094" w:hanging="357"/>
            </w:pPr>
            <w:r>
              <w:t>i</w:t>
            </w:r>
            <w:r w:rsidR="0053147A">
              <w:t>nitial clinical symptoms included gagging, vomiting, diarrh</w:t>
            </w:r>
            <w:r w:rsidR="001D45E3">
              <w:t>o</w:t>
            </w:r>
            <w:r w:rsidR="0053147A">
              <w:t xml:space="preserve">ea, agitation, unconsciousness, cyanosis, </w:t>
            </w:r>
            <w:r w:rsidR="001D45E3">
              <w:t>dyspnoea</w:t>
            </w:r>
            <w:r>
              <w:t xml:space="preserve"> and laboured breathing</w:t>
            </w:r>
          </w:p>
          <w:p w14:paraId="4243F5B6" w14:textId="40CE6116" w:rsidR="00AF7464" w:rsidRDefault="00D27C25" w:rsidP="00F038E8">
            <w:pPr>
              <w:pStyle w:val="Tabletextprimarysource"/>
              <w:numPr>
                <w:ilvl w:val="0"/>
                <w:numId w:val="5"/>
              </w:numPr>
              <w:ind w:left="1094" w:hanging="357"/>
            </w:pPr>
            <w:r>
              <w:t>a</w:t>
            </w:r>
            <w:r w:rsidR="0053147A">
              <w:t xml:space="preserve">utopsies revealed </w:t>
            </w:r>
            <w:r w:rsidR="001D45E3">
              <w:t>oedema</w:t>
            </w:r>
            <w:r w:rsidR="0053147A">
              <w:t xml:space="preserve"> of brain and lungs, haemorrhage of the medullary layer of the kidneys, and acute lung emphysema</w:t>
            </w:r>
          </w:p>
          <w:p w14:paraId="4E07E6B1" w14:textId="2E09C443" w:rsidR="005F448E" w:rsidRDefault="0053147A" w:rsidP="0082297C">
            <w:pPr>
              <w:pStyle w:val="Tabletextprimarysource"/>
              <w:numPr>
                <w:ilvl w:val="0"/>
                <w:numId w:val="1"/>
              </w:numPr>
            </w:pPr>
            <w:r>
              <w:t>E</w:t>
            </w:r>
            <w:r w:rsidR="005F448E">
              <w:t xml:space="preserve">stimated </w:t>
            </w:r>
            <w:r>
              <w:t>dose of</w:t>
            </w:r>
            <w:r w:rsidR="005F448E">
              <w:t xml:space="preserve"> 250 mg/kg dose resulted in sever</w:t>
            </w:r>
            <w:r>
              <w:t>e</w:t>
            </w:r>
            <w:r w:rsidR="005F448E">
              <w:t xml:space="preserve"> seizures </w:t>
            </w:r>
            <w:r>
              <w:t>followed by</w:t>
            </w:r>
            <w:r w:rsidR="005F448E">
              <w:t xml:space="preserve"> death of a 43</w:t>
            </w:r>
            <w:r w:rsidR="00F357AE">
              <w:t xml:space="preserve"> </w:t>
            </w:r>
            <w:r w:rsidR="005F448E">
              <w:t>yr old man within 4 d of exposure</w:t>
            </w:r>
            <w:r>
              <w:t xml:space="preserve">. </w:t>
            </w:r>
            <w:r w:rsidR="00C74339">
              <w:t>Autopsy revealed pulmonary congestion and atelectasis</w:t>
            </w:r>
          </w:p>
          <w:p w14:paraId="6510FB5F" w14:textId="255B19DB" w:rsidR="00700093" w:rsidRDefault="00C74339" w:rsidP="0082297C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Case-control study did not </w:t>
            </w:r>
            <w:r w:rsidR="00700093">
              <w:t xml:space="preserve">identify a </w:t>
            </w:r>
            <w:r>
              <w:t xml:space="preserve">positive </w:t>
            </w:r>
            <w:r w:rsidR="00700093">
              <w:t>correlation between occupational exposure</w:t>
            </w:r>
            <w:r>
              <w:t xml:space="preserve">s </w:t>
            </w:r>
            <w:r w:rsidR="00700093">
              <w:t xml:space="preserve">and incidence of breast cancer. </w:t>
            </w:r>
            <w:r>
              <w:t xml:space="preserve">Inconclusive </w:t>
            </w:r>
            <w:r w:rsidR="00700093">
              <w:t xml:space="preserve">results </w:t>
            </w:r>
            <w:r>
              <w:t>due to small</w:t>
            </w:r>
            <w:r w:rsidR="00700093">
              <w:t xml:space="preserve"> sample size and co-exposure with other chemicals</w:t>
            </w:r>
            <w:r w:rsidR="007360D4">
              <w:t>.</w:t>
            </w:r>
          </w:p>
          <w:p w14:paraId="40F70D34" w14:textId="77777777" w:rsidR="00700093" w:rsidRDefault="00700093" w:rsidP="00700093">
            <w:pPr>
              <w:pStyle w:val="Tabletextprimarysource"/>
            </w:pPr>
            <w:r>
              <w:t>Animal data:</w:t>
            </w:r>
          </w:p>
          <w:p w14:paraId="4330286A" w14:textId="736B7A60" w:rsidR="005922D7" w:rsidRDefault="005922D7" w:rsidP="00700093">
            <w:pPr>
              <w:pStyle w:val="Tabletextprimarysource"/>
              <w:numPr>
                <w:ilvl w:val="0"/>
                <w:numId w:val="2"/>
              </w:numPr>
            </w:pPr>
            <w:r>
              <w:rPr>
                <w:rFonts w:cs="Arial"/>
              </w:rPr>
              <w:t>α-isomer more toxic than the β-isomer in female rodents</w:t>
            </w:r>
          </w:p>
          <w:p w14:paraId="0D56C6FF" w14:textId="01E023FA" w:rsidR="00700093" w:rsidRDefault="005837F5" w:rsidP="00700093">
            <w:pPr>
              <w:pStyle w:val="Tabletextprimarysource"/>
              <w:numPr>
                <w:ilvl w:val="0"/>
                <w:numId w:val="2"/>
              </w:numPr>
            </w:pPr>
            <w:r>
              <w:t>Oral LD</w:t>
            </w:r>
            <w:r>
              <w:rPr>
                <w:vertAlign w:val="subscript"/>
              </w:rPr>
              <w:t>50</w:t>
            </w:r>
            <w:r w:rsidR="00C74339">
              <w:t xml:space="preserve">: </w:t>
            </w:r>
            <w:r>
              <w:t xml:space="preserve">8.4 mg/kg </w:t>
            </w:r>
            <w:r w:rsidR="00C74339">
              <w:t>(</w:t>
            </w:r>
            <w:r>
              <w:t>male mice</w:t>
            </w:r>
            <w:r w:rsidR="00C74339">
              <w:t>), 10 to 23 mg/kg (female rats more sensitive than male</w:t>
            </w:r>
            <w:r w:rsidR="005922D7">
              <w:t>s at</w:t>
            </w:r>
            <w:r w:rsidR="00C74339">
              <w:t xml:space="preserve"> </w:t>
            </w:r>
            <w:r>
              <w:t>40 to 120 mg/kg</w:t>
            </w:r>
            <w:r w:rsidR="00C74339">
              <w:t>), 76.7 mg/kg (dogs)</w:t>
            </w:r>
          </w:p>
          <w:p w14:paraId="36A2D501" w14:textId="5F2ACEA8" w:rsidR="005837F5" w:rsidRDefault="005837F5" w:rsidP="00700093">
            <w:pPr>
              <w:pStyle w:val="Tabletextprimarysource"/>
              <w:numPr>
                <w:ilvl w:val="0"/>
                <w:numId w:val="2"/>
              </w:numPr>
            </w:pPr>
            <w:r>
              <w:t>Dermal LD</w:t>
            </w:r>
            <w:r>
              <w:rPr>
                <w:vertAlign w:val="subscript"/>
              </w:rPr>
              <w:t>50</w:t>
            </w:r>
            <w:r w:rsidR="005922D7">
              <w:rPr>
                <w:vertAlign w:val="subscript"/>
              </w:rPr>
              <w:t>:</w:t>
            </w:r>
            <w:r>
              <w:t xml:space="preserve"> 130 mg/kg </w:t>
            </w:r>
            <w:r w:rsidR="005922D7">
              <w:t xml:space="preserve">(male rats), </w:t>
            </w:r>
            <w:r>
              <w:t xml:space="preserve">78 mg/kg </w:t>
            </w:r>
            <w:r w:rsidR="005922D7">
              <w:t>(</w:t>
            </w:r>
            <w:r>
              <w:t>female rats</w:t>
            </w:r>
            <w:r w:rsidR="005922D7">
              <w:t>)</w:t>
            </w:r>
          </w:p>
          <w:p w14:paraId="075E4B5B" w14:textId="68ED1A6A" w:rsidR="005922D7" w:rsidRDefault="005837F5" w:rsidP="005837F5">
            <w:pPr>
              <w:pStyle w:val="Tabletextprimarysource"/>
              <w:numPr>
                <w:ilvl w:val="0"/>
                <w:numId w:val="2"/>
              </w:numPr>
            </w:pPr>
            <w:r>
              <w:t>4</w:t>
            </w:r>
            <w:r w:rsidR="00F357AE">
              <w:t xml:space="preserve"> </w:t>
            </w:r>
            <w:r>
              <w:t>h LC</w:t>
            </w:r>
            <w:r>
              <w:rPr>
                <w:vertAlign w:val="subscript"/>
              </w:rPr>
              <w:t>50</w:t>
            </w:r>
            <w:r w:rsidR="005922D7">
              <w:t xml:space="preserve">: </w:t>
            </w:r>
            <w:r>
              <w:t>12.6 mg/m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r w:rsidR="00E673FA">
              <w:t>(female rats)</w:t>
            </w:r>
            <w:r w:rsidR="005922D7">
              <w:t xml:space="preserve">, </w:t>
            </w:r>
            <w:r>
              <w:t>34.5 mg/m</w:t>
            </w:r>
            <w:r>
              <w:rPr>
                <w:vertAlign w:val="superscript"/>
              </w:rPr>
              <w:t xml:space="preserve">3 </w:t>
            </w:r>
            <w:r w:rsidR="005922D7">
              <w:t>(</w:t>
            </w:r>
            <w:r>
              <w:t>male rats</w:t>
            </w:r>
            <w:r w:rsidR="005922D7">
              <w:t>)</w:t>
            </w:r>
          </w:p>
          <w:p w14:paraId="6A0E709A" w14:textId="3C5454EC" w:rsidR="00D27C25" w:rsidRDefault="005837F5" w:rsidP="005837F5">
            <w:pPr>
              <w:pStyle w:val="Tabletextprimarysource"/>
              <w:numPr>
                <w:ilvl w:val="0"/>
                <w:numId w:val="2"/>
              </w:numPr>
            </w:pPr>
            <w:r>
              <w:t>Immediate symptoms following inhalation exposure i</w:t>
            </w:r>
            <w:r w:rsidR="00D27C25">
              <w:t>ncluded irregular respiration</w:t>
            </w:r>
            <w:r w:rsidR="00AD7897">
              <w:t>:</w:t>
            </w:r>
          </w:p>
          <w:p w14:paraId="0A521284" w14:textId="7BD41CE1" w:rsidR="005837F5" w:rsidRDefault="00D27C25" w:rsidP="00F038E8">
            <w:pPr>
              <w:pStyle w:val="Tabletextprimarysource"/>
              <w:numPr>
                <w:ilvl w:val="0"/>
                <w:numId w:val="5"/>
              </w:numPr>
              <w:ind w:left="1094" w:hanging="357"/>
            </w:pPr>
            <w:r>
              <w:t>h</w:t>
            </w:r>
            <w:r w:rsidR="005837F5">
              <w:t>igher concentrations (12.3 mg/m</w:t>
            </w:r>
            <w:r w:rsidR="005837F5">
              <w:rPr>
                <w:vertAlign w:val="superscript"/>
              </w:rPr>
              <w:t>3</w:t>
            </w:r>
            <w:r w:rsidR="005837F5">
              <w:t xml:space="preserve"> in male rats) resulted in tremors and convulsions, among other CNS</w:t>
            </w:r>
            <w:r w:rsidR="00826A9F">
              <w:t xml:space="preserve"> </w:t>
            </w:r>
            <w:r w:rsidR="00E673FA">
              <w:t>complications</w:t>
            </w:r>
          </w:p>
          <w:p w14:paraId="4FA136AE" w14:textId="2A4F0FF6" w:rsidR="00D27C25" w:rsidRDefault="005837F5" w:rsidP="005837F5">
            <w:pPr>
              <w:pStyle w:val="Tabletextprimarysource"/>
              <w:numPr>
                <w:ilvl w:val="0"/>
                <w:numId w:val="2"/>
              </w:numPr>
            </w:pPr>
            <w:r>
              <w:t xml:space="preserve">Following exposure </w:t>
            </w:r>
            <w:r w:rsidR="00EE240B">
              <w:t xml:space="preserve">(nose-only) </w:t>
            </w:r>
            <w:r>
              <w:t xml:space="preserve">to </w:t>
            </w:r>
            <w:r w:rsidR="00A063C9">
              <w:t>1 mg/m</w:t>
            </w:r>
            <w:r w:rsidR="00A063C9">
              <w:rPr>
                <w:vertAlign w:val="superscript"/>
              </w:rPr>
              <w:t xml:space="preserve">3 </w:t>
            </w:r>
            <w:r w:rsidR="00A063C9">
              <w:t xml:space="preserve">and </w:t>
            </w:r>
            <w:r>
              <w:t>2 mg/m</w:t>
            </w:r>
            <w:r>
              <w:rPr>
                <w:vertAlign w:val="superscript"/>
              </w:rPr>
              <w:t>3</w:t>
            </w:r>
            <w:r>
              <w:t xml:space="preserve"> for 6 h/d, 5 d/wk for 21 d, no significant changes were observed in rats</w:t>
            </w:r>
            <w:r w:rsidR="00AD7897">
              <w:t>:</w:t>
            </w:r>
          </w:p>
          <w:p w14:paraId="428A6DF8" w14:textId="5DEFF9A7" w:rsidR="00D27C25" w:rsidRDefault="00EE240B" w:rsidP="00F038E8">
            <w:pPr>
              <w:pStyle w:val="Tabletextprimarysource"/>
              <w:numPr>
                <w:ilvl w:val="0"/>
                <w:numId w:val="5"/>
              </w:numPr>
              <w:ind w:left="1094" w:hanging="357"/>
            </w:pPr>
            <w:r>
              <w:t xml:space="preserve">reduced </w:t>
            </w:r>
            <w:r w:rsidR="00F71C32">
              <w:t xml:space="preserve">body weight </w:t>
            </w:r>
            <w:r w:rsidR="00D27C25">
              <w:t>gain noted in male rats</w:t>
            </w:r>
            <w:r w:rsidR="00A063C9">
              <w:t xml:space="preserve"> at 2 mg/m</w:t>
            </w:r>
            <w:r w:rsidR="00A063C9">
              <w:rPr>
                <w:vertAlign w:val="superscript"/>
              </w:rPr>
              <w:t>3</w:t>
            </w:r>
            <w:r w:rsidR="00A063C9">
              <w:t xml:space="preserve"> </w:t>
            </w:r>
          </w:p>
          <w:p w14:paraId="0376D748" w14:textId="1BECB353" w:rsidR="005837F5" w:rsidRDefault="00A063C9" w:rsidP="00F038E8">
            <w:pPr>
              <w:pStyle w:val="Tabletextprimarysource"/>
              <w:numPr>
                <w:ilvl w:val="0"/>
                <w:numId w:val="5"/>
              </w:numPr>
              <w:ind w:left="1094" w:hanging="357"/>
            </w:pPr>
            <w:r>
              <w:t xml:space="preserve">no effects observed </w:t>
            </w:r>
            <w:r w:rsidR="00D27C25">
              <w:t>a</w:t>
            </w:r>
            <w:r w:rsidR="00EE240B">
              <w:t>t 1 mg/m</w:t>
            </w:r>
            <w:r w:rsidR="00EE240B">
              <w:rPr>
                <w:vertAlign w:val="superscript"/>
              </w:rPr>
              <w:t>3</w:t>
            </w:r>
          </w:p>
          <w:p w14:paraId="6AC8B87F" w14:textId="427454B5" w:rsidR="00DB722D" w:rsidRPr="003F47DA" w:rsidRDefault="00DB722D" w:rsidP="005837F5">
            <w:pPr>
              <w:pStyle w:val="Tabletextprimarysource"/>
              <w:numPr>
                <w:ilvl w:val="0"/>
                <w:numId w:val="2"/>
              </w:numPr>
            </w:pPr>
            <w:r>
              <w:t xml:space="preserve">Reported NOEL </w:t>
            </w:r>
            <w:r w:rsidRPr="00F038E8">
              <w:rPr>
                <w:rFonts w:cs="Arial"/>
              </w:rPr>
              <w:t xml:space="preserve">of </w:t>
            </w:r>
            <w:r w:rsidR="00664261" w:rsidRPr="00F038E8">
              <w:rPr>
                <w:rFonts w:cs="Arial"/>
              </w:rPr>
              <w:t>~</w:t>
            </w:r>
            <w:r w:rsidRPr="00F038E8">
              <w:rPr>
                <w:rFonts w:cs="Arial"/>
              </w:rPr>
              <w:t>0.5 mg/kg/d</w:t>
            </w:r>
            <w:r>
              <w:rPr>
                <w:rFonts w:cs="Arial"/>
              </w:rPr>
              <w:t xml:space="preserve"> from following:</w:t>
            </w:r>
          </w:p>
          <w:p w14:paraId="7FA24A50" w14:textId="5320DFD6" w:rsidR="003F47DA" w:rsidRDefault="00664261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t>n</w:t>
            </w:r>
            <w:r w:rsidR="003F47DA">
              <w:t>o evidence of developmental toxicity observed in pregnant rats dosed at 0.6, 2, or 6</w:t>
            </w:r>
            <w:r w:rsidR="005608C6">
              <w:t> </w:t>
            </w:r>
            <w:r w:rsidR="003F47DA">
              <w:t>mg/kg from GD 6</w:t>
            </w:r>
            <w:r w:rsidR="005608C6">
              <w:t>–</w:t>
            </w:r>
            <w:r w:rsidR="003F47DA">
              <w:t>19</w:t>
            </w:r>
          </w:p>
          <w:p w14:paraId="1DA20C7F" w14:textId="3763073A" w:rsidR="005608C6" w:rsidRDefault="00664261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t>r</w:t>
            </w:r>
            <w:r w:rsidR="003F47DA">
              <w:t>ats orally dosed at 5 mg/kg for 3 days; increased liver weights, RBC and neutrophil counts</w:t>
            </w:r>
          </w:p>
          <w:p w14:paraId="3D9A3635" w14:textId="63E85485" w:rsidR="003F47DA" w:rsidRDefault="00664261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lastRenderedPageBreak/>
              <w:t>f</w:t>
            </w:r>
            <w:r w:rsidR="003F47DA">
              <w:t xml:space="preserve">emales rats dosed at 1.5 mg/kg for 30 d demonstrated </w:t>
            </w:r>
            <w:r w:rsidR="002C7B19">
              <w:t>dyspnoea</w:t>
            </w:r>
          </w:p>
          <w:p w14:paraId="1743DB77" w14:textId="76F4571B" w:rsidR="003F47DA" w:rsidRDefault="00664261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t>r</w:t>
            </w:r>
            <w:r w:rsidR="003F47DA">
              <w:t>ats</w:t>
            </w:r>
            <w:r w:rsidR="00745AD8">
              <w:t xml:space="preserve"> fed 10 mg/kg for 9</w:t>
            </w:r>
            <w:r w:rsidR="005608C6">
              <w:t>–</w:t>
            </w:r>
            <w:r w:rsidR="00745AD8">
              <w:t>18 wk demonstrated hematologic, hepatic and renal damage; no effects at 5 mg/kg</w:t>
            </w:r>
          </w:p>
          <w:p w14:paraId="19A4C920" w14:textId="4447426B" w:rsidR="00745AD8" w:rsidRDefault="00664261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t>n</w:t>
            </w:r>
            <w:r w:rsidR="00745AD8">
              <w:t>o effects other than slight decrease in haemoglobin in rats fed 0.8 and 1.9 mg/kg for 90 d</w:t>
            </w:r>
          </w:p>
          <w:p w14:paraId="3718CB2C" w14:textId="3E57942F" w:rsidR="00EC7FF1" w:rsidRDefault="00664261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t>n</w:t>
            </w:r>
            <w:r w:rsidR="00EC7FF1" w:rsidRPr="00EC7FF1">
              <w:t xml:space="preserve">o effects in mice </w:t>
            </w:r>
            <w:r w:rsidR="00EC7FF1">
              <w:t>dosed</w:t>
            </w:r>
            <w:r w:rsidR="00EC7FF1" w:rsidRPr="00EC7FF1">
              <w:t xml:space="preserve"> at 2 mg/kg for 13 weeks but </w:t>
            </w:r>
            <w:r w:rsidR="002C7B19" w:rsidRPr="00EC7FF1">
              <w:t>cardiac, gastric, hematologic, hepatic renal, endocrine, ocular and congestion in lungs</w:t>
            </w:r>
            <w:r w:rsidR="002C7B19">
              <w:t xml:space="preserve"> </w:t>
            </w:r>
            <w:r w:rsidR="002C7B19" w:rsidRPr="00EC7FF1">
              <w:t xml:space="preserve">effects </w:t>
            </w:r>
            <w:r w:rsidR="002C7B19">
              <w:t>were reported at</w:t>
            </w:r>
            <w:r w:rsidR="002C7B19" w:rsidRPr="00EC7FF1">
              <w:t xml:space="preserve"> </w:t>
            </w:r>
            <w:r w:rsidR="00EC7FF1" w:rsidRPr="00EC7FF1">
              <w:t>7.3</w:t>
            </w:r>
            <w:r w:rsidR="002C7B19">
              <w:t> </w:t>
            </w:r>
            <w:r w:rsidR="00EC7FF1" w:rsidRPr="00EC7FF1">
              <w:t xml:space="preserve">mg/kg </w:t>
            </w:r>
            <w:r w:rsidR="002C7B19">
              <w:t xml:space="preserve">and </w:t>
            </w:r>
            <w:r w:rsidR="002C7B19" w:rsidRPr="00EC7FF1">
              <w:t xml:space="preserve">50% </w:t>
            </w:r>
            <w:r w:rsidR="002C7B19">
              <w:t xml:space="preserve">of </w:t>
            </w:r>
            <w:r w:rsidR="002C7B19" w:rsidRPr="00EC7FF1">
              <w:t>mice</w:t>
            </w:r>
            <w:r w:rsidR="002C7B19" w:rsidRPr="00EC7FF1" w:rsidDel="002C7B19">
              <w:t xml:space="preserve"> </w:t>
            </w:r>
            <w:r w:rsidR="002C7B19">
              <w:t>died</w:t>
            </w:r>
            <w:r w:rsidR="00EC7FF1" w:rsidRPr="00EC7FF1">
              <w:t xml:space="preserve"> </w:t>
            </w:r>
          </w:p>
          <w:p w14:paraId="1C07FB39" w14:textId="2D2103EC" w:rsidR="001F34E9" w:rsidRDefault="001F34E9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t>2-yr study in mice: 60 dose; males 12.5 mg/kg and females 2.9 mg/kg</w:t>
            </w:r>
            <w:r w:rsidR="00DB722D">
              <w:t>; no increase in neoplastic lesions</w:t>
            </w:r>
          </w:p>
          <w:p w14:paraId="51591E0B" w14:textId="77777777" w:rsidR="00DB722D" w:rsidRDefault="00DB722D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t>2-yr study in rats: males 5 mg/kg/d, females 1.5 mg/kg/d; no increase in neoplastic lesions</w:t>
            </w:r>
          </w:p>
          <w:p w14:paraId="66A0480D" w14:textId="51E6CBB0" w:rsidR="00DB722D" w:rsidRDefault="00664261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t>n</w:t>
            </w:r>
            <w:r w:rsidR="00DB722D">
              <w:t>o effects in dogs feed 2.6 mg/kg for 12 mo; no additional information</w:t>
            </w:r>
          </w:p>
          <w:p w14:paraId="2244FD87" w14:textId="0DF99ED4" w:rsidR="00DB722D" w:rsidRDefault="00664261" w:rsidP="00F038E8">
            <w:pPr>
              <w:pStyle w:val="Tabletextprimarysource"/>
              <w:numPr>
                <w:ilvl w:val="0"/>
                <w:numId w:val="6"/>
              </w:numPr>
              <w:ind w:left="1094" w:hanging="357"/>
            </w:pPr>
            <w:r>
              <w:t>n</w:t>
            </w:r>
            <w:r w:rsidR="00DB722D">
              <w:t>o effects in rats fed 2.9 mg/kg for 26 wk; no additional information</w:t>
            </w:r>
          </w:p>
          <w:p w14:paraId="07C8A482" w14:textId="216E3585" w:rsidR="00EE240B" w:rsidRDefault="00EE240B" w:rsidP="005837F5">
            <w:pPr>
              <w:pStyle w:val="Tabletextprimarysource"/>
              <w:numPr>
                <w:ilvl w:val="0"/>
                <w:numId w:val="2"/>
              </w:numPr>
            </w:pPr>
            <w:r>
              <w:t>Several studies concluded no carcinogenic effects on animals following oral exposure</w:t>
            </w:r>
          </w:p>
          <w:p w14:paraId="746877A0" w14:textId="6025ACBB" w:rsidR="00EE240B" w:rsidRDefault="000866DD" w:rsidP="005837F5">
            <w:pPr>
              <w:pStyle w:val="Tabletextprimarysource"/>
              <w:numPr>
                <w:ilvl w:val="0"/>
                <w:numId w:val="2"/>
              </w:numPr>
            </w:pPr>
            <w:r>
              <w:t>Mixed p</w:t>
            </w:r>
            <w:r w:rsidR="00EE240B">
              <w:t>ositive</w:t>
            </w:r>
            <w:r w:rsidR="001D45E3">
              <w:t>/</w:t>
            </w:r>
            <w:r>
              <w:t xml:space="preserve">negative </w:t>
            </w:r>
            <w:r w:rsidR="00EE240B">
              <w:t>genotoxicity results</w:t>
            </w:r>
            <w:r w:rsidR="005C7488">
              <w:t>;</w:t>
            </w:r>
            <w:r w:rsidR="009E7342">
              <w:t xml:space="preserve"> increased incidence of chromatid aberrations</w:t>
            </w:r>
            <w:r w:rsidR="005C7488">
              <w:t xml:space="preserve"> in mice</w:t>
            </w:r>
            <w:r w:rsidR="009E7342">
              <w:t xml:space="preserve"> following exposure to 6.4 mg/kg </w:t>
            </w:r>
            <w:r w:rsidR="005C7488">
              <w:t xml:space="preserve">(for </w:t>
            </w:r>
            <w:r w:rsidR="009E7342">
              <w:t>5 d</w:t>
            </w:r>
            <w:r w:rsidR="005C7488">
              <w:t xml:space="preserve">) but </w:t>
            </w:r>
            <w:r w:rsidR="003C1AEB">
              <w:t xml:space="preserve">not at </w:t>
            </w:r>
            <w:r w:rsidR="005C7488">
              <w:t>21.7 mg/kg (for 2 d) did not</w:t>
            </w:r>
          </w:p>
          <w:p w14:paraId="4F40512B" w14:textId="57BAE987" w:rsidR="00E673FA" w:rsidRDefault="005C7488" w:rsidP="005837F5">
            <w:pPr>
              <w:pStyle w:val="Tabletextprimarysource"/>
              <w:numPr>
                <w:ilvl w:val="0"/>
                <w:numId w:val="2"/>
              </w:numPr>
            </w:pPr>
            <w:r>
              <w:t>D</w:t>
            </w:r>
            <w:r w:rsidR="009E7342">
              <w:t>evelopmental effects</w:t>
            </w:r>
            <w:r w:rsidR="00501750">
              <w:t>, including increase in resorptions and skeletal variations,</w:t>
            </w:r>
            <w:r w:rsidR="009E7342">
              <w:t xml:space="preserve"> </w:t>
            </w:r>
            <w:r w:rsidR="001C3A83">
              <w:t>on</w:t>
            </w:r>
            <w:r w:rsidR="00501750">
              <w:t xml:space="preserve"> foetuses of</w:t>
            </w:r>
            <w:r w:rsidR="001C3A83">
              <w:t xml:space="preserve"> </w:t>
            </w:r>
            <w:r w:rsidR="009E7342">
              <w:t>pregnant rats following oral exposure to 5 or 10 mg/kg</w:t>
            </w:r>
            <w:r w:rsidR="00501750">
              <w:t xml:space="preserve"> during </w:t>
            </w:r>
            <w:r w:rsidR="00D27C25">
              <w:t>GD</w:t>
            </w:r>
            <w:r w:rsidR="00501750">
              <w:t xml:space="preserve"> 6</w:t>
            </w:r>
            <w:r w:rsidR="00F357AE">
              <w:t>–</w:t>
            </w:r>
            <w:r w:rsidR="00501750">
              <w:t>14</w:t>
            </w:r>
            <w:r w:rsidR="00F357AE">
              <w:t>.</w:t>
            </w:r>
            <w:r w:rsidR="009E7342">
              <w:t xml:space="preserve"> </w:t>
            </w:r>
          </w:p>
          <w:p w14:paraId="37DB317D" w14:textId="77777777" w:rsidR="009E7342" w:rsidRDefault="00E673FA" w:rsidP="005837F5">
            <w:pPr>
              <w:pStyle w:val="Tabletextprimarysource"/>
              <w:numPr>
                <w:ilvl w:val="0"/>
                <w:numId w:val="2"/>
              </w:numPr>
            </w:pPr>
            <w:r>
              <w:t>Available animal studies show no evidence of carcinogenic effects, an A4 notation is recommended.</w:t>
            </w:r>
          </w:p>
          <w:p w14:paraId="635B0D85" w14:textId="73484DBD" w:rsidR="00D27C25" w:rsidRPr="00DA352E" w:rsidRDefault="00D27C25" w:rsidP="00D27C25">
            <w:pPr>
              <w:pStyle w:val="Tabletextprimarysource"/>
            </w:pPr>
          </w:p>
        </w:tc>
      </w:tr>
      <w:tr w:rsidR="00C978F0" w:rsidRPr="00DA352E" w14:paraId="554E855E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446AEE8E" w14:textId="158F577B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C9523D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C9523D">
                  <w:t>NA</w:t>
                </w:r>
              </w:sdtContent>
            </w:sdt>
          </w:p>
        </w:tc>
      </w:tr>
      <w:tr w:rsidR="00C978F0" w:rsidRPr="00DA352E" w14:paraId="215E3ACF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05F4170" w14:textId="12A9FE45" w:rsidR="00C978F0" w:rsidRPr="00DA352E" w:rsidRDefault="00C9523D" w:rsidP="003365A5">
            <w:pPr>
              <w:pStyle w:val="Tabletextprimarysource"/>
            </w:pPr>
            <w:r>
              <w:t>No report</w:t>
            </w:r>
            <w:r w:rsidR="001D45E3">
              <w:t>.</w:t>
            </w:r>
          </w:p>
        </w:tc>
      </w:tr>
      <w:tr w:rsidR="00C978F0" w:rsidRPr="00DA352E" w14:paraId="032009C3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3702D7DD" w14:textId="5FCA7D70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63249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r w:rsidR="0063249C">
                  <w:t>NA</w:t>
                </w:r>
              </w:sdtContent>
            </w:sdt>
          </w:p>
        </w:tc>
      </w:tr>
      <w:tr w:rsidR="00C978F0" w:rsidRPr="00DA352E" w14:paraId="04A07CAC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F233476" w14:textId="0F0C7D77" w:rsidR="00C978F0" w:rsidRPr="00DA352E" w:rsidRDefault="0063249C" w:rsidP="003365A5">
            <w:pPr>
              <w:pStyle w:val="Tabletextprimarysource"/>
            </w:pPr>
            <w:r>
              <w:t>No report</w:t>
            </w:r>
            <w:r w:rsidR="001D45E3">
              <w:t>.</w:t>
            </w:r>
          </w:p>
        </w:tc>
      </w:tr>
      <w:tr w:rsidR="00DA352E" w:rsidRPr="00DA352E" w14:paraId="5021FADE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1BDB88F6" w14:textId="24B622F5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63249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r w:rsidR="0063249C">
                  <w:t>NA</w:t>
                </w:r>
              </w:sdtContent>
            </w:sdt>
          </w:p>
        </w:tc>
      </w:tr>
      <w:tr w:rsidR="00DA352E" w:rsidRPr="00DA352E" w14:paraId="57CD9184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2A1E4A6" w14:textId="3CA913A6" w:rsidR="00DA352E" w:rsidRPr="00DA352E" w:rsidRDefault="0063249C" w:rsidP="003365A5">
            <w:pPr>
              <w:pStyle w:val="Tabletextprimarysource"/>
            </w:pPr>
            <w:r>
              <w:t>No report</w:t>
            </w:r>
            <w:r w:rsidR="001D45E3">
              <w:t>.</w:t>
            </w:r>
          </w:p>
        </w:tc>
      </w:tr>
      <w:tr w:rsidR="00DA352E" w:rsidRPr="00DA352E" w14:paraId="31261601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04544D4C" w14:textId="0AEC0ADC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63249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r w:rsidR="0063249C">
                  <w:t>NA</w:t>
                </w:r>
              </w:sdtContent>
            </w:sdt>
          </w:p>
        </w:tc>
      </w:tr>
      <w:tr w:rsidR="00DA352E" w:rsidRPr="00DA352E" w14:paraId="7CBC1982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1D270373" w14:textId="4D8FAA94" w:rsidR="00DA352E" w:rsidRPr="00DA352E" w:rsidRDefault="0063249C" w:rsidP="003365A5">
            <w:pPr>
              <w:pStyle w:val="Tabletextprimarysource"/>
            </w:pPr>
            <w:r>
              <w:t>No report</w:t>
            </w:r>
            <w:r w:rsidR="001D45E3">
              <w:t>.</w:t>
            </w:r>
          </w:p>
        </w:tc>
      </w:tr>
    </w:tbl>
    <w:p w14:paraId="572B7C0C" w14:textId="77777777" w:rsidR="00A20751" w:rsidRPr="004C23F4" w:rsidRDefault="00A20751" w:rsidP="003365A5">
      <w:pPr>
        <w:pStyle w:val="Heading3"/>
      </w:pPr>
      <w:bookmarkStart w:id="2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89"/>
        <w:gridCol w:w="422"/>
        <w:gridCol w:w="661"/>
        <w:gridCol w:w="6454"/>
      </w:tblGrid>
      <w:tr w:rsidR="004966BF" w:rsidRPr="00263255" w14:paraId="417F33A8" w14:textId="77777777" w:rsidTr="00312079">
        <w:trPr>
          <w:cantSplit/>
          <w:trHeight w:val="393"/>
          <w:tblHeader/>
        </w:trPr>
        <w:tc>
          <w:tcPr>
            <w:tcW w:w="1489" w:type="dxa"/>
            <w:shd w:val="clear" w:color="auto" w:fill="BFBFBF" w:themeFill="background1" w:themeFillShade="BF"/>
            <w:vAlign w:val="center"/>
          </w:tcPr>
          <w:p w14:paraId="3A42C0E3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2" w:type="dxa"/>
            <w:shd w:val="clear" w:color="auto" w:fill="BFBFBF" w:themeFill="background1" w:themeFillShade="BF"/>
            <w:vAlign w:val="center"/>
          </w:tcPr>
          <w:p w14:paraId="2DEE86DA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32B8307D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54" w:type="dxa"/>
            <w:shd w:val="clear" w:color="auto" w:fill="BFBFBF" w:themeFill="background1" w:themeFillShade="BF"/>
            <w:vAlign w:val="center"/>
          </w:tcPr>
          <w:p w14:paraId="5F28F656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4F39A6F1" w14:textId="77777777" w:rsidTr="00312079">
        <w:trPr>
          <w:cantSplit/>
        </w:trPr>
        <w:tc>
          <w:tcPr>
            <w:tcW w:w="1489" w:type="dxa"/>
          </w:tcPr>
          <w:p w14:paraId="616F368F" w14:textId="77777777" w:rsidR="004966BF" w:rsidRPr="004C23F4" w:rsidRDefault="004966BF" w:rsidP="00224EE2">
            <w:pPr>
              <w:pStyle w:val="Tablefont"/>
            </w:pPr>
            <w:r>
              <w:t>US EPA</w:t>
            </w:r>
          </w:p>
        </w:tc>
        <w:tc>
          <w:tcPr>
            <w:tcW w:w="422" w:type="dxa"/>
          </w:tcPr>
          <w:p w14:paraId="028CEE69" w14:textId="31E929C8" w:rsidR="004966BF" w:rsidRPr="00CE617F" w:rsidRDefault="006D4D28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015498594"/>
                <w:placeholder>
                  <w:docPart w:val="CFFDE270CB50461B826B0194984892C5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03171E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73A2D92E" w14:textId="28029B3F" w:rsidR="004966BF" w:rsidRPr="004C23F4" w:rsidRDefault="00CE4BBF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1994</w:t>
            </w:r>
          </w:p>
        </w:tc>
        <w:tc>
          <w:tcPr>
            <w:tcW w:w="6454" w:type="dxa"/>
          </w:tcPr>
          <w:p w14:paraId="3F0F13C3" w14:textId="77777777" w:rsidR="00210971" w:rsidRDefault="00210971" w:rsidP="00312079">
            <w:pPr>
              <w:pStyle w:val="Tabletextprimarysource"/>
              <w:numPr>
                <w:ilvl w:val="0"/>
                <w:numId w:val="2"/>
              </w:numPr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 xml:space="preserve">No </w:t>
            </w:r>
            <w:r w:rsidRPr="00312079">
              <w:t>inhalation</w:t>
            </w:r>
            <w:r>
              <w:rPr>
                <w:rStyle w:val="checkbox"/>
                <w:rFonts w:ascii="Arial" w:hAnsi="Arial" w:cs="Arial"/>
              </w:rPr>
              <w:t xml:space="preserve"> RfC</w:t>
            </w:r>
          </w:p>
          <w:p w14:paraId="4972ABE7" w14:textId="2609E6CD" w:rsidR="00966119" w:rsidRPr="00711F59" w:rsidRDefault="00210971" w:rsidP="007D6E1E">
            <w:pPr>
              <w:pStyle w:val="Tabletextprimarysource"/>
              <w:numPr>
                <w:ilvl w:val="0"/>
                <w:numId w:val="2"/>
              </w:numPr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 xml:space="preserve">Oral RfD of </w:t>
            </w:r>
            <w:r w:rsidR="00250CDF">
              <w:rPr>
                <w:rStyle w:val="checkbox"/>
                <w:rFonts w:ascii="Arial" w:hAnsi="Arial" w:cs="Arial"/>
              </w:rPr>
              <w:t>0.006 mg/kg</w:t>
            </w:r>
            <w:r w:rsidR="00F357AE">
              <w:rPr>
                <w:rStyle w:val="checkbox"/>
                <w:rFonts w:ascii="Arial" w:hAnsi="Arial" w:cs="Arial"/>
              </w:rPr>
              <w:t>/</w:t>
            </w:r>
            <w:r w:rsidR="00250CDF">
              <w:rPr>
                <w:rStyle w:val="checkbox"/>
                <w:rFonts w:ascii="Arial" w:hAnsi="Arial" w:cs="Arial"/>
              </w:rPr>
              <w:t xml:space="preserve">d based on </w:t>
            </w:r>
            <w:r w:rsidR="00F645FD">
              <w:rPr>
                <w:rStyle w:val="checkbox"/>
                <w:rFonts w:ascii="Arial" w:hAnsi="Arial" w:cs="Arial"/>
              </w:rPr>
              <w:t>NOAEL</w:t>
            </w:r>
            <w:r w:rsidR="00250CDF">
              <w:rPr>
                <w:rStyle w:val="checkbox"/>
                <w:rFonts w:ascii="Arial" w:hAnsi="Arial" w:cs="Arial"/>
              </w:rPr>
              <w:t>: 15 ppm [</w:t>
            </w:r>
            <w:r w:rsidR="00F645FD">
              <w:rPr>
                <w:rStyle w:val="checkbox"/>
                <w:rFonts w:ascii="Arial" w:hAnsi="Arial" w:cs="Arial"/>
              </w:rPr>
              <w:t>0.6</w:t>
            </w:r>
            <w:r w:rsidR="00C004E8">
              <w:rPr>
                <w:rStyle w:val="checkbox"/>
                <w:rFonts w:ascii="Arial" w:hAnsi="Arial" w:cs="Arial"/>
              </w:rPr>
              <w:t> </w:t>
            </w:r>
            <w:r w:rsidR="00F645FD">
              <w:rPr>
                <w:rStyle w:val="checkbox"/>
                <w:rFonts w:ascii="Arial" w:hAnsi="Arial" w:cs="Arial"/>
              </w:rPr>
              <w:t>mg/kg</w:t>
            </w:r>
            <w:r w:rsidR="00F357AE">
              <w:rPr>
                <w:rStyle w:val="checkbox"/>
                <w:rFonts w:ascii="Arial" w:hAnsi="Arial" w:cs="Arial"/>
              </w:rPr>
              <w:t>/</w:t>
            </w:r>
            <w:r w:rsidR="00792731">
              <w:rPr>
                <w:rStyle w:val="checkbox"/>
                <w:rFonts w:ascii="Arial" w:hAnsi="Arial" w:cs="Arial"/>
              </w:rPr>
              <w:t>d</w:t>
            </w:r>
            <w:r w:rsidR="00250CDF">
              <w:rPr>
                <w:rStyle w:val="checkbox"/>
                <w:rFonts w:ascii="Arial" w:hAnsi="Arial" w:cs="Arial"/>
              </w:rPr>
              <w:t xml:space="preserve"> (male</w:t>
            </w:r>
            <w:r w:rsidR="00F645FD">
              <w:rPr>
                <w:rStyle w:val="checkbox"/>
                <w:rFonts w:ascii="Arial" w:hAnsi="Arial" w:cs="Arial"/>
              </w:rPr>
              <w:t>)</w:t>
            </w:r>
            <w:r w:rsidR="00250CDF">
              <w:rPr>
                <w:rStyle w:val="checkbox"/>
                <w:rFonts w:ascii="Arial" w:hAnsi="Arial" w:cs="Arial"/>
              </w:rPr>
              <w:t>; 0.7 mg/kg-d (female)]</w:t>
            </w:r>
            <w:r w:rsidR="00F645FD">
              <w:rPr>
                <w:rStyle w:val="checkbox"/>
                <w:rFonts w:ascii="Arial" w:hAnsi="Arial" w:cs="Arial"/>
              </w:rPr>
              <w:t xml:space="preserve"> </w:t>
            </w:r>
            <w:r w:rsidR="00250CDF">
              <w:rPr>
                <w:rStyle w:val="checkbox"/>
                <w:rFonts w:ascii="Arial" w:hAnsi="Arial" w:cs="Arial"/>
              </w:rPr>
              <w:t>and LOAEL: 75</w:t>
            </w:r>
            <w:r w:rsidR="00C004E8">
              <w:rPr>
                <w:rStyle w:val="checkbox"/>
                <w:rFonts w:ascii="Arial" w:hAnsi="Arial" w:cs="Arial"/>
              </w:rPr>
              <w:t> </w:t>
            </w:r>
            <w:r w:rsidR="00250CDF">
              <w:rPr>
                <w:rStyle w:val="checkbox"/>
                <w:rFonts w:ascii="Arial" w:hAnsi="Arial" w:cs="Arial"/>
              </w:rPr>
              <w:t>ppm [2.9 mg/kg</w:t>
            </w:r>
            <w:r w:rsidR="00F357AE">
              <w:rPr>
                <w:rStyle w:val="checkbox"/>
                <w:rFonts w:ascii="Arial" w:hAnsi="Arial" w:cs="Arial"/>
              </w:rPr>
              <w:t>/</w:t>
            </w:r>
            <w:r w:rsidR="00250CDF">
              <w:rPr>
                <w:rStyle w:val="checkbox"/>
                <w:rFonts w:ascii="Arial" w:hAnsi="Arial" w:cs="Arial"/>
              </w:rPr>
              <w:t>d (</w:t>
            </w:r>
            <w:r w:rsidR="00250CDF" w:rsidRPr="00312079">
              <w:t>male</w:t>
            </w:r>
            <w:r w:rsidR="00250CDF">
              <w:rPr>
                <w:rStyle w:val="checkbox"/>
                <w:rFonts w:ascii="Arial" w:hAnsi="Arial" w:cs="Arial"/>
              </w:rPr>
              <w:t>); 3.8 mg/kg</w:t>
            </w:r>
            <w:r w:rsidR="00F357AE">
              <w:rPr>
                <w:rStyle w:val="checkbox"/>
                <w:rFonts w:ascii="Arial" w:hAnsi="Arial" w:cs="Arial"/>
              </w:rPr>
              <w:t>/</w:t>
            </w:r>
            <w:r w:rsidR="00250CDF">
              <w:rPr>
                <w:rStyle w:val="checkbox"/>
                <w:rFonts w:ascii="Arial" w:hAnsi="Arial" w:cs="Arial"/>
              </w:rPr>
              <w:t xml:space="preserve">d (female)] </w:t>
            </w:r>
            <w:r w:rsidR="00F645FD">
              <w:rPr>
                <w:rStyle w:val="checkbox"/>
                <w:rFonts w:ascii="Arial" w:hAnsi="Arial" w:cs="Arial"/>
              </w:rPr>
              <w:t>for reduced</w:t>
            </w:r>
            <w:r w:rsidR="007D6E1E">
              <w:rPr>
                <w:rStyle w:val="checkbox"/>
                <w:rFonts w:ascii="Arial" w:hAnsi="Arial" w:cs="Arial"/>
              </w:rPr>
              <w:t xml:space="preserve"> body weight</w:t>
            </w:r>
            <w:r w:rsidR="00DD484E">
              <w:rPr>
                <w:rStyle w:val="checkbox"/>
                <w:rFonts w:ascii="Arial" w:hAnsi="Arial" w:cs="Arial"/>
              </w:rPr>
              <w:t xml:space="preserve"> </w:t>
            </w:r>
            <w:r w:rsidR="00F645FD">
              <w:rPr>
                <w:rStyle w:val="checkbox"/>
                <w:rFonts w:ascii="Arial" w:hAnsi="Arial" w:cs="Arial"/>
              </w:rPr>
              <w:t>and increased incidence of marked progressive glomerulonephrosis and blood vessel aneurysms</w:t>
            </w:r>
            <w:r w:rsidR="00250CDF">
              <w:rPr>
                <w:rStyle w:val="checkbox"/>
                <w:rFonts w:ascii="Arial" w:hAnsi="Arial" w:cs="Arial"/>
              </w:rPr>
              <w:t xml:space="preserve"> in males (rat, 2</w:t>
            </w:r>
            <w:r w:rsidR="00F357AE">
              <w:rPr>
                <w:rStyle w:val="checkbox"/>
                <w:rFonts w:ascii="Arial" w:hAnsi="Arial" w:cs="Arial"/>
              </w:rPr>
              <w:t xml:space="preserve"> </w:t>
            </w:r>
            <w:r w:rsidR="00250CDF">
              <w:rPr>
                <w:rStyle w:val="checkbox"/>
                <w:rFonts w:ascii="Arial" w:hAnsi="Arial" w:cs="Arial"/>
              </w:rPr>
              <w:t>y feeding study)</w:t>
            </w:r>
            <w:r w:rsidR="00F357AE">
              <w:rPr>
                <w:rStyle w:val="checkbox"/>
                <w:rFonts w:ascii="Arial" w:hAnsi="Arial" w:cs="Arial"/>
              </w:rPr>
              <w:t>.</w:t>
            </w:r>
          </w:p>
        </w:tc>
      </w:tr>
      <w:tr w:rsidR="004966BF" w:rsidRPr="004C23F4" w14:paraId="41FB3067" w14:textId="77777777" w:rsidTr="00312079">
        <w:trPr>
          <w:cantSplit/>
        </w:trPr>
        <w:tc>
          <w:tcPr>
            <w:tcW w:w="1489" w:type="dxa"/>
          </w:tcPr>
          <w:p w14:paraId="72AE0C08" w14:textId="77777777" w:rsidR="004966BF" w:rsidRDefault="004966BF" w:rsidP="00224EE2">
            <w:pPr>
              <w:pStyle w:val="Tablefont"/>
            </w:pPr>
            <w:r>
              <w:t>US NIOSH</w:t>
            </w:r>
          </w:p>
        </w:tc>
        <w:tc>
          <w:tcPr>
            <w:tcW w:w="422" w:type="dxa"/>
          </w:tcPr>
          <w:p w14:paraId="1A109122" w14:textId="35AD286F" w:rsidR="004966BF" w:rsidRDefault="006D4D28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814863282"/>
                <w:placeholder>
                  <w:docPart w:val="EA51C8540A4D4F0A9062F5B1698DCBB0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CE4BBF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089C9381" w14:textId="6D61FB44" w:rsidR="004966BF" w:rsidRPr="004C23F4" w:rsidRDefault="00312079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2018</w:t>
            </w:r>
          </w:p>
        </w:tc>
        <w:tc>
          <w:tcPr>
            <w:tcW w:w="6454" w:type="dxa"/>
          </w:tcPr>
          <w:p w14:paraId="79D380A5" w14:textId="7079C8ED" w:rsidR="004966BF" w:rsidRPr="004C23F4" w:rsidRDefault="00CE4BBF" w:rsidP="00312079">
            <w:pPr>
              <w:pStyle w:val="Tabletextprimarysource"/>
              <w:numPr>
                <w:ilvl w:val="0"/>
                <w:numId w:val="2"/>
              </w:numPr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TWA: 0.1 mg/m</w:t>
            </w:r>
            <w:r>
              <w:rPr>
                <w:rStyle w:val="checkbox"/>
                <w:rFonts w:ascii="Arial" w:hAnsi="Arial" w:cs="Arial"/>
                <w:vertAlign w:val="superscript"/>
              </w:rPr>
              <w:t>3</w:t>
            </w:r>
            <w:r w:rsidR="00E673FA">
              <w:rPr>
                <w:rStyle w:val="checkbox"/>
                <w:rFonts w:ascii="Arial" w:hAnsi="Arial" w:cs="Arial"/>
              </w:rPr>
              <w:t>.</w:t>
            </w:r>
          </w:p>
        </w:tc>
      </w:tr>
    </w:tbl>
    <w:bookmarkEnd w:id="2"/>
    <w:p w14:paraId="38DE9F03" w14:textId="77777777" w:rsidR="007E2A4B" w:rsidRDefault="007E2A4B" w:rsidP="007E2A4B">
      <w:pPr>
        <w:pStyle w:val="Heading3"/>
      </w:pPr>
      <w:r>
        <w:lastRenderedPageBreak/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597"/>
        <w:gridCol w:w="2429"/>
      </w:tblGrid>
      <w:tr w:rsidR="002E0D61" w14:paraId="1E7CD2CB" w14:textId="77777777" w:rsidTr="00312079">
        <w:trPr>
          <w:trHeight w:val="454"/>
          <w:tblHeader/>
        </w:trPr>
        <w:tc>
          <w:tcPr>
            <w:tcW w:w="6597" w:type="dxa"/>
            <w:vAlign w:val="center"/>
          </w:tcPr>
          <w:p w14:paraId="4F86F5DA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3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9" w:type="dxa"/>
                <w:vAlign w:val="center"/>
              </w:tcPr>
              <w:p w14:paraId="07929C24" w14:textId="40C87D42" w:rsidR="002E0D61" w:rsidRDefault="00CE4BBF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Insufficient data</w:t>
                </w:r>
              </w:p>
            </w:tc>
          </w:sdtContent>
        </w:sdt>
      </w:tr>
      <w:tr w:rsidR="008A36CF" w14:paraId="03D988E7" w14:textId="77777777" w:rsidTr="00312079">
        <w:trPr>
          <w:trHeight w:val="454"/>
        </w:trPr>
        <w:tc>
          <w:tcPr>
            <w:tcW w:w="6597" w:type="dxa"/>
            <w:vAlign w:val="center"/>
          </w:tcPr>
          <w:p w14:paraId="35AF74B0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  <w:r>
              <w:t>Is the chemical carcinogenic with a mutagenic mechanism of action?</w:t>
            </w:r>
          </w:p>
        </w:tc>
        <w:sdt>
          <w:sdtPr>
            <w:id w:val="-1035572737"/>
            <w:placeholder>
              <w:docPart w:val="5CBFEC560F894890BBD09B93174FFAE0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  <w:listItem w:displayText="NA" w:value="NA"/>
            </w:comboBox>
          </w:sdtPr>
          <w:sdtEndPr/>
          <w:sdtContent>
            <w:tc>
              <w:tcPr>
                <w:tcW w:w="2429" w:type="dxa"/>
                <w:vAlign w:val="center"/>
              </w:tcPr>
              <w:p w14:paraId="271C4D98" w14:textId="755E468C" w:rsidR="008A36CF" w:rsidRDefault="00CE4BBF" w:rsidP="008A36CF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24E23776" w14:textId="77777777" w:rsidTr="00312079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597" w:type="dxa"/>
                <w:vAlign w:val="center"/>
              </w:tcPr>
              <w:p w14:paraId="4B65C0BC" w14:textId="48F32747" w:rsidR="008A36CF" w:rsidRPr="006901A2" w:rsidRDefault="001D45E3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9" w:type="dxa"/>
            <w:vAlign w:val="center"/>
          </w:tcPr>
          <w:p w14:paraId="199FDCB1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3"/>
    <w:p w14:paraId="79BEBBE7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28C8ABBC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253B94FD" w14:textId="77777777" w:rsidR="00687890" w:rsidRPr="004C23F4" w:rsidRDefault="00687890" w:rsidP="00263255">
            <w:pPr>
              <w:pStyle w:val="Tableheader"/>
            </w:pPr>
            <w:bookmarkStart w:id="4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79CF825A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69B0A3A9" w14:textId="77777777" w:rsidTr="00812887">
        <w:trPr>
          <w:cantSplit/>
        </w:trPr>
        <w:tc>
          <w:tcPr>
            <w:tcW w:w="3227" w:type="dxa"/>
          </w:tcPr>
          <w:p w14:paraId="35711AA6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4F18137E" w14:textId="7A5F9665" w:rsidR="00687890" w:rsidRPr="00DD2F9B" w:rsidRDefault="0063249C" w:rsidP="00DD2F9B">
            <w:pPr>
              <w:pStyle w:val="Tablefont"/>
            </w:pPr>
            <w:r w:rsidRPr="0063249C">
              <w:t>S</w:t>
            </w:r>
            <w:r w:rsidR="00CD7365">
              <w:t>k</w:t>
            </w:r>
            <w:r w:rsidR="001D45E3">
              <w:t>in</w:t>
            </w:r>
          </w:p>
        </w:tc>
      </w:tr>
      <w:tr w:rsidR="007925F0" w:rsidRPr="004C23F4" w14:paraId="773E7381" w14:textId="77777777" w:rsidTr="00812887">
        <w:trPr>
          <w:cantSplit/>
        </w:trPr>
        <w:tc>
          <w:tcPr>
            <w:tcW w:w="3227" w:type="dxa"/>
          </w:tcPr>
          <w:p w14:paraId="388370E6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258EED9D" w14:textId="2F6CC993" w:rsidR="007925F0" w:rsidRPr="00DD2F9B" w:rsidRDefault="0063249C" w:rsidP="00DD2F9B">
            <w:pPr>
              <w:pStyle w:val="Tablefont"/>
            </w:pPr>
            <w:r>
              <w:t>—</w:t>
            </w:r>
          </w:p>
        </w:tc>
      </w:tr>
      <w:tr w:rsidR="00AF483F" w:rsidRPr="004C23F4" w14:paraId="54E8DB9C" w14:textId="77777777" w:rsidTr="00812887">
        <w:trPr>
          <w:cantSplit/>
        </w:trPr>
        <w:tc>
          <w:tcPr>
            <w:tcW w:w="3227" w:type="dxa"/>
          </w:tcPr>
          <w:p w14:paraId="31E2030A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469B751E" w14:textId="510535A1" w:rsidR="00AF483F" w:rsidRPr="00DD2F9B" w:rsidRDefault="0063249C" w:rsidP="00DD2F9B">
            <w:pPr>
              <w:pStyle w:val="Tablefont"/>
            </w:pPr>
            <w:r>
              <w:t>NA</w:t>
            </w:r>
          </w:p>
        </w:tc>
      </w:tr>
      <w:tr w:rsidR="00687890" w:rsidRPr="004C23F4" w14:paraId="0E0FF95D" w14:textId="77777777" w:rsidTr="00812887">
        <w:trPr>
          <w:cantSplit/>
        </w:trPr>
        <w:tc>
          <w:tcPr>
            <w:tcW w:w="3227" w:type="dxa"/>
          </w:tcPr>
          <w:p w14:paraId="043DD61A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534B6289" w14:textId="2EB52A27" w:rsidR="00687890" w:rsidRPr="00DD2F9B" w:rsidRDefault="0063249C" w:rsidP="00DD2F9B">
            <w:pPr>
              <w:pStyle w:val="Tablefont"/>
            </w:pPr>
            <w:r>
              <w:t>NA</w:t>
            </w:r>
          </w:p>
        </w:tc>
      </w:tr>
      <w:tr w:rsidR="00E41A26" w:rsidRPr="004C23F4" w14:paraId="67B19F90" w14:textId="77777777" w:rsidTr="00812887">
        <w:trPr>
          <w:cantSplit/>
        </w:trPr>
        <w:tc>
          <w:tcPr>
            <w:tcW w:w="3227" w:type="dxa"/>
          </w:tcPr>
          <w:p w14:paraId="15DE253A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0646DDA4" w14:textId="13CB3B65" w:rsidR="00E41A26" w:rsidRPr="00DD2F9B" w:rsidRDefault="0063249C" w:rsidP="00DD2F9B">
            <w:pPr>
              <w:pStyle w:val="Tablefont"/>
            </w:pPr>
            <w:r>
              <w:t>—</w:t>
            </w:r>
          </w:p>
        </w:tc>
      </w:tr>
      <w:tr w:rsidR="002E0D61" w:rsidRPr="004C23F4" w14:paraId="236ED5D9" w14:textId="77777777" w:rsidTr="00812887">
        <w:trPr>
          <w:cantSplit/>
        </w:trPr>
        <w:tc>
          <w:tcPr>
            <w:tcW w:w="3227" w:type="dxa"/>
          </w:tcPr>
          <w:p w14:paraId="24433FFD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42FA9D3C" w14:textId="6F7C0D17" w:rsidR="002E0D61" w:rsidRPr="00DD2F9B" w:rsidRDefault="0063249C" w:rsidP="00DD2F9B">
            <w:pPr>
              <w:pStyle w:val="Tablefont"/>
            </w:pPr>
            <w:r w:rsidRPr="0063249C">
              <w:t>Carcinogenicity – A4</w:t>
            </w:r>
            <w:r>
              <w:t xml:space="preserve">, </w:t>
            </w:r>
            <w:r w:rsidRPr="0063249C">
              <w:t>Skin</w:t>
            </w:r>
          </w:p>
        </w:tc>
      </w:tr>
      <w:tr w:rsidR="002E0D61" w:rsidRPr="004C23F4" w14:paraId="1642D9AA" w14:textId="77777777" w:rsidTr="00812887">
        <w:trPr>
          <w:cantSplit/>
        </w:trPr>
        <w:tc>
          <w:tcPr>
            <w:tcW w:w="3227" w:type="dxa"/>
          </w:tcPr>
          <w:p w14:paraId="6E0EB182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44BCB399" w14:textId="12F542C1" w:rsidR="002E0D61" w:rsidRPr="00DD2F9B" w:rsidRDefault="0063249C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187AA221" w14:textId="77777777" w:rsidTr="00812887">
        <w:trPr>
          <w:cantSplit/>
        </w:trPr>
        <w:tc>
          <w:tcPr>
            <w:tcW w:w="3227" w:type="dxa"/>
          </w:tcPr>
          <w:p w14:paraId="1DA50382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5E846745" w14:textId="302427D4" w:rsidR="002E0D61" w:rsidRPr="00DD2F9B" w:rsidRDefault="0063249C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0C5587F7" w14:textId="77777777" w:rsidTr="00812887">
        <w:trPr>
          <w:cantSplit/>
        </w:trPr>
        <w:tc>
          <w:tcPr>
            <w:tcW w:w="3227" w:type="dxa"/>
          </w:tcPr>
          <w:p w14:paraId="33AA7A38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2E1F92F5" w14:textId="2777D214" w:rsidR="002E0D61" w:rsidRPr="00DD2F9B" w:rsidRDefault="0063249C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75BB0EB8" w14:textId="77777777" w:rsidTr="00812887">
        <w:trPr>
          <w:cantSplit/>
        </w:trPr>
        <w:tc>
          <w:tcPr>
            <w:tcW w:w="3227" w:type="dxa"/>
          </w:tcPr>
          <w:p w14:paraId="484DC2BB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6A345C05" w14:textId="1B92D5EC" w:rsidR="00386093" w:rsidRPr="00DD2F9B" w:rsidRDefault="0063249C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57CC6049" w14:textId="77777777" w:rsidTr="00812887">
        <w:trPr>
          <w:cantSplit/>
        </w:trPr>
        <w:tc>
          <w:tcPr>
            <w:tcW w:w="3227" w:type="dxa"/>
          </w:tcPr>
          <w:p w14:paraId="2430A00F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7879129F" w14:textId="3605356B" w:rsidR="00386093" w:rsidRPr="00DD2F9B" w:rsidRDefault="001D45E3" w:rsidP="00D87570">
            <w:pPr>
              <w:pStyle w:val="Tablefont"/>
              <w:keepNext/>
            </w:pPr>
            <w:r>
              <w:t xml:space="preserve"> —</w:t>
            </w:r>
          </w:p>
        </w:tc>
      </w:tr>
    </w:tbl>
    <w:bookmarkEnd w:id="4"/>
    <w:p w14:paraId="5696BA8B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6F7F4128" w14:textId="77777777" w:rsidR="00474E33" w:rsidRDefault="00474E33" w:rsidP="00474E33">
      <w:pPr>
        <w:pStyle w:val="Heading3"/>
      </w:pPr>
      <w:r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3E6E1B45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FF3937D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5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570CF9BA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8810" w:type="dxa"/>
              <w:tblLook w:val="04A0" w:firstRow="1" w:lastRow="0" w:firstColumn="1" w:lastColumn="0" w:noHBand="0" w:noVBand="1"/>
            </w:tblPr>
            <w:tblGrid>
              <w:gridCol w:w="1247"/>
              <w:gridCol w:w="865"/>
              <w:gridCol w:w="2899"/>
              <w:gridCol w:w="865"/>
              <w:gridCol w:w="865"/>
              <w:gridCol w:w="2069"/>
            </w:tblGrid>
            <w:tr w:rsidR="00312079" w:rsidRPr="00312079" w14:paraId="1BC24418" w14:textId="77777777" w:rsidTr="00312079">
              <w:trPr>
                <w:trHeight w:val="164"/>
              </w:trPr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172ACC6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Conclusion: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75B0CB5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B03616E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BBDA575" w14:textId="77777777" w:rsidR="00312079" w:rsidRPr="00312079" w:rsidRDefault="00312079" w:rsidP="003120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58153F2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D7E279B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2079" w:rsidRPr="00312079" w14:paraId="107B6A9B" w14:textId="77777777" w:rsidTr="00312079">
              <w:trPr>
                <w:trHeight w:val="234"/>
              </w:trPr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6BB1E05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37B5C5D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E933E9E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31D5FD47" w14:textId="77777777" w:rsidR="00312079" w:rsidRPr="00312079" w:rsidRDefault="00312079" w:rsidP="003120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9626A60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4.00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F97E00E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2079" w:rsidRPr="00312079" w14:paraId="5584514A" w14:textId="77777777" w:rsidTr="00312079">
              <w:trPr>
                <w:trHeight w:val="234"/>
              </w:trPr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9B576E6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19F5767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8E9024F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6E0A35C9" w14:textId="77777777" w:rsidR="00312079" w:rsidRPr="00312079" w:rsidRDefault="00312079" w:rsidP="003120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8BE5CDA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9FCE259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2079" w:rsidRPr="00312079" w14:paraId="2D7F02B6" w14:textId="77777777" w:rsidTr="00312079">
              <w:trPr>
                <w:trHeight w:val="234"/>
              </w:trPr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02F5F5F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46A9109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74AD1B9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5C7CAD" w14:textId="77777777" w:rsidR="00312079" w:rsidRPr="00312079" w:rsidRDefault="00312079" w:rsidP="003120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327C3DA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7915537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2079" w:rsidRPr="00312079" w14:paraId="09DC45CD" w14:textId="77777777" w:rsidTr="00312079">
              <w:trPr>
                <w:trHeight w:val="234"/>
              </w:trPr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C97D0E3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7358D52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C7B828C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94BDCB8" w14:textId="0A34DA68" w:rsidR="00312079" w:rsidRPr="00312079" w:rsidRDefault="00312079" w:rsidP="003120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E5F70F5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E7D596B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2079" w:rsidRPr="00312079" w14:paraId="2CFB50EC" w14:textId="77777777" w:rsidTr="00312079">
              <w:trPr>
                <w:trHeight w:val="234"/>
              </w:trPr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26E7A79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35D6C38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20D6846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7662DA9" w14:textId="77777777" w:rsidR="00312079" w:rsidRPr="00312079" w:rsidRDefault="00312079" w:rsidP="003120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5F252FB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C6655ED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2079" w:rsidRPr="00312079" w14:paraId="54C224AA" w14:textId="77777777" w:rsidTr="00312079">
              <w:trPr>
                <w:trHeight w:val="234"/>
              </w:trPr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05C2FE5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BA64CF1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5E290D8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FDB7965" w14:textId="77777777" w:rsidR="00312079" w:rsidRPr="00312079" w:rsidRDefault="00312079" w:rsidP="003120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1CD0A1C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20995BC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2079" w:rsidRPr="00312079" w14:paraId="376BE5D1" w14:textId="77777777" w:rsidTr="00312079">
              <w:trPr>
                <w:trHeight w:val="234"/>
              </w:trPr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7055FA8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43377F6" w14:textId="77777777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58E0098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3B99418" w14:textId="77777777" w:rsidR="00312079" w:rsidRPr="00312079" w:rsidRDefault="00312079" w:rsidP="00312079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9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E095E9D" w14:textId="77777777" w:rsidR="00312079" w:rsidRPr="00312079" w:rsidRDefault="00312079" w:rsidP="00312079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</w:t>
                  </w:r>
                </w:p>
                <w:p w14:paraId="0E178592" w14:textId="265AA219" w:rsidR="00312079" w:rsidRPr="00312079" w:rsidRDefault="00312079" w:rsidP="00312079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2079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a skin notation is warranted</w:t>
                  </w:r>
                </w:p>
              </w:tc>
            </w:tr>
          </w:tbl>
          <w:p w14:paraId="2118FF75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5"/>
    <w:p w14:paraId="27D546B0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9"/>
        <w:gridCol w:w="4757"/>
      </w:tblGrid>
      <w:tr w:rsidR="00EB3D1B" w14:paraId="02B9AD5A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3C0599EA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3DEE86E4" w14:textId="6D053F5D" w:rsidR="00EB3D1B" w:rsidRDefault="00CD7365" w:rsidP="00EB3D1B">
                <w:pPr>
                  <w:pStyle w:val="Tablefont"/>
                </w:pPr>
                <w:r>
                  <w:t>No</w:t>
                </w:r>
              </w:p>
            </w:tc>
          </w:sdtContent>
        </w:sdt>
      </w:tr>
    </w:tbl>
    <w:p w14:paraId="283C04FA" w14:textId="77777777" w:rsidR="00687890" w:rsidRPr="004C23F4" w:rsidRDefault="00B479A9" w:rsidP="00474E33">
      <w:pPr>
        <w:pStyle w:val="Heading2"/>
      </w:pPr>
      <w:r w:rsidRPr="004C23F4">
        <w:lastRenderedPageBreak/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4C23F4" w14:paraId="7088B666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2197B5E7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542A298C" w14:textId="388C9717" w:rsidR="001B79E5" w:rsidRDefault="00CD7365" w:rsidP="001B79E5">
                <w:pPr>
                  <w:pStyle w:val="Tablefont"/>
                </w:pPr>
                <w:r>
                  <w:t xml:space="preserve">406.9 </w:t>
                </w:r>
              </w:p>
            </w:tc>
          </w:sdtContent>
        </w:sdt>
      </w:tr>
      <w:tr w:rsidR="00A31D99" w:rsidRPr="004C23F4" w14:paraId="3B5DAAEB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47CA5F64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kPa: </w:t>
            </w:r>
          </w:p>
        </w:tc>
        <w:tc>
          <w:tcPr>
            <w:tcW w:w="5165" w:type="dxa"/>
            <w:vAlign w:val="center"/>
          </w:tcPr>
          <w:p w14:paraId="39BA4E61" w14:textId="6F8E9F9A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CD7365">
                  <w:t>16.64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r w:rsidR="00CD7365">
              <w:t>0.06</w:t>
            </w:r>
            <w:r>
              <w:t xml:space="preserve"> ppm</w:t>
            </w:r>
          </w:p>
        </w:tc>
      </w:tr>
      <w:tr w:rsidR="00687890" w:rsidRPr="004C23F4" w14:paraId="43BE42AB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1372BE62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33FE743E" w14:textId="2212AD1D" w:rsidR="00687890" w:rsidRPr="004C23F4" w:rsidRDefault="00CD7365" w:rsidP="00717D45">
                <w:pPr>
                  <w:pStyle w:val="Tablefont"/>
                </w:pPr>
                <w:r>
                  <w:sym w:font="Wingdings" w:char="F0FC"/>
                </w:r>
              </w:p>
            </w:tc>
          </w:sdtContent>
        </w:sdt>
      </w:tr>
      <w:tr w:rsidR="00687890" w:rsidRPr="004C23F4" w14:paraId="576C7E15" w14:textId="77777777" w:rsidTr="00EA6243">
        <w:trPr>
          <w:cantSplit/>
        </w:trPr>
        <w:tc>
          <w:tcPr>
            <w:tcW w:w="4077" w:type="dxa"/>
            <w:vAlign w:val="center"/>
          </w:tcPr>
          <w:p w14:paraId="75107348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13239735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11A7EDDF" w14:textId="77777777" w:rsidTr="00EA6243">
        <w:trPr>
          <w:cantSplit/>
        </w:trPr>
        <w:tc>
          <w:tcPr>
            <w:tcW w:w="4077" w:type="dxa"/>
            <w:vAlign w:val="center"/>
          </w:tcPr>
          <w:p w14:paraId="782DBD73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0DC9CC1B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2CDE3E63" w14:textId="77777777" w:rsidTr="00EA6243">
        <w:trPr>
          <w:cantSplit/>
        </w:trPr>
        <w:tc>
          <w:tcPr>
            <w:tcW w:w="4077" w:type="dxa"/>
            <w:vAlign w:val="center"/>
          </w:tcPr>
          <w:p w14:paraId="725D311E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7C323312" w14:textId="77777777" w:rsidR="00E06F40" w:rsidRPr="00A006A0" w:rsidRDefault="006D4D28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650C37C0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2FFD5DE6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20C3AE26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6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0DFCA2C7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11DD2D62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2607FD79" w14:textId="2E9608A4" w:rsidR="007F1005" w:rsidRPr="004C23F4" w:rsidRDefault="00CD7365" w:rsidP="00EB3D1B">
                <w:pPr>
                  <w:pStyle w:val="Tablefont"/>
                  <w:keepLines/>
                </w:pPr>
                <w:r>
                  <w:t>1991</w:t>
                </w:r>
              </w:p>
            </w:tc>
          </w:sdtContent>
        </w:sdt>
        <w:tc>
          <w:tcPr>
            <w:tcW w:w="5165" w:type="dxa"/>
            <w:vAlign w:val="center"/>
          </w:tcPr>
          <w:p w14:paraId="1B93D849" w14:textId="4CE3DFA0" w:rsidR="007F1005" w:rsidRPr="00CD7365" w:rsidRDefault="00CD7365" w:rsidP="00EB3D1B">
            <w:pPr>
              <w:pStyle w:val="Tablefont"/>
              <w:keepLines/>
            </w:pPr>
            <w:r>
              <w:t>TWA: 0.1 mg/m</w:t>
            </w:r>
            <w:r>
              <w:rPr>
                <w:vertAlign w:val="superscript"/>
              </w:rPr>
              <w:t>3</w:t>
            </w:r>
          </w:p>
        </w:tc>
      </w:tr>
    </w:tbl>
    <w:bookmarkEnd w:id="6"/>
    <w:p w14:paraId="6D22B94D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682BC1B8" w14:textId="02ACD47D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</w:t>
      </w:r>
      <w:r w:rsidR="00E95F9D">
        <w:t xml:space="preserve">. </w:t>
      </w:r>
      <w:r>
        <w:t>(201</w:t>
      </w:r>
      <w:r w:rsidR="00F67BBB">
        <w:t>8</w:t>
      </w:r>
      <w:r>
        <w:t>)</w:t>
      </w:r>
      <w:r w:rsidR="00E95F9D">
        <w:t>.</w:t>
      </w:r>
      <w:r>
        <w:t xml:space="preserve">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2A0F8F3E" w14:textId="77777777" w:rsidR="00664261" w:rsidRDefault="00F357AE" w:rsidP="00F357AE">
      <w:pPr>
        <w:spacing w:after="0"/>
      </w:pPr>
      <w:r>
        <w:t>National Institute for Occupational Safety and Health (NIOSH). (2018). NIOSH Pocket Guide to Chemical Hazards – Endosulfan.</w:t>
      </w:r>
    </w:p>
    <w:p w14:paraId="686F6BD3" w14:textId="6EA0A606" w:rsidR="00312079" w:rsidRDefault="00312079" w:rsidP="00F357AE">
      <w:pPr>
        <w:spacing w:after="0"/>
        <w:rPr>
          <w:rStyle w:val="Hyperlink"/>
        </w:rPr>
      </w:pPr>
    </w:p>
    <w:p w14:paraId="6250AFB8" w14:textId="7ABC118F" w:rsidR="00312079" w:rsidRPr="0063249C" w:rsidRDefault="00E673FA">
      <w:r>
        <w:t>US</w:t>
      </w:r>
      <w:r w:rsidR="00312079">
        <w:t xml:space="preserve"> Environmental Protection Agency (US EPA). (1994). Integrated Risk Information System (IRIS) – Chemical Assessment Summary, Endosulfan; CASRN 115-29-7.</w:t>
      </w:r>
      <w:bookmarkEnd w:id="0"/>
    </w:p>
    <w:sectPr w:rsidR="00312079" w:rsidRPr="0063249C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B8A671" w16cid:durableId="218911DC"/>
  <w16cid:commentId w16cid:paraId="21C0063D" w16cid:durableId="218913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9454" w14:textId="77777777" w:rsidR="00032701" w:rsidRDefault="00032701" w:rsidP="00F43AD5">
      <w:pPr>
        <w:spacing w:after="0" w:line="240" w:lineRule="auto"/>
      </w:pPr>
      <w:r>
        <w:separator/>
      </w:r>
    </w:p>
  </w:endnote>
  <w:endnote w:type="continuationSeparator" w:id="0">
    <w:p w14:paraId="26D197E6" w14:textId="77777777" w:rsidR="00032701" w:rsidRDefault="00032701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44EE4" w14:textId="77777777" w:rsidR="009D44F5" w:rsidRDefault="009D4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4B24EBA" w14:textId="7C1AADEF" w:rsidR="0053147A" w:rsidRDefault="0053147A" w:rsidP="0034744C">
        <w:pPr>
          <w:pStyle w:val="Footer"/>
          <w:rPr>
            <w:sz w:val="18"/>
            <w:szCs w:val="18"/>
          </w:rPr>
        </w:pPr>
        <w:r w:rsidRPr="00C9523D">
          <w:rPr>
            <w:b/>
            <w:sz w:val="18"/>
            <w:szCs w:val="18"/>
          </w:rPr>
          <w:t>Endosulfan</w:t>
        </w:r>
        <w:r>
          <w:rPr>
            <w:b/>
            <w:sz w:val="18"/>
            <w:szCs w:val="18"/>
          </w:rPr>
          <w:t xml:space="preserve"> (</w:t>
        </w:r>
        <w:r w:rsidRPr="00C9523D">
          <w:rPr>
            <w:b/>
            <w:sz w:val="18"/>
            <w:szCs w:val="18"/>
          </w:rPr>
          <w:t>115-29-7</w:t>
        </w:r>
        <w:r>
          <w:rPr>
            <w:b/>
            <w:sz w:val="18"/>
            <w:szCs w:val="18"/>
          </w:rPr>
          <w:t>)</w:t>
        </w:r>
        <w:r w:rsidRPr="00F43AD5">
          <w:rPr>
            <w:sz w:val="18"/>
            <w:szCs w:val="18"/>
          </w:rPr>
          <w:br/>
          <w:t xml:space="preserve">Safe Work Australia </w:t>
        </w:r>
        <w:r w:rsidRPr="00F43AD5">
          <w:rPr>
            <w:rFonts w:ascii="Courier New" w:hAnsi="Courier New" w:cs="Courier New"/>
            <w:sz w:val="18"/>
            <w:szCs w:val="18"/>
          </w:rPr>
          <w:t>—</w:t>
        </w:r>
        <w:r w:rsidRPr="00F43AD5">
          <w:rPr>
            <w:sz w:val="18"/>
            <w:szCs w:val="18"/>
          </w:rPr>
          <w:t xml:space="preserve"> 201</w:t>
        </w:r>
        <w:r>
          <w:rPr>
            <w:sz w:val="18"/>
            <w:szCs w:val="18"/>
          </w:rPr>
          <w:t>9</w:t>
        </w:r>
      </w:p>
      <w:p w14:paraId="1782E54D" w14:textId="39D17B75" w:rsidR="0053147A" w:rsidRPr="00F43AD5" w:rsidRDefault="0053147A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6D4D28">
          <w:rPr>
            <w:noProof/>
            <w:sz w:val="18"/>
            <w:szCs w:val="18"/>
          </w:rPr>
          <w:t>4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E823B" w14:textId="77777777" w:rsidR="009D44F5" w:rsidRDefault="009D4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DE7F0" w14:textId="77777777" w:rsidR="00032701" w:rsidRDefault="00032701" w:rsidP="00F43AD5">
      <w:pPr>
        <w:spacing w:after="0" w:line="240" w:lineRule="auto"/>
      </w:pPr>
      <w:r>
        <w:separator/>
      </w:r>
    </w:p>
  </w:footnote>
  <w:footnote w:type="continuationSeparator" w:id="0">
    <w:p w14:paraId="25FAF01C" w14:textId="77777777" w:rsidR="00032701" w:rsidRDefault="00032701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C88CD" w14:textId="0CD59FD9" w:rsidR="009D44F5" w:rsidRDefault="006D4D28">
    <w:pPr>
      <w:pStyle w:val="Header"/>
    </w:pPr>
    <w:r>
      <w:rPr>
        <w:noProof/>
      </w:rPr>
      <w:pict w14:anchorId="4CFC7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6079" o:spid="_x0000_s8194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3B111" w14:textId="02BC3179" w:rsidR="0053147A" w:rsidRDefault="006D4D28" w:rsidP="00F43AD5">
    <w:pPr>
      <w:pStyle w:val="Header"/>
      <w:jc w:val="right"/>
    </w:pPr>
    <w:r>
      <w:rPr>
        <w:noProof/>
      </w:rPr>
      <w:pict w14:anchorId="4E3FDA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6080" o:spid="_x0000_s8195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53147A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BDB24" w14:textId="376E50D9" w:rsidR="009D44F5" w:rsidRDefault="006D4D28">
    <w:pPr>
      <w:pStyle w:val="Header"/>
    </w:pPr>
    <w:r>
      <w:rPr>
        <w:noProof/>
      </w:rPr>
      <w:pict w14:anchorId="73D11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6078" o:spid="_x0000_s8193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8115" w14:textId="0EE24632" w:rsidR="006D4D28" w:rsidRDefault="006D4D28">
    <w:pPr>
      <w:pStyle w:val="Header"/>
    </w:pPr>
    <w:r>
      <w:rPr>
        <w:noProof/>
      </w:rPr>
      <w:pict w14:anchorId="015AAE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6082" o:spid="_x0000_s8197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1D05D" w14:textId="2106A745" w:rsidR="0053147A" w:rsidRDefault="006D4D28" w:rsidP="00F43AD5">
    <w:pPr>
      <w:pStyle w:val="Header"/>
      <w:jc w:val="right"/>
    </w:pPr>
    <w:r>
      <w:rPr>
        <w:noProof/>
      </w:rPr>
      <w:pict w14:anchorId="3AF9ED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6083" o:spid="_x0000_s8198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B82BE" w14:textId="4F3E4590" w:rsidR="006D4D28" w:rsidRDefault="006D4D28">
    <w:pPr>
      <w:pStyle w:val="Header"/>
    </w:pPr>
    <w:r>
      <w:rPr>
        <w:noProof/>
      </w:rPr>
      <w:pict w14:anchorId="1048AD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66081" o:spid="_x0000_s8196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063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DD1881"/>
    <w:multiLevelType w:val="hybridMultilevel"/>
    <w:tmpl w:val="96A6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21351"/>
    <w:multiLevelType w:val="hybridMultilevel"/>
    <w:tmpl w:val="A106CBA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2323DB"/>
    <w:multiLevelType w:val="hybridMultilevel"/>
    <w:tmpl w:val="8474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C0276"/>
    <w:multiLevelType w:val="hybridMultilevel"/>
    <w:tmpl w:val="1CF8CA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C11D4F"/>
    <w:multiLevelType w:val="hybridMultilevel"/>
    <w:tmpl w:val="4F94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948"/>
    <w:rsid w:val="00007B80"/>
    <w:rsid w:val="00013A22"/>
    <w:rsid w:val="00014C3F"/>
    <w:rsid w:val="00017C82"/>
    <w:rsid w:val="0003171E"/>
    <w:rsid w:val="00032701"/>
    <w:rsid w:val="00032B88"/>
    <w:rsid w:val="0003769F"/>
    <w:rsid w:val="00046DF5"/>
    <w:rsid w:val="00052060"/>
    <w:rsid w:val="0005574A"/>
    <w:rsid w:val="00055FE1"/>
    <w:rsid w:val="00056EC2"/>
    <w:rsid w:val="0006045D"/>
    <w:rsid w:val="00060B48"/>
    <w:rsid w:val="00067F32"/>
    <w:rsid w:val="00071807"/>
    <w:rsid w:val="000803E1"/>
    <w:rsid w:val="00084513"/>
    <w:rsid w:val="00084859"/>
    <w:rsid w:val="000866DD"/>
    <w:rsid w:val="00092D94"/>
    <w:rsid w:val="000A381F"/>
    <w:rsid w:val="000B0868"/>
    <w:rsid w:val="000B3E12"/>
    <w:rsid w:val="000B3E78"/>
    <w:rsid w:val="000B7B48"/>
    <w:rsid w:val="000C096D"/>
    <w:rsid w:val="000C139A"/>
    <w:rsid w:val="000C2053"/>
    <w:rsid w:val="000C248C"/>
    <w:rsid w:val="000D291C"/>
    <w:rsid w:val="000E5A54"/>
    <w:rsid w:val="000E63D3"/>
    <w:rsid w:val="000E67CF"/>
    <w:rsid w:val="000F608B"/>
    <w:rsid w:val="0010461E"/>
    <w:rsid w:val="0010668E"/>
    <w:rsid w:val="00106FAA"/>
    <w:rsid w:val="00113443"/>
    <w:rsid w:val="001269A7"/>
    <w:rsid w:val="00131092"/>
    <w:rsid w:val="00140E6A"/>
    <w:rsid w:val="00146545"/>
    <w:rsid w:val="00146B75"/>
    <w:rsid w:val="0015266D"/>
    <w:rsid w:val="0015288A"/>
    <w:rsid w:val="00160F47"/>
    <w:rsid w:val="00177CA1"/>
    <w:rsid w:val="00183823"/>
    <w:rsid w:val="00183942"/>
    <w:rsid w:val="001A009E"/>
    <w:rsid w:val="001A1287"/>
    <w:rsid w:val="001A3159"/>
    <w:rsid w:val="001A3859"/>
    <w:rsid w:val="001A3C9D"/>
    <w:rsid w:val="001A43F8"/>
    <w:rsid w:val="001B79E5"/>
    <w:rsid w:val="001C3A83"/>
    <w:rsid w:val="001D45E3"/>
    <w:rsid w:val="001D56F0"/>
    <w:rsid w:val="001D663B"/>
    <w:rsid w:val="001D7B41"/>
    <w:rsid w:val="001E46DA"/>
    <w:rsid w:val="001E7D80"/>
    <w:rsid w:val="001F1945"/>
    <w:rsid w:val="001F34E9"/>
    <w:rsid w:val="001F4B6C"/>
    <w:rsid w:val="001F62CB"/>
    <w:rsid w:val="001F6ED0"/>
    <w:rsid w:val="001F72E6"/>
    <w:rsid w:val="001F73C5"/>
    <w:rsid w:val="002046A6"/>
    <w:rsid w:val="00204956"/>
    <w:rsid w:val="00210971"/>
    <w:rsid w:val="00213640"/>
    <w:rsid w:val="00221547"/>
    <w:rsid w:val="002216FC"/>
    <w:rsid w:val="00222533"/>
    <w:rsid w:val="00222F30"/>
    <w:rsid w:val="00224EE2"/>
    <w:rsid w:val="00227EC7"/>
    <w:rsid w:val="00244AD1"/>
    <w:rsid w:val="002463BC"/>
    <w:rsid w:val="002465CE"/>
    <w:rsid w:val="00250CDF"/>
    <w:rsid w:val="0025734A"/>
    <w:rsid w:val="00263255"/>
    <w:rsid w:val="00271814"/>
    <w:rsid w:val="00272C2F"/>
    <w:rsid w:val="00276494"/>
    <w:rsid w:val="00277B0C"/>
    <w:rsid w:val="002B0F88"/>
    <w:rsid w:val="002B1A2C"/>
    <w:rsid w:val="002B4B46"/>
    <w:rsid w:val="002C34F2"/>
    <w:rsid w:val="002C58FF"/>
    <w:rsid w:val="002C7AFE"/>
    <w:rsid w:val="002C7B19"/>
    <w:rsid w:val="002D05D2"/>
    <w:rsid w:val="002E0D61"/>
    <w:rsid w:val="002E4C7B"/>
    <w:rsid w:val="0030740C"/>
    <w:rsid w:val="00312079"/>
    <w:rsid w:val="00315833"/>
    <w:rsid w:val="003215EE"/>
    <w:rsid w:val="003224BF"/>
    <w:rsid w:val="003241A8"/>
    <w:rsid w:val="003253F0"/>
    <w:rsid w:val="00332A4A"/>
    <w:rsid w:val="003337DA"/>
    <w:rsid w:val="00334EFB"/>
    <w:rsid w:val="00335CDE"/>
    <w:rsid w:val="003365A5"/>
    <w:rsid w:val="00340AE9"/>
    <w:rsid w:val="00347192"/>
    <w:rsid w:val="0034744C"/>
    <w:rsid w:val="00351FE0"/>
    <w:rsid w:val="00352615"/>
    <w:rsid w:val="0035412B"/>
    <w:rsid w:val="003567A8"/>
    <w:rsid w:val="00362895"/>
    <w:rsid w:val="003659B9"/>
    <w:rsid w:val="00370DBF"/>
    <w:rsid w:val="00380CE5"/>
    <w:rsid w:val="00386093"/>
    <w:rsid w:val="003904A4"/>
    <w:rsid w:val="00391841"/>
    <w:rsid w:val="00391B6D"/>
    <w:rsid w:val="00394922"/>
    <w:rsid w:val="00395C60"/>
    <w:rsid w:val="003A0E32"/>
    <w:rsid w:val="003A2B94"/>
    <w:rsid w:val="003B1BB5"/>
    <w:rsid w:val="003B387D"/>
    <w:rsid w:val="003B660B"/>
    <w:rsid w:val="003C0D58"/>
    <w:rsid w:val="003C1AEB"/>
    <w:rsid w:val="003D4FA3"/>
    <w:rsid w:val="003E007B"/>
    <w:rsid w:val="003E0807"/>
    <w:rsid w:val="003E51FB"/>
    <w:rsid w:val="003E6B39"/>
    <w:rsid w:val="003F07E1"/>
    <w:rsid w:val="003F47DA"/>
    <w:rsid w:val="0040214C"/>
    <w:rsid w:val="004030BC"/>
    <w:rsid w:val="00403F7D"/>
    <w:rsid w:val="00406785"/>
    <w:rsid w:val="004079B4"/>
    <w:rsid w:val="0041392B"/>
    <w:rsid w:val="00417A56"/>
    <w:rsid w:val="00420957"/>
    <w:rsid w:val="00422A10"/>
    <w:rsid w:val="00430179"/>
    <w:rsid w:val="004414B5"/>
    <w:rsid w:val="00444482"/>
    <w:rsid w:val="00444B42"/>
    <w:rsid w:val="00445E44"/>
    <w:rsid w:val="004509E2"/>
    <w:rsid w:val="004515EE"/>
    <w:rsid w:val="004529F0"/>
    <w:rsid w:val="00460A03"/>
    <w:rsid w:val="00472A11"/>
    <w:rsid w:val="00472AAD"/>
    <w:rsid w:val="00474E33"/>
    <w:rsid w:val="00476803"/>
    <w:rsid w:val="00485BFD"/>
    <w:rsid w:val="004867A2"/>
    <w:rsid w:val="004873F2"/>
    <w:rsid w:val="00490D4C"/>
    <w:rsid w:val="0049117D"/>
    <w:rsid w:val="00493A35"/>
    <w:rsid w:val="00495145"/>
    <w:rsid w:val="0049527A"/>
    <w:rsid w:val="004966BF"/>
    <w:rsid w:val="00497984"/>
    <w:rsid w:val="004A5088"/>
    <w:rsid w:val="004C1E3F"/>
    <w:rsid w:val="004C23F4"/>
    <w:rsid w:val="004C3475"/>
    <w:rsid w:val="004C58B6"/>
    <w:rsid w:val="004D16A3"/>
    <w:rsid w:val="004D38D1"/>
    <w:rsid w:val="004D4AA1"/>
    <w:rsid w:val="004D64D5"/>
    <w:rsid w:val="004D6D68"/>
    <w:rsid w:val="004E1DC5"/>
    <w:rsid w:val="004E5EDD"/>
    <w:rsid w:val="004F448A"/>
    <w:rsid w:val="004F493D"/>
    <w:rsid w:val="004F6458"/>
    <w:rsid w:val="004F65E8"/>
    <w:rsid w:val="0050005E"/>
    <w:rsid w:val="00501750"/>
    <w:rsid w:val="00502B88"/>
    <w:rsid w:val="005142C4"/>
    <w:rsid w:val="0051509C"/>
    <w:rsid w:val="00523766"/>
    <w:rsid w:val="005272E2"/>
    <w:rsid w:val="0053108F"/>
    <w:rsid w:val="0053147A"/>
    <w:rsid w:val="00532B56"/>
    <w:rsid w:val="00534B10"/>
    <w:rsid w:val="005446A2"/>
    <w:rsid w:val="00544D2F"/>
    <w:rsid w:val="00551BD8"/>
    <w:rsid w:val="005608C6"/>
    <w:rsid w:val="00573C54"/>
    <w:rsid w:val="00581055"/>
    <w:rsid w:val="005837F5"/>
    <w:rsid w:val="00591E38"/>
    <w:rsid w:val="005922D7"/>
    <w:rsid w:val="005A19C5"/>
    <w:rsid w:val="005A3034"/>
    <w:rsid w:val="005A462D"/>
    <w:rsid w:val="005A4F7D"/>
    <w:rsid w:val="005B253B"/>
    <w:rsid w:val="005B771D"/>
    <w:rsid w:val="005C5D16"/>
    <w:rsid w:val="005C7488"/>
    <w:rsid w:val="005D3193"/>
    <w:rsid w:val="005D4A6E"/>
    <w:rsid w:val="005D7EA0"/>
    <w:rsid w:val="005E4007"/>
    <w:rsid w:val="005E6979"/>
    <w:rsid w:val="005E75CB"/>
    <w:rsid w:val="005F448E"/>
    <w:rsid w:val="006013C1"/>
    <w:rsid w:val="0060669E"/>
    <w:rsid w:val="00607A5D"/>
    <w:rsid w:val="00610F2E"/>
    <w:rsid w:val="00611399"/>
    <w:rsid w:val="006175FC"/>
    <w:rsid w:val="00624C4E"/>
    <w:rsid w:val="00625200"/>
    <w:rsid w:val="0063249C"/>
    <w:rsid w:val="006363A8"/>
    <w:rsid w:val="00636DB7"/>
    <w:rsid w:val="00650905"/>
    <w:rsid w:val="00651AFF"/>
    <w:rsid w:val="006532ED"/>
    <w:rsid w:val="006549F2"/>
    <w:rsid w:val="006567B7"/>
    <w:rsid w:val="00657BFB"/>
    <w:rsid w:val="00660FE4"/>
    <w:rsid w:val="0066333C"/>
    <w:rsid w:val="006639B4"/>
    <w:rsid w:val="00664261"/>
    <w:rsid w:val="006650FE"/>
    <w:rsid w:val="0067305D"/>
    <w:rsid w:val="00677D9B"/>
    <w:rsid w:val="006867F3"/>
    <w:rsid w:val="00687890"/>
    <w:rsid w:val="006901A2"/>
    <w:rsid w:val="00690368"/>
    <w:rsid w:val="0069079C"/>
    <w:rsid w:val="00690B53"/>
    <w:rsid w:val="00695B72"/>
    <w:rsid w:val="006B160A"/>
    <w:rsid w:val="006B4E6C"/>
    <w:rsid w:val="006B50B6"/>
    <w:rsid w:val="006D4D28"/>
    <w:rsid w:val="006D79EA"/>
    <w:rsid w:val="006E5D05"/>
    <w:rsid w:val="006F5352"/>
    <w:rsid w:val="00700093"/>
    <w:rsid w:val="00701053"/>
    <w:rsid w:val="00701507"/>
    <w:rsid w:val="00711F59"/>
    <w:rsid w:val="00714021"/>
    <w:rsid w:val="00716A0F"/>
    <w:rsid w:val="00717D45"/>
    <w:rsid w:val="007208F7"/>
    <w:rsid w:val="007218AF"/>
    <w:rsid w:val="007360D4"/>
    <w:rsid w:val="007365D1"/>
    <w:rsid w:val="00740E0E"/>
    <w:rsid w:val="00745AD8"/>
    <w:rsid w:val="00750212"/>
    <w:rsid w:val="00754779"/>
    <w:rsid w:val="00755E1C"/>
    <w:rsid w:val="0075716D"/>
    <w:rsid w:val="00765F14"/>
    <w:rsid w:val="00770E31"/>
    <w:rsid w:val="007770F1"/>
    <w:rsid w:val="00783FB1"/>
    <w:rsid w:val="00785CDD"/>
    <w:rsid w:val="00791847"/>
    <w:rsid w:val="007925F0"/>
    <w:rsid w:val="00792731"/>
    <w:rsid w:val="007939B3"/>
    <w:rsid w:val="007939E9"/>
    <w:rsid w:val="0079484C"/>
    <w:rsid w:val="0079509C"/>
    <w:rsid w:val="00796708"/>
    <w:rsid w:val="007B1B42"/>
    <w:rsid w:val="007C30EB"/>
    <w:rsid w:val="007D6E1E"/>
    <w:rsid w:val="007E063C"/>
    <w:rsid w:val="007E2A4B"/>
    <w:rsid w:val="007E307D"/>
    <w:rsid w:val="007E6A4E"/>
    <w:rsid w:val="007E6C94"/>
    <w:rsid w:val="007F1005"/>
    <w:rsid w:val="007F25E0"/>
    <w:rsid w:val="007F5328"/>
    <w:rsid w:val="00804F5A"/>
    <w:rsid w:val="0080557E"/>
    <w:rsid w:val="00810C6D"/>
    <w:rsid w:val="00812887"/>
    <w:rsid w:val="0082297C"/>
    <w:rsid w:val="00824A22"/>
    <w:rsid w:val="00826A9F"/>
    <w:rsid w:val="00826F21"/>
    <w:rsid w:val="00834CC8"/>
    <w:rsid w:val="00835E00"/>
    <w:rsid w:val="00837113"/>
    <w:rsid w:val="008414E4"/>
    <w:rsid w:val="00843E21"/>
    <w:rsid w:val="0084508E"/>
    <w:rsid w:val="00857A8A"/>
    <w:rsid w:val="008630EE"/>
    <w:rsid w:val="00864D13"/>
    <w:rsid w:val="00871CD5"/>
    <w:rsid w:val="008745A2"/>
    <w:rsid w:val="008768A8"/>
    <w:rsid w:val="0088798F"/>
    <w:rsid w:val="00887E4B"/>
    <w:rsid w:val="008915C8"/>
    <w:rsid w:val="008947D5"/>
    <w:rsid w:val="00897089"/>
    <w:rsid w:val="008A36CF"/>
    <w:rsid w:val="008A3BC4"/>
    <w:rsid w:val="008B3D71"/>
    <w:rsid w:val="008B403C"/>
    <w:rsid w:val="008B7983"/>
    <w:rsid w:val="008C2511"/>
    <w:rsid w:val="008D026D"/>
    <w:rsid w:val="008D23AB"/>
    <w:rsid w:val="008D4B8B"/>
    <w:rsid w:val="008D5A78"/>
    <w:rsid w:val="008E7B64"/>
    <w:rsid w:val="008F5DCD"/>
    <w:rsid w:val="00900951"/>
    <w:rsid w:val="009118A6"/>
    <w:rsid w:val="009161C5"/>
    <w:rsid w:val="00916909"/>
    <w:rsid w:val="00916EC0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78DD"/>
    <w:rsid w:val="00960DFB"/>
    <w:rsid w:val="00961124"/>
    <w:rsid w:val="009621B6"/>
    <w:rsid w:val="00966119"/>
    <w:rsid w:val="00974F2D"/>
    <w:rsid w:val="00977524"/>
    <w:rsid w:val="00977E88"/>
    <w:rsid w:val="00981545"/>
    <w:rsid w:val="00984920"/>
    <w:rsid w:val="0099303A"/>
    <w:rsid w:val="009971C2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D3B5A"/>
    <w:rsid w:val="009D44F5"/>
    <w:rsid w:val="009E0C05"/>
    <w:rsid w:val="009E0D1C"/>
    <w:rsid w:val="009E2214"/>
    <w:rsid w:val="009E355A"/>
    <w:rsid w:val="009E63E2"/>
    <w:rsid w:val="009E7342"/>
    <w:rsid w:val="009F04D2"/>
    <w:rsid w:val="009F05CF"/>
    <w:rsid w:val="009F0F3A"/>
    <w:rsid w:val="00A01D0C"/>
    <w:rsid w:val="00A063C9"/>
    <w:rsid w:val="00A0643F"/>
    <w:rsid w:val="00A067EE"/>
    <w:rsid w:val="00A10FCE"/>
    <w:rsid w:val="00A16D91"/>
    <w:rsid w:val="00A1739F"/>
    <w:rsid w:val="00A174CC"/>
    <w:rsid w:val="00A2073D"/>
    <w:rsid w:val="00A20751"/>
    <w:rsid w:val="00A27E2D"/>
    <w:rsid w:val="00A31D99"/>
    <w:rsid w:val="00A357BA"/>
    <w:rsid w:val="00A35ADC"/>
    <w:rsid w:val="00A402A3"/>
    <w:rsid w:val="00A4102F"/>
    <w:rsid w:val="00A42B4E"/>
    <w:rsid w:val="00A53681"/>
    <w:rsid w:val="00A633D4"/>
    <w:rsid w:val="00A6461A"/>
    <w:rsid w:val="00A84504"/>
    <w:rsid w:val="00A8672F"/>
    <w:rsid w:val="00A93057"/>
    <w:rsid w:val="00A968B0"/>
    <w:rsid w:val="00AB2672"/>
    <w:rsid w:val="00AB2817"/>
    <w:rsid w:val="00AB43C4"/>
    <w:rsid w:val="00AC32E7"/>
    <w:rsid w:val="00AC3A9F"/>
    <w:rsid w:val="00AC6D2F"/>
    <w:rsid w:val="00AD7897"/>
    <w:rsid w:val="00AE2745"/>
    <w:rsid w:val="00AE2F64"/>
    <w:rsid w:val="00AF42CB"/>
    <w:rsid w:val="00AF483F"/>
    <w:rsid w:val="00AF5E07"/>
    <w:rsid w:val="00AF5F06"/>
    <w:rsid w:val="00AF7464"/>
    <w:rsid w:val="00B00A25"/>
    <w:rsid w:val="00B029CE"/>
    <w:rsid w:val="00B1422A"/>
    <w:rsid w:val="00B1765C"/>
    <w:rsid w:val="00B213C4"/>
    <w:rsid w:val="00B40C60"/>
    <w:rsid w:val="00B479A9"/>
    <w:rsid w:val="00B52EDF"/>
    <w:rsid w:val="00B63DAC"/>
    <w:rsid w:val="00B71188"/>
    <w:rsid w:val="00B76A41"/>
    <w:rsid w:val="00B76C25"/>
    <w:rsid w:val="00B87D4C"/>
    <w:rsid w:val="00B93646"/>
    <w:rsid w:val="00B965BC"/>
    <w:rsid w:val="00BA0B38"/>
    <w:rsid w:val="00BA1DBB"/>
    <w:rsid w:val="00BA4510"/>
    <w:rsid w:val="00BA529A"/>
    <w:rsid w:val="00BB612A"/>
    <w:rsid w:val="00BD499F"/>
    <w:rsid w:val="00BD56DE"/>
    <w:rsid w:val="00BF2406"/>
    <w:rsid w:val="00C004E8"/>
    <w:rsid w:val="00C06E43"/>
    <w:rsid w:val="00C16315"/>
    <w:rsid w:val="00C3091E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339"/>
    <w:rsid w:val="00C74833"/>
    <w:rsid w:val="00C850A0"/>
    <w:rsid w:val="00C85A86"/>
    <w:rsid w:val="00C9523D"/>
    <w:rsid w:val="00C978F0"/>
    <w:rsid w:val="00CA58FE"/>
    <w:rsid w:val="00CB1CB1"/>
    <w:rsid w:val="00CB6BC1"/>
    <w:rsid w:val="00CB6CB8"/>
    <w:rsid w:val="00CC1A68"/>
    <w:rsid w:val="00CC2123"/>
    <w:rsid w:val="00CC4143"/>
    <w:rsid w:val="00CD2BFD"/>
    <w:rsid w:val="00CD7365"/>
    <w:rsid w:val="00CE3BF5"/>
    <w:rsid w:val="00CE4BBF"/>
    <w:rsid w:val="00CE5320"/>
    <w:rsid w:val="00CE5AD6"/>
    <w:rsid w:val="00CE617F"/>
    <w:rsid w:val="00CE78EF"/>
    <w:rsid w:val="00D048F7"/>
    <w:rsid w:val="00D0517E"/>
    <w:rsid w:val="00D063B5"/>
    <w:rsid w:val="00D140FC"/>
    <w:rsid w:val="00D21D8C"/>
    <w:rsid w:val="00D27C25"/>
    <w:rsid w:val="00D31357"/>
    <w:rsid w:val="00D33220"/>
    <w:rsid w:val="00D334D1"/>
    <w:rsid w:val="00D44C89"/>
    <w:rsid w:val="00D50300"/>
    <w:rsid w:val="00D516CD"/>
    <w:rsid w:val="00D668E6"/>
    <w:rsid w:val="00D67477"/>
    <w:rsid w:val="00D70670"/>
    <w:rsid w:val="00D73852"/>
    <w:rsid w:val="00D74D80"/>
    <w:rsid w:val="00D76624"/>
    <w:rsid w:val="00D82073"/>
    <w:rsid w:val="00D87570"/>
    <w:rsid w:val="00D91CB9"/>
    <w:rsid w:val="00D97989"/>
    <w:rsid w:val="00D97D8D"/>
    <w:rsid w:val="00DA352E"/>
    <w:rsid w:val="00DB722D"/>
    <w:rsid w:val="00DC7694"/>
    <w:rsid w:val="00DD1BF6"/>
    <w:rsid w:val="00DD2F9B"/>
    <w:rsid w:val="00DD484E"/>
    <w:rsid w:val="00DE2513"/>
    <w:rsid w:val="00DE26E8"/>
    <w:rsid w:val="00DF1B6E"/>
    <w:rsid w:val="00DF69DF"/>
    <w:rsid w:val="00DF6F36"/>
    <w:rsid w:val="00E0084C"/>
    <w:rsid w:val="00E025AB"/>
    <w:rsid w:val="00E02B23"/>
    <w:rsid w:val="00E06F40"/>
    <w:rsid w:val="00E07CE8"/>
    <w:rsid w:val="00E2697F"/>
    <w:rsid w:val="00E26A07"/>
    <w:rsid w:val="00E32595"/>
    <w:rsid w:val="00E37CFD"/>
    <w:rsid w:val="00E41A26"/>
    <w:rsid w:val="00E46BCB"/>
    <w:rsid w:val="00E51CAF"/>
    <w:rsid w:val="00E60F04"/>
    <w:rsid w:val="00E62AAC"/>
    <w:rsid w:val="00E673FA"/>
    <w:rsid w:val="00E67C2F"/>
    <w:rsid w:val="00E67E39"/>
    <w:rsid w:val="00E67EF5"/>
    <w:rsid w:val="00E804EA"/>
    <w:rsid w:val="00E80A71"/>
    <w:rsid w:val="00E82337"/>
    <w:rsid w:val="00E923C5"/>
    <w:rsid w:val="00E92499"/>
    <w:rsid w:val="00E949AF"/>
    <w:rsid w:val="00E95F9D"/>
    <w:rsid w:val="00E96077"/>
    <w:rsid w:val="00EA0A06"/>
    <w:rsid w:val="00EA451F"/>
    <w:rsid w:val="00EA6243"/>
    <w:rsid w:val="00EA74AB"/>
    <w:rsid w:val="00EB3D1B"/>
    <w:rsid w:val="00EC7FF1"/>
    <w:rsid w:val="00ED1D89"/>
    <w:rsid w:val="00ED66BC"/>
    <w:rsid w:val="00EE1702"/>
    <w:rsid w:val="00EE240B"/>
    <w:rsid w:val="00EF0677"/>
    <w:rsid w:val="00EF233A"/>
    <w:rsid w:val="00EF303E"/>
    <w:rsid w:val="00EF3A40"/>
    <w:rsid w:val="00EF7F78"/>
    <w:rsid w:val="00F01721"/>
    <w:rsid w:val="00F01B08"/>
    <w:rsid w:val="00F01C4D"/>
    <w:rsid w:val="00F038E8"/>
    <w:rsid w:val="00F052E4"/>
    <w:rsid w:val="00F053FA"/>
    <w:rsid w:val="00F10C97"/>
    <w:rsid w:val="00F11C71"/>
    <w:rsid w:val="00F11DDB"/>
    <w:rsid w:val="00F16019"/>
    <w:rsid w:val="00F20E68"/>
    <w:rsid w:val="00F22093"/>
    <w:rsid w:val="00F236DF"/>
    <w:rsid w:val="00F357AE"/>
    <w:rsid w:val="00F43AD5"/>
    <w:rsid w:val="00F4402E"/>
    <w:rsid w:val="00F56DD0"/>
    <w:rsid w:val="00F645FD"/>
    <w:rsid w:val="00F6491C"/>
    <w:rsid w:val="00F67BBB"/>
    <w:rsid w:val="00F71C32"/>
    <w:rsid w:val="00F73EE7"/>
    <w:rsid w:val="00F7750F"/>
    <w:rsid w:val="00F87D92"/>
    <w:rsid w:val="00F90AA7"/>
    <w:rsid w:val="00F92498"/>
    <w:rsid w:val="00F9496B"/>
    <w:rsid w:val="00F970C9"/>
    <w:rsid w:val="00FA06A8"/>
    <w:rsid w:val="00FA3DF5"/>
    <w:rsid w:val="00FA741F"/>
    <w:rsid w:val="00FB4E07"/>
    <w:rsid w:val="00FB755A"/>
    <w:rsid w:val="00FC60A2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9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0A381F"/>
    <w:pPr>
      <w:numPr>
        <w:numId w:val="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08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08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08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FFDE270CB50461B826B01949848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30F8-F751-45C7-BEFB-A7D3397CEB99}"/>
      </w:docPartPr>
      <w:docPartBody>
        <w:p w:rsidR="00D21A9F" w:rsidRDefault="00D21A9F">
          <w:pPr>
            <w:pStyle w:val="CFFDE270CB50461B826B0194984892C5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EA51C8540A4D4F0A9062F5B1698D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D35A6-51B4-4D9C-B1D2-B881B06F755D}"/>
      </w:docPartPr>
      <w:docPartBody>
        <w:p w:rsidR="00D21A9F" w:rsidRDefault="00D21A9F">
          <w:pPr>
            <w:pStyle w:val="EA51C8540A4D4F0A9062F5B1698DCBB0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5CBFEC560F894890BBD09B93174F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AA47-26C1-43F2-BE0B-3C03EF3669BD}"/>
      </w:docPartPr>
      <w:docPartBody>
        <w:p w:rsidR="00D21A9F" w:rsidRDefault="00D21A9F">
          <w:pPr>
            <w:pStyle w:val="5CBFEC560F894890BBD09B93174FFAE0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F0F11ED6411F43269C05ACA9EB42F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BE79-F88C-4D76-A725-C66311244423}"/>
      </w:docPartPr>
      <w:docPartBody>
        <w:p w:rsidR="005F73C9" w:rsidRDefault="004A4EA1" w:rsidP="004A4EA1">
          <w:pPr>
            <w:pStyle w:val="F0F11ED6411F43269C05ACA9EB42FCD2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01298A"/>
    <w:rsid w:val="002F2CBA"/>
    <w:rsid w:val="00364796"/>
    <w:rsid w:val="004472A6"/>
    <w:rsid w:val="004A4EA1"/>
    <w:rsid w:val="005D5477"/>
    <w:rsid w:val="005F73C9"/>
    <w:rsid w:val="0067716B"/>
    <w:rsid w:val="00882F83"/>
    <w:rsid w:val="008D1DFD"/>
    <w:rsid w:val="00A3796E"/>
    <w:rsid w:val="00A72229"/>
    <w:rsid w:val="00D21A9F"/>
    <w:rsid w:val="00EB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EA1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8B8C96BE1B4C4A0BAC19E538A5F52FA4">
    <w:name w:val="8B8C96BE1B4C4A0BAC19E538A5F52FA4"/>
    <w:rsid w:val="004472A6"/>
  </w:style>
  <w:style w:type="paragraph" w:customStyle="1" w:styleId="CA7BF117A5924B1DA2B8C7A0A499862A">
    <w:name w:val="CA7BF117A5924B1DA2B8C7A0A499862A"/>
    <w:rsid w:val="004472A6"/>
  </w:style>
  <w:style w:type="paragraph" w:customStyle="1" w:styleId="F00953C441F3074DBB2AAEC201EFFC53">
    <w:name w:val="F00953C441F3074DBB2AAEC201EFFC53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9C96A2A855621444A58392D44C791971">
    <w:name w:val="9C96A2A855621444A58392D44C791971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A9ADB0BF6674844DA7B9C8BA33070255">
    <w:name w:val="A9ADB0BF6674844DA7B9C8BA33070255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6D77BBBB490DE74BA5907ACF71C0298A">
    <w:name w:val="6D77BBBB490DE74BA5907ACF71C0298A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51FBC492B324D044ACD471E5F8DAA4BD">
    <w:name w:val="51FBC492B324D044ACD471E5F8DAA4BD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B68A0AFE9AE55E48915FD2CDA0DBFC86">
    <w:name w:val="B68A0AFE9AE55E48915FD2CDA0DBFC86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E083288356F6C847848250E39C3D438F">
    <w:name w:val="E083288356F6C847848250E39C3D438F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6068D91AEA328F459C2BF45D81A82E58">
    <w:name w:val="6068D91AEA328F459C2BF45D81A82E58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CF77BDE447D1154D979654E94951723E">
    <w:name w:val="CF77BDE447D1154D979654E94951723E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BB8451A5F85CDA4F939184027091486D">
    <w:name w:val="BB8451A5F85CDA4F939184027091486D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084AC1BCA035844B9C80D8E87EB88EAB">
    <w:name w:val="084AC1BCA035844B9C80D8E87EB88EAB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0752F8F2B1CFA0499FC0695F34B0C839">
    <w:name w:val="0752F8F2B1CFA0499FC0695F34B0C839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CA45B69CD063A34AA09B55A052D913D5">
    <w:name w:val="CA45B69CD063A34AA09B55A052D913D5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477EDCD78B5C444E823587A2C647FC0D">
    <w:name w:val="477EDCD78B5C444E823587A2C647FC0D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DD433F3A3516034288E1594B9748F684">
    <w:name w:val="DD433F3A3516034288E1594B9748F684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14254B2B5733954694DCAB7A4B743419">
    <w:name w:val="14254B2B5733954694DCAB7A4B743419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839A5B66C893874A978D1FCCCCD2C125">
    <w:name w:val="839A5B66C893874A978D1FCCCCD2C125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01A14C0D0ED68E4F83F54640041DEBAA">
    <w:name w:val="01A14C0D0ED68E4F83F54640041DEBAA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24A928271B7A4F4D9AD7153E7C6C841B">
    <w:name w:val="24A928271B7A4F4D9AD7153E7C6C841B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B9536D3B7840544791F176A10DCCEAAA">
    <w:name w:val="B9536D3B7840544791F176A10DCCEAAA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CF2B30E33F640A4CAA29723B1188A7F7">
    <w:name w:val="CF2B30E33F640A4CAA29723B1188A7F7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4E3C34BAFF9D6C488022542DD3EE87B4">
    <w:name w:val="4E3C34BAFF9D6C488022542DD3EE87B4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D08C6A0AF0FB8A4890F73F4332B62C36">
    <w:name w:val="D08C6A0AF0FB8A4890F73F4332B62C36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8581ED30BD119C478A773ECC6D22364C">
    <w:name w:val="8581ED30BD119C478A773ECC6D22364C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00258FD2DF68DE49A5AF4A249D057B8C">
    <w:name w:val="00258FD2DF68DE49A5AF4A249D057B8C"/>
    <w:rsid w:val="0067716B"/>
    <w:pPr>
      <w:spacing w:after="0" w:line="240" w:lineRule="auto"/>
    </w:pPr>
    <w:rPr>
      <w:sz w:val="24"/>
      <w:szCs w:val="24"/>
      <w:lang w:val="en-CA" w:eastAsia="en-US"/>
    </w:rPr>
  </w:style>
  <w:style w:type="paragraph" w:customStyle="1" w:styleId="F95CB990F5C84E0CA0538D12F42EA61D">
    <w:name w:val="F95CB990F5C84E0CA0538D12F42EA61D"/>
    <w:rsid w:val="00EB550F"/>
    <w:rPr>
      <w:lang w:val="en-CA" w:eastAsia="en-CA"/>
    </w:rPr>
  </w:style>
  <w:style w:type="paragraph" w:customStyle="1" w:styleId="2848291E0BD0497DA4D47BA11650B6E5">
    <w:name w:val="2848291E0BD0497DA4D47BA11650B6E5"/>
    <w:rsid w:val="00EB550F"/>
    <w:rPr>
      <w:lang w:val="en-CA" w:eastAsia="en-CA"/>
    </w:rPr>
  </w:style>
  <w:style w:type="paragraph" w:customStyle="1" w:styleId="BE031236926A4FFD95AF617FB9E76078">
    <w:name w:val="BE031236926A4FFD95AF617FB9E76078"/>
    <w:rsid w:val="00EB550F"/>
    <w:rPr>
      <w:lang w:val="en-CA" w:eastAsia="en-CA"/>
    </w:rPr>
  </w:style>
  <w:style w:type="paragraph" w:customStyle="1" w:styleId="5DDE6C5E7BCA4E49ACA50B68B747E444">
    <w:name w:val="5DDE6C5E7BCA4E49ACA50B68B747E444"/>
    <w:rsid w:val="00EB550F"/>
    <w:rPr>
      <w:lang w:val="en-CA" w:eastAsia="en-CA"/>
    </w:rPr>
  </w:style>
  <w:style w:type="paragraph" w:customStyle="1" w:styleId="E9A7D9FD0EC44D25B519DBACF14DE565">
    <w:name w:val="E9A7D9FD0EC44D25B519DBACF14DE565"/>
    <w:rsid w:val="00EB550F"/>
    <w:rPr>
      <w:lang w:val="en-CA" w:eastAsia="en-CA"/>
    </w:rPr>
  </w:style>
  <w:style w:type="paragraph" w:customStyle="1" w:styleId="6684F3D0CB6742DCAC04B5163672FF9F">
    <w:name w:val="6684F3D0CB6742DCAC04B5163672FF9F"/>
    <w:rsid w:val="00EB550F"/>
    <w:rPr>
      <w:lang w:val="en-CA" w:eastAsia="en-CA"/>
    </w:rPr>
  </w:style>
  <w:style w:type="paragraph" w:customStyle="1" w:styleId="A9E3C9F1DDEB4ED793D4C67F4517AF1D">
    <w:name w:val="A9E3C9F1DDEB4ED793D4C67F4517AF1D"/>
    <w:rsid w:val="00EB550F"/>
    <w:rPr>
      <w:lang w:val="en-CA" w:eastAsia="en-CA"/>
    </w:rPr>
  </w:style>
  <w:style w:type="paragraph" w:customStyle="1" w:styleId="DD9A06815A9B499A9984B7A3A8BE4053">
    <w:name w:val="DD9A06815A9B499A9984B7A3A8BE4053"/>
    <w:rsid w:val="00EB550F"/>
    <w:rPr>
      <w:lang w:val="en-CA" w:eastAsia="en-CA"/>
    </w:rPr>
  </w:style>
  <w:style w:type="paragraph" w:customStyle="1" w:styleId="07CC83C300AA4DF98A8F5A703EFB92A5">
    <w:name w:val="07CC83C300AA4DF98A8F5A703EFB92A5"/>
    <w:rsid w:val="00EB550F"/>
    <w:rPr>
      <w:lang w:val="en-CA" w:eastAsia="en-CA"/>
    </w:rPr>
  </w:style>
  <w:style w:type="paragraph" w:customStyle="1" w:styleId="8319C81033374A94AE16BB447DDFC82B">
    <w:name w:val="8319C81033374A94AE16BB447DDFC82B"/>
    <w:rsid w:val="00EB550F"/>
    <w:rPr>
      <w:lang w:val="en-CA" w:eastAsia="en-CA"/>
    </w:rPr>
  </w:style>
  <w:style w:type="paragraph" w:customStyle="1" w:styleId="6A9938FC4FB64C5D9011852C68A003E8">
    <w:name w:val="6A9938FC4FB64C5D9011852C68A003E8"/>
    <w:rsid w:val="00EB550F"/>
    <w:rPr>
      <w:lang w:val="en-CA" w:eastAsia="en-CA"/>
    </w:rPr>
  </w:style>
  <w:style w:type="paragraph" w:customStyle="1" w:styleId="227428AC7EC243ACBE12923C189E3A8E">
    <w:name w:val="227428AC7EC243ACBE12923C189E3A8E"/>
    <w:rsid w:val="00EB550F"/>
    <w:rPr>
      <w:lang w:val="en-CA" w:eastAsia="en-CA"/>
    </w:rPr>
  </w:style>
  <w:style w:type="paragraph" w:customStyle="1" w:styleId="2CBF83A65A9B44EDB14D2E0981F94C4A">
    <w:name w:val="2CBF83A65A9B44EDB14D2E0981F94C4A"/>
    <w:rsid w:val="00EB550F"/>
    <w:rPr>
      <w:lang w:val="en-CA" w:eastAsia="en-CA"/>
    </w:rPr>
  </w:style>
  <w:style w:type="paragraph" w:customStyle="1" w:styleId="4B2909B542904247AEA278AFB2971A30">
    <w:name w:val="4B2909B542904247AEA278AFB2971A30"/>
    <w:rsid w:val="00EB550F"/>
    <w:rPr>
      <w:lang w:val="en-CA" w:eastAsia="en-CA"/>
    </w:rPr>
  </w:style>
  <w:style w:type="paragraph" w:customStyle="1" w:styleId="47C36829FBB448ACAE67F59573390E75">
    <w:name w:val="47C36829FBB448ACAE67F59573390E75"/>
    <w:rsid w:val="00EB550F"/>
    <w:rPr>
      <w:lang w:val="en-CA" w:eastAsia="en-CA"/>
    </w:rPr>
  </w:style>
  <w:style w:type="paragraph" w:customStyle="1" w:styleId="992C01CCD0DE4D57A22DD2F2C87D8927">
    <w:name w:val="992C01CCD0DE4D57A22DD2F2C87D8927"/>
    <w:rsid w:val="00EB550F"/>
    <w:rPr>
      <w:lang w:val="en-CA" w:eastAsia="en-CA"/>
    </w:rPr>
  </w:style>
  <w:style w:type="paragraph" w:customStyle="1" w:styleId="C23DF958E33440109BFE69CCC38EBB0E">
    <w:name w:val="C23DF958E33440109BFE69CCC38EBB0E"/>
    <w:rsid w:val="00EB550F"/>
    <w:rPr>
      <w:lang w:val="en-CA" w:eastAsia="en-CA"/>
    </w:rPr>
  </w:style>
  <w:style w:type="paragraph" w:customStyle="1" w:styleId="4C6BDE852A544FDAAF4D32E22E282938">
    <w:name w:val="4C6BDE852A544FDAAF4D32E22E282938"/>
    <w:rsid w:val="00EB550F"/>
    <w:rPr>
      <w:lang w:val="en-CA" w:eastAsia="en-CA"/>
    </w:rPr>
  </w:style>
  <w:style w:type="paragraph" w:customStyle="1" w:styleId="E1339524A101421C9C6C37D5D56F8925">
    <w:name w:val="E1339524A101421C9C6C37D5D56F8925"/>
    <w:rsid w:val="00EB550F"/>
    <w:rPr>
      <w:lang w:val="en-CA" w:eastAsia="en-CA"/>
    </w:rPr>
  </w:style>
  <w:style w:type="paragraph" w:customStyle="1" w:styleId="39223C801B894281A385DB88EA0E4A8F">
    <w:name w:val="39223C801B894281A385DB88EA0E4A8F"/>
    <w:rsid w:val="00EB550F"/>
    <w:rPr>
      <w:lang w:val="en-CA" w:eastAsia="en-CA"/>
    </w:rPr>
  </w:style>
  <w:style w:type="paragraph" w:customStyle="1" w:styleId="F0F11ED6411F43269C05ACA9EB42FCD2">
    <w:name w:val="F0F11ED6411F43269C05ACA9EB42FCD2"/>
    <w:rsid w:val="004A4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6182-463C-4276-BA5A-929FBC3B9C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54d604-3e62-4e70-ba33-9e9084b96a6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58C29D-A82E-4ACC-8405-AA405B3C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66F5D-E5B0-4E75-94E8-4E9735606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99462-4AC9-44EE-85D2-83607E3F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2019-11-27T04:34:00Z</dcterms:created>
  <dcterms:modified xsi:type="dcterms:W3CDTF">2019-12-03T01:49:00Z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