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Arial" w:hAnsi="Arial" w:cs="Arial"/>
        </w:rPr>
        <w:alias w:val="NameofChemical"/>
        <w:tag w:val="NameofChemical"/>
        <w:id w:val="1425919599"/>
        <w:lock w:val="sdtLocked"/>
        <w:placeholder>
          <w:docPart w:val="CE1736E50B02464986D1BEC8B7ACDE96"/>
        </w:placeholder>
        <w:text/>
      </w:sdtPr>
      <w:sdtEndPr/>
      <w:sdtContent>
        <w:p w14:paraId="7110052E" w14:textId="72A84514" w:rsidR="00BD499F" w:rsidRPr="004C23F4" w:rsidRDefault="00C84783" w:rsidP="00B40C60">
          <w:pPr>
            <w:pStyle w:val="Heading1"/>
            <w:jc w:val="center"/>
            <w:rPr>
              <w:rFonts w:ascii="Arial" w:hAnsi="Arial" w:cs="Arial"/>
            </w:rPr>
          </w:pPr>
          <w:r w:rsidRPr="00C84783">
            <w:rPr>
              <w:rFonts w:ascii="Arial" w:hAnsi="Arial" w:cs="Arial"/>
            </w:rPr>
            <w:t>Epichlorohydrin</w:t>
          </w:r>
        </w:p>
      </w:sdtContent>
    </w:sdt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Table"/>
        <w:tblDescription w:val="Chemical description details form"/>
      </w:tblPr>
      <w:tblGrid>
        <w:gridCol w:w="3983"/>
        <w:gridCol w:w="5043"/>
      </w:tblGrid>
      <w:tr w:rsidR="00F43AD5" w:rsidRPr="004C23F4" w14:paraId="5C18F282" w14:textId="77777777" w:rsidTr="008167C0">
        <w:trPr>
          <w:cantSplit/>
          <w:tblHeader/>
        </w:trPr>
        <w:tc>
          <w:tcPr>
            <w:tcW w:w="3983" w:type="dxa"/>
          </w:tcPr>
          <w:p w14:paraId="0EA3AA27" w14:textId="77777777" w:rsidR="00F43AD5" w:rsidRPr="00921DE7" w:rsidRDefault="00CB1CB1" w:rsidP="00B76A41">
            <w:pPr>
              <w:pStyle w:val="Tablerowright"/>
            </w:pPr>
            <w:r w:rsidRPr="00921DE7">
              <w:t>CAS number:</w:t>
            </w:r>
          </w:p>
        </w:tc>
        <w:tc>
          <w:tcPr>
            <w:tcW w:w="5043" w:type="dxa"/>
          </w:tcPr>
          <w:p w14:paraId="37C35822" w14:textId="69E8C7AA" w:rsidR="00F43AD5" w:rsidRPr="00717D45" w:rsidRDefault="00C84783" w:rsidP="00B76A41">
            <w:pPr>
              <w:pStyle w:val="Tablefont"/>
            </w:pPr>
            <w:r w:rsidRPr="00C84783">
              <w:t>106-89-8</w:t>
            </w:r>
          </w:p>
        </w:tc>
      </w:tr>
      <w:tr w:rsidR="00F43AD5" w:rsidRPr="004C23F4" w14:paraId="5A19DD10" w14:textId="77777777" w:rsidTr="008167C0">
        <w:trPr>
          <w:cantSplit/>
        </w:trPr>
        <w:tc>
          <w:tcPr>
            <w:tcW w:w="3983" w:type="dxa"/>
          </w:tcPr>
          <w:p w14:paraId="441C3D1E" w14:textId="77777777" w:rsidR="00F43AD5" w:rsidRPr="00921DE7" w:rsidRDefault="00CB1CB1" w:rsidP="00B76A41">
            <w:pPr>
              <w:pStyle w:val="Tablerowright"/>
            </w:pPr>
            <w:r w:rsidRPr="00921DE7">
              <w:t>Synonyms:</w:t>
            </w:r>
          </w:p>
        </w:tc>
        <w:tc>
          <w:tcPr>
            <w:tcW w:w="5043" w:type="dxa"/>
          </w:tcPr>
          <w:p w14:paraId="0A618437" w14:textId="7021918F" w:rsidR="00F43AD5" w:rsidRPr="00717D45" w:rsidRDefault="00C84783" w:rsidP="00B76A41">
            <w:pPr>
              <w:pStyle w:val="Tablefont"/>
            </w:pPr>
            <w:r>
              <w:t>1-Chloro-2,3-epoxypropane, ECH</w:t>
            </w:r>
            <w:r w:rsidR="00A758AC">
              <w:t xml:space="preserve">, </w:t>
            </w:r>
            <w:proofErr w:type="spellStart"/>
            <w:r w:rsidR="00A758AC" w:rsidRPr="00A758AC">
              <w:t>Oxirane</w:t>
            </w:r>
            <w:proofErr w:type="spellEnd"/>
          </w:p>
        </w:tc>
      </w:tr>
      <w:tr w:rsidR="00F43AD5" w:rsidRPr="004C23F4" w14:paraId="7DFE082C" w14:textId="77777777" w:rsidTr="008167C0">
        <w:trPr>
          <w:cantSplit/>
        </w:trPr>
        <w:tc>
          <w:tcPr>
            <w:tcW w:w="3983" w:type="dxa"/>
          </w:tcPr>
          <w:p w14:paraId="2D4299A9" w14:textId="77777777" w:rsidR="00F43AD5" w:rsidRPr="00921DE7" w:rsidRDefault="00CB1CB1" w:rsidP="00B76A41">
            <w:pPr>
              <w:pStyle w:val="Tablerowright"/>
            </w:pPr>
            <w:r w:rsidRPr="00921DE7">
              <w:t>Chemical formula:</w:t>
            </w:r>
          </w:p>
        </w:tc>
        <w:tc>
          <w:tcPr>
            <w:tcW w:w="5043" w:type="dxa"/>
          </w:tcPr>
          <w:p w14:paraId="6F0DC2FB" w14:textId="697D6A30" w:rsidR="00F43AD5" w:rsidRPr="00717D45" w:rsidRDefault="00C84783" w:rsidP="00B76A41">
            <w:pPr>
              <w:pStyle w:val="Tablefont"/>
            </w:pPr>
            <w:r>
              <w:t>C</w:t>
            </w:r>
            <w:r w:rsidRPr="00C84783">
              <w:rPr>
                <w:vertAlign w:val="subscript"/>
              </w:rPr>
              <w:t>3</w:t>
            </w:r>
            <w:r>
              <w:t>H</w:t>
            </w:r>
            <w:r w:rsidRPr="00C84783">
              <w:rPr>
                <w:vertAlign w:val="subscript"/>
              </w:rPr>
              <w:t>5</w:t>
            </w:r>
            <w:r>
              <w:t>OCl</w:t>
            </w:r>
          </w:p>
        </w:tc>
      </w:tr>
    </w:tbl>
    <w:p w14:paraId="4AC9DD82" w14:textId="3E28C43E" w:rsidR="00AE2745" w:rsidRDefault="00AE2745" w:rsidP="00AE2745">
      <w:pPr>
        <w:pStyle w:val="WES"/>
        <w:tabs>
          <w:tab w:val="left" w:pos="2041"/>
        </w:tabs>
      </w:pPr>
      <w:r>
        <w:tab/>
      </w:r>
      <w:r w:rsidRPr="002C58FF">
        <w:t xml:space="preserve">Workplace </w:t>
      </w:r>
      <w:r>
        <w:t>exposure s</w:t>
      </w:r>
      <w:r w:rsidRPr="002C58FF">
        <w:t xml:space="preserve">tandard </w:t>
      </w:r>
      <w:sdt>
        <w:sdtPr>
          <w:rPr>
            <w:rStyle w:val="WESstatus"/>
          </w:rPr>
          <w:id w:val="-1336530191"/>
          <w:placeholder>
            <w:docPart w:val="E23B83A762C94EBA8097A4DA3FB4D503"/>
          </w:placeholder>
          <w:comboBox>
            <w:listItem w:displayText="(amended)" w:value="(amended)"/>
            <w:listItem w:displayText="(interim)" w:value="(interim)"/>
            <w:listItem w:displayText="(new)" w:value="(new)"/>
            <w:listItem w:displayText="(retained)" w:value="(retained)"/>
          </w:comboBox>
        </w:sdtPr>
        <w:sdtEndPr>
          <w:rPr>
            <w:rStyle w:val="WESstatus"/>
          </w:rPr>
        </w:sdtEndPr>
        <w:sdtContent>
          <w:r w:rsidR="003F2114">
            <w:rPr>
              <w:rStyle w:val="WESstatus"/>
            </w:rPr>
            <w:t>(amended)</w:t>
          </w:r>
        </w:sdtContent>
      </w:sdt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Table"/>
        <w:tblDescription w:val="Chemical description details form"/>
      </w:tblPr>
      <w:tblGrid>
        <w:gridCol w:w="4007"/>
        <w:gridCol w:w="5019"/>
      </w:tblGrid>
      <w:tr w:rsidR="002C7AFE" w:rsidRPr="004C23F4" w14:paraId="6877C90B" w14:textId="77777777" w:rsidTr="00FA4F62">
        <w:trPr>
          <w:cantSplit/>
          <w:tblHeader/>
        </w:trPr>
        <w:tc>
          <w:tcPr>
            <w:tcW w:w="4007" w:type="dxa"/>
            <w:vAlign w:val="center"/>
          </w:tcPr>
          <w:p w14:paraId="3D4391DA" w14:textId="77777777" w:rsidR="002C7AFE" w:rsidRPr="002C58FF" w:rsidRDefault="00921DE7" w:rsidP="00921DE7">
            <w:pPr>
              <w:pStyle w:val="Tablerowright"/>
            </w:pPr>
            <w:r>
              <w:t>TWA:</w:t>
            </w:r>
          </w:p>
        </w:tc>
        <w:tc>
          <w:tcPr>
            <w:tcW w:w="5019" w:type="dxa"/>
          </w:tcPr>
          <w:p w14:paraId="643F38ED" w14:textId="3F5CC46D" w:rsidR="002C7AFE" w:rsidRPr="00737811" w:rsidRDefault="00737811" w:rsidP="00017C82">
            <w:pPr>
              <w:pStyle w:val="Tablefont"/>
              <w:rPr>
                <w:b/>
              </w:rPr>
            </w:pPr>
            <w:r>
              <w:rPr>
                <w:b/>
              </w:rPr>
              <w:t>0.5 ppm (1.9 mg/m</w:t>
            </w:r>
            <w:r>
              <w:rPr>
                <w:b/>
                <w:vertAlign w:val="superscript"/>
              </w:rPr>
              <w:t>3</w:t>
            </w:r>
            <w:r>
              <w:rPr>
                <w:b/>
              </w:rPr>
              <w:t>)</w:t>
            </w:r>
          </w:p>
        </w:tc>
      </w:tr>
      <w:tr w:rsidR="002C7AFE" w:rsidRPr="004C23F4" w14:paraId="647B2CFE" w14:textId="77777777" w:rsidTr="00FA4F62">
        <w:trPr>
          <w:cantSplit/>
        </w:trPr>
        <w:tc>
          <w:tcPr>
            <w:tcW w:w="4007" w:type="dxa"/>
            <w:vAlign w:val="center"/>
          </w:tcPr>
          <w:p w14:paraId="566888E1" w14:textId="77777777" w:rsidR="002C7AFE" w:rsidRPr="002C58FF" w:rsidRDefault="002C7AFE" w:rsidP="00921DE7">
            <w:pPr>
              <w:pStyle w:val="Tablerowright"/>
            </w:pPr>
            <w:r w:rsidRPr="002C58FF">
              <w:t>STEL</w:t>
            </w:r>
            <w:r w:rsidR="00921DE7">
              <w:t>:</w:t>
            </w:r>
          </w:p>
        </w:tc>
        <w:tc>
          <w:tcPr>
            <w:tcW w:w="5019" w:type="dxa"/>
          </w:tcPr>
          <w:p w14:paraId="0358106F" w14:textId="69741B5B" w:rsidR="002C7AFE" w:rsidRPr="00EB3D1B" w:rsidRDefault="00FA4F62" w:rsidP="00017C82">
            <w:pPr>
              <w:pStyle w:val="Tablefont"/>
              <w:rPr>
                <w:b/>
              </w:rPr>
            </w:pPr>
            <w:r>
              <w:t>—</w:t>
            </w:r>
          </w:p>
        </w:tc>
      </w:tr>
      <w:tr w:rsidR="002C7AFE" w:rsidRPr="004C23F4" w14:paraId="02B23413" w14:textId="77777777" w:rsidTr="00FA4F62">
        <w:trPr>
          <w:cantSplit/>
        </w:trPr>
        <w:tc>
          <w:tcPr>
            <w:tcW w:w="4007" w:type="dxa"/>
            <w:vAlign w:val="center"/>
          </w:tcPr>
          <w:p w14:paraId="6479EEBA" w14:textId="77777777" w:rsidR="002C7AFE" w:rsidRPr="002C58FF" w:rsidRDefault="00921DE7" w:rsidP="00921DE7">
            <w:pPr>
              <w:pStyle w:val="Tablerowright"/>
            </w:pPr>
            <w:r>
              <w:t>Peak limitation:</w:t>
            </w:r>
          </w:p>
        </w:tc>
        <w:tc>
          <w:tcPr>
            <w:tcW w:w="5019" w:type="dxa"/>
          </w:tcPr>
          <w:p w14:paraId="34C84956" w14:textId="1F0B933E" w:rsidR="002C7AFE" w:rsidRPr="00EB3D1B" w:rsidRDefault="00FA4F62" w:rsidP="00017C82">
            <w:pPr>
              <w:pStyle w:val="Tablefont"/>
              <w:rPr>
                <w:b/>
              </w:rPr>
            </w:pPr>
            <w:r>
              <w:t>—</w:t>
            </w:r>
          </w:p>
        </w:tc>
      </w:tr>
      <w:tr w:rsidR="002C7AFE" w:rsidRPr="004C23F4" w14:paraId="31D96F16" w14:textId="77777777" w:rsidTr="00FA4F62">
        <w:trPr>
          <w:cantSplit/>
        </w:trPr>
        <w:tc>
          <w:tcPr>
            <w:tcW w:w="4007" w:type="dxa"/>
          </w:tcPr>
          <w:p w14:paraId="0984697D" w14:textId="77777777" w:rsidR="002C7AFE" w:rsidRPr="002C58FF" w:rsidRDefault="00A2073D" w:rsidP="003241A8">
            <w:pPr>
              <w:pStyle w:val="Tablerowright"/>
            </w:pPr>
            <w:r>
              <w:rPr>
                <w:b w:val="0"/>
                <w:bCs/>
                <w:color w:val="000000" w:themeColor="text1"/>
              </w:rPr>
              <w:tab/>
            </w:r>
            <w:r w:rsidR="00921DE7" w:rsidRPr="003241A8">
              <w:t>Notations</w:t>
            </w:r>
            <w:r w:rsidR="00921DE7">
              <w:t>:</w:t>
            </w:r>
          </w:p>
        </w:tc>
        <w:tc>
          <w:tcPr>
            <w:tcW w:w="5019" w:type="dxa"/>
          </w:tcPr>
          <w:p w14:paraId="37CF96D0" w14:textId="2E3B4A35" w:rsidR="002C7AFE" w:rsidRPr="00A71FC9" w:rsidRDefault="001350D3" w:rsidP="008A36CF">
            <w:pPr>
              <w:pStyle w:val="Tablefont"/>
              <w:rPr>
                <w:b/>
              </w:rPr>
            </w:pPr>
            <w:proofErr w:type="spellStart"/>
            <w:r w:rsidRPr="00A71FC9">
              <w:rPr>
                <w:b/>
              </w:rPr>
              <w:t>Carc</w:t>
            </w:r>
            <w:proofErr w:type="spellEnd"/>
            <w:r w:rsidRPr="00A71FC9">
              <w:rPr>
                <w:b/>
              </w:rPr>
              <w:t>. 1B, Sk</w:t>
            </w:r>
            <w:r w:rsidR="00A71FC9">
              <w:rPr>
                <w:b/>
              </w:rPr>
              <w:t>., DSEN</w:t>
            </w:r>
          </w:p>
        </w:tc>
      </w:tr>
      <w:tr w:rsidR="002C7AFE" w:rsidRPr="004C23F4" w14:paraId="686D6C13" w14:textId="77777777" w:rsidTr="00FA4F62">
        <w:trPr>
          <w:cantSplit/>
        </w:trPr>
        <w:tc>
          <w:tcPr>
            <w:tcW w:w="4007" w:type="dxa"/>
            <w:vAlign w:val="center"/>
          </w:tcPr>
          <w:p w14:paraId="7D877F1F" w14:textId="77777777" w:rsidR="00F10C97" w:rsidRPr="002C58FF" w:rsidRDefault="00921DE7" w:rsidP="009F04D2">
            <w:pPr>
              <w:pStyle w:val="Tablerowright"/>
            </w:pPr>
            <w:r>
              <w:t>IDLH:</w:t>
            </w:r>
          </w:p>
        </w:tc>
        <w:tc>
          <w:tcPr>
            <w:tcW w:w="5019" w:type="dxa"/>
          </w:tcPr>
          <w:p w14:paraId="5224CA30" w14:textId="53CE7D34" w:rsidR="002C7AFE" w:rsidRPr="00EB3D1B" w:rsidRDefault="001B19A0" w:rsidP="00017C82">
            <w:pPr>
              <w:pStyle w:val="Tablefont"/>
              <w:rPr>
                <w:b/>
              </w:rPr>
            </w:pPr>
            <w:r>
              <w:t xml:space="preserve">75 ppm </w:t>
            </w:r>
          </w:p>
        </w:tc>
      </w:tr>
      <w:tr w:rsidR="00FA4F62" w:rsidRPr="004C23F4" w14:paraId="0E6FD2BF" w14:textId="77777777" w:rsidTr="00B41D64">
        <w:trPr>
          <w:cantSplit/>
        </w:trPr>
        <w:tc>
          <w:tcPr>
            <w:tcW w:w="9026" w:type="dxa"/>
            <w:gridSpan w:val="2"/>
            <w:vAlign w:val="center"/>
          </w:tcPr>
          <w:p w14:paraId="23FF265F" w14:textId="4CA3832B" w:rsidR="00FA4F62" w:rsidRPr="00EB3D1B" w:rsidRDefault="00FA4F62" w:rsidP="00017C82">
            <w:pPr>
              <w:pStyle w:val="Tablefont"/>
              <w:rPr>
                <w:b/>
              </w:rPr>
            </w:pPr>
            <w:r w:rsidRPr="007535D7">
              <w:rPr>
                <w:b/>
              </w:rPr>
              <w:t>Sampling and analysis:</w:t>
            </w:r>
            <w:r w:rsidRPr="00EC521E">
              <w:rPr>
                <w:rStyle w:val="WESstatus"/>
                <w:color w:val="auto"/>
              </w:rPr>
              <w:t xml:space="preserve"> </w:t>
            </w:r>
            <w:sdt>
              <w:sdtPr>
                <w:rPr>
                  <w:rStyle w:val="WESstatus"/>
                  <w:color w:val="auto"/>
                </w:rPr>
                <w:id w:val="-2105258949"/>
                <w:placeholder>
                  <w:docPart w:val="07EDA452BFFD4005BB60904945B87452"/>
                </w:placeholder>
                <w:comboBox>
                  <w:listItem w:displayText="(Click here to enter)" w:value="(Click here to enter)"/>
                  <w:listItem w:displayText="The recommended value is likely to be below the current limit of detection for standard sampling and analysis techniques." w:value="The recommended value is likely to be below the current limit of detection for standard sampling and analysis techniques."/>
                  <w:listItem w:displayText="The recommended value is quantifiable through available sampling and analysis techniques. " w:value="The recommended value is quantifiable through available sampling and analysis techniques. "/>
                  <w:listItem w:displayText="There is uncertainty regarding quantification of the recommended value with available sampling and/or analysis techniques." w:value="There is uncertainty regarding quantification of the recommended value with available sampling and/or analysis techniques."/>
                </w:comboBox>
              </w:sdtPr>
              <w:sdtEndPr>
                <w:rPr>
                  <w:rStyle w:val="WESstatus"/>
                </w:rPr>
              </w:sdtEndPr>
              <w:sdtContent>
                <w:r w:rsidR="00D432BF" w:rsidRPr="007535D7">
                  <w:rPr>
                    <w:rStyle w:val="WESstatus"/>
                    <w:color w:val="auto"/>
                  </w:rPr>
                  <w:t>The recommended value is likely to be below the current limit of detection for standard sampling and analysis techniques.</w:t>
                </w:r>
              </w:sdtContent>
            </w:sdt>
          </w:p>
        </w:tc>
      </w:tr>
    </w:tbl>
    <w:p w14:paraId="72F4A0C2" w14:textId="77777777" w:rsidR="00CB1CB1" w:rsidRPr="003365A5" w:rsidRDefault="00F10C97" w:rsidP="003365A5">
      <w:pPr>
        <w:pStyle w:val="Heading2"/>
      </w:pPr>
      <w:r>
        <w:t>Recommendation and basis for workplace exposure standard</w:t>
      </w:r>
    </w:p>
    <w:p w14:paraId="0BBFAB8D" w14:textId="71B49A29" w:rsidR="00E6177F" w:rsidRDefault="00E6177F" w:rsidP="000C139A">
      <w:r w:rsidRPr="00E6177F">
        <w:rPr>
          <w:rFonts w:cs="Arial"/>
        </w:rPr>
        <w:t xml:space="preserve">A TWA of </w:t>
      </w:r>
      <w:r w:rsidR="00737811">
        <w:rPr>
          <w:rFonts w:cs="Arial"/>
        </w:rPr>
        <w:t>0.5 ppm (1.9 mg/m</w:t>
      </w:r>
      <w:r w:rsidR="00737811">
        <w:rPr>
          <w:rFonts w:cs="Arial"/>
          <w:vertAlign w:val="superscript"/>
        </w:rPr>
        <w:t>3</w:t>
      </w:r>
      <w:r w:rsidR="00737811">
        <w:rPr>
          <w:rFonts w:cs="Arial"/>
        </w:rPr>
        <w:t>)</w:t>
      </w:r>
      <w:r w:rsidR="00114A8F">
        <w:rPr>
          <w:rFonts w:cs="Arial"/>
        </w:rPr>
        <w:t xml:space="preserve"> </w:t>
      </w:r>
      <w:proofErr w:type="gramStart"/>
      <w:r w:rsidRPr="00E6177F">
        <w:rPr>
          <w:rFonts w:cs="Arial"/>
        </w:rPr>
        <w:t xml:space="preserve">is </w:t>
      </w:r>
      <w:r w:rsidR="00D432BF">
        <w:rPr>
          <w:rFonts w:cs="Arial"/>
        </w:rPr>
        <w:t>recommended</w:t>
      </w:r>
      <w:proofErr w:type="gramEnd"/>
      <w:r w:rsidRPr="00E6177F">
        <w:rPr>
          <w:rFonts w:cs="Arial"/>
        </w:rPr>
        <w:t xml:space="preserve"> </w:t>
      </w:r>
      <w:r w:rsidR="00737811">
        <w:rPr>
          <w:rFonts w:cs="Arial"/>
        </w:rPr>
        <w:t xml:space="preserve">to protect for </w:t>
      </w:r>
      <w:r w:rsidR="00737811">
        <w:t xml:space="preserve">reproductive effects and nasal irritation and </w:t>
      </w:r>
      <w:r w:rsidRPr="00E6177F">
        <w:rPr>
          <w:rFonts w:cs="Arial"/>
        </w:rPr>
        <w:t xml:space="preserve">in exposed workers. </w:t>
      </w:r>
      <w:r w:rsidR="002F5B0A">
        <w:rPr>
          <w:rFonts w:cs="Arial"/>
        </w:rPr>
        <w:t xml:space="preserve">This TWA </w:t>
      </w:r>
      <w:proofErr w:type="gramStart"/>
      <w:r w:rsidR="002F5B0A">
        <w:rPr>
          <w:rFonts w:cs="Arial"/>
        </w:rPr>
        <w:t>is also considered</w:t>
      </w:r>
      <w:proofErr w:type="gramEnd"/>
      <w:r w:rsidR="002F5B0A">
        <w:rPr>
          <w:rFonts w:cs="Arial"/>
        </w:rPr>
        <w:t xml:space="preserve"> to </w:t>
      </w:r>
      <w:r w:rsidR="001F1BBB">
        <w:rPr>
          <w:rFonts w:cs="Arial"/>
        </w:rPr>
        <w:t>minimise</w:t>
      </w:r>
      <w:r w:rsidR="002F5B0A">
        <w:rPr>
          <w:rFonts w:cs="Arial"/>
        </w:rPr>
        <w:t xml:space="preserve"> </w:t>
      </w:r>
      <w:r w:rsidR="002F5B0A">
        <w:t xml:space="preserve">the </w:t>
      </w:r>
      <w:r w:rsidR="001F1BBB">
        <w:t>potential for</w:t>
      </w:r>
      <w:r w:rsidR="002F5B0A">
        <w:t xml:space="preserve"> respiratory tract cancer</w:t>
      </w:r>
      <w:r w:rsidR="00E069DB">
        <w:t xml:space="preserve"> </w:t>
      </w:r>
      <w:r w:rsidR="004272C5">
        <w:t xml:space="preserve">as </w:t>
      </w:r>
      <w:r w:rsidR="00234736">
        <w:t>reported</w:t>
      </w:r>
      <w:r w:rsidR="00234736" w:rsidDel="00234736">
        <w:t xml:space="preserve"> </w:t>
      </w:r>
      <w:r w:rsidR="00E069DB">
        <w:t>in animals</w:t>
      </w:r>
      <w:r w:rsidR="002F5B0A">
        <w:t>.</w:t>
      </w:r>
    </w:p>
    <w:p w14:paraId="6AB27093" w14:textId="77777777" w:rsidR="004272C5" w:rsidRDefault="004272C5" w:rsidP="008167C0">
      <w:r w:rsidRPr="004272C5">
        <w:t xml:space="preserve">Given the limited data available from the primary sources, it </w:t>
      </w:r>
      <w:proofErr w:type="gramStart"/>
      <w:r w:rsidRPr="004272C5">
        <w:t>is recommended</w:t>
      </w:r>
      <w:proofErr w:type="gramEnd"/>
      <w:r w:rsidRPr="004272C5">
        <w:t xml:space="preserve"> that a review of additional sources be conducted at the next scheduled review.</w:t>
      </w:r>
    </w:p>
    <w:p w14:paraId="6FE361DB" w14:textId="77777777" w:rsidR="00C7155E" w:rsidRPr="004C23F4" w:rsidRDefault="00F10C97" w:rsidP="003365A5">
      <w:pPr>
        <w:pStyle w:val="Heading2"/>
      </w:pPr>
      <w:r>
        <w:t>Discussion and conclusions</w:t>
      </w:r>
    </w:p>
    <w:p w14:paraId="67A17ED1" w14:textId="4A66B2D0" w:rsidR="00F45499" w:rsidRDefault="00C26DC4" w:rsidP="00C26DC4">
      <w:pPr>
        <w:rPr>
          <w:rFonts w:cs="Arial"/>
        </w:rPr>
      </w:pPr>
      <w:proofErr w:type="spellStart"/>
      <w:r w:rsidRPr="00C26DC4">
        <w:rPr>
          <w:rFonts w:cs="Arial"/>
        </w:rPr>
        <w:t>Epichlorohydrin</w:t>
      </w:r>
      <w:proofErr w:type="spellEnd"/>
      <w:r w:rsidRPr="00C26DC4">
        <w:rPr>
          <w:rFonts w:cs="Arial"/>
        </w:rPr>
        <w:t xml:space="preserve"> </w:t>
      </w:r>
      <w:proofErr w:type="gramStart"/>
      <w:r w:rsidRPr="00C26DC4">
        <w:rPr>
          <w:rFonts w:cs="Arial"/>
        </w:rPr>
        <w:t>is used</w:t>
      </w:r>
      <w:proofErr w:type="gramEnd"/>
      <w:r w:rsidRPr="00C26DC4">
        <w:rPr>
          <w:rFonts w:cs="Arial"/>
        </w:rPr>
        <w:t xml:space="preserve"> as a raw material for the manufacture of epoxy resins. </w:t>
      </w:r>
      <w:r w:rsidR="004272C5">
        <w:rPr>
          <w:rFonts w:cs="Arial"/>
        </w:rPr>
        <w:t>It is u</w:t>
      </w:r>
      <w:r w:rsidRPr="00C26DC4">
        <w:rPr>
          <w:rFonts w:cs="Arial"/>
        </w:rPr>
        <w:t xml:space="preserve">sed in various industrial applications (insecticides, adhesives, resins, solvents and </w:t>
      </w:r>
      <w:proofErr w:type="spellStart"/>
      <w:r w:rsidRPr="00C26DC4">
        <w:rPr>
          <w:rFonts w:cs="Arial"/>
        </w:rPr>
        <w:t>glycidyl</w:t>
      </w:r>
      <w:proofErr w:type="spellEnd"/>
      <w:r w:rsidRPr="00C26DC4">
        <w:rPr>
          <w:rFonts w:cs="Arial"/>
        </w:rPr>
        <w:t xml:space="preserve"> esters), glycerol production and in the manufacturing process for pharmaceuticals.</w:t>
      </w:r>
      <w:r w:rsidR="007535D7">
        <w:rPr>
          <w:rFonts w:cs="Arial"/>
        </w:rPr>
        <w:t xml:space="preserve"> </w:t>
      </w:r>
    </w:p>
    <w:p w14:paraId="24B8FD9E" w14:textId="77C1EF1F" w:rsidR="00EF7129" w:rsidRDefault="007535D7" w:rsidP="00E069DB">
      <w:r>
        <w:rPr>
          <w:rFonts w:cs="Arial"/>
        </w:rPr>
        <w:t xml:space="preserve">The </w:t>
      </w:r>
      <w:r w:rsidR="00EA71A7">
        <w:rPr>
          <w:rFonts w:cs="Arial"/>
        </w:rPr>
        <w:t>critical</w:t>
      </w:r>
      <w:r w:rsidR="00320E0A">
        <w:rPr>
          <w:rFonts w:cs="Arial"/>
        </w:rPr>
        <w:t xml:space="preserve"> </w:t>
      </w:r>
      <w:r>
        <w:rPr>
          <w:rFonts w:cs="Arial"/>
        </w:rPr>
        <w:t xml:space="preserve">effects </w:t>
      </w:r>
      <w:r w:rsidR="004272C5">
        <w:rPr>
          <w:rFonts w:cs="Arial"/>
        </w:rPr>
        <w:t xml:space="preserve">of exposure </w:t>
      </w:r>
      <w:r>
        <w:rPr>
          <w:rFonts w:cs="Arial"/>
        </w:rPr>
        <w:t xml:space="preserve">include </w:t>
      </w:r>
      <w:r>
        <w:t>reproductive effects</w:t>
      </w:r>
      <w:r w:rsidR="00EF7129">
        <w:t xml:space="preserve"> and nasal</w:t>
      </w:r>
      <w:r>
        <w:t xml:space="preserve"> </w:t>
      </w:r>
      <w:r w:rsidR="00EF7129">
        <w:t>irritation. Evidence</w:t>
      </w:r>
      <w:r w:rsidR="00265A98">
        <w:t xml:space="preserve"> in animal studies </w:t>
      </w:r>
      <w:r w:rsidR="00790065">
        <w:t xml:space="preserve">suggest that </w:t>
      </w:r>
      <w:proofErr w:type="spellStart"/>
      <w:r w:rsidR="00265A98">
        <w:t>epichlorohydrin</w:t>
      </w:r>
      <w:proofErr w:type="spellEnd"/>
      <w:r w:rsidR="00265A98">
        <w:t xml:space="preserve"> is a carcinogen manifest</w:t>
      </w:r>
      <w:r w:rsidR="00790065">
        <w:t>ing predominantly</w:t>
      </w:r>
      <w:r w:rsidR="00265A98">
        <w:t xml:space="preserve"> in respiratory tract tissues after inhalation</w:t>
      </w:r>
      <w:r w:rsidR="00790065">
        <w:t xml:space="preserve">. However, </w:t>
      </w:r>
      <w:r w:rsidR="00E069DB">
        <w:t xml:space="preserve">human epidemiology studies </w:t>
      </w:r>
      <w:r w:rsidR="00EF7129">
        <w:t>indicate</w:t>
      </w:r>
      <w:r w:rsidR="00E069DB">
        <w:t xml:space="preserve"> that it is not likely to cause cancer in humans except under rare exposure conditions</w:t>
      </w:r>
      <w:r w:rsidR="00E069DB" w:rsidDel="00E069DB">
        <w:t xml:space="preserve"> </w:t>
      </w:r>
      <w:r w:rsidR="00790065">
        <w:t xml:space="preserve">(ACGIH, 2018; DFG, 2015; US EPA, 2015). </w:t>
      </w:r>
    </w:p>
    <w:p w14:paraId="51DE3A32" w14:textId="1FA0E7F4" w:rsidR="00737811" w:rsidRPr="00E069DB" w:rsidRDefault="00790065" w:rsidP="00E069DB">
      <w:r>
        <w:t>A NOAE</w:t>
      </w:r>
      <w:r w:rsidR="004272C5">
        <w:t>C</w:t>
      </w:r>
      <w:r>
        <w:t xml:space="preserve"> of 5 ppm based on decrease</w:t>
      </w:r>
      <w:r w:rsidR="000A0CC0">
        <w:t>d</w:t>
      </w:r>
      <w:r>
        <w:t xml:space="preserve"> male fertility was </w:t>
      </w:r>
      <w:r w:rsidR="00E069DB">
        <w:t xml:space="preserve">reported </w:t>
      </w:r>
      <w:r>
        <w:t xml:space="preserve">in a </w:t>
      </w:r>
      <w:proofErr w:type="gramStart"/>
      <w:r>
        <w:t>10</w:t>
      </w:r>
      <w:r w:rsidR="004272C5">
        <w:t xml:space="preserve"> </w:t>
      </w:r>
      <w:r>
        <w:t>week</w:t>
      </w:r>
      <w:proofErr w:type="gramEnd"/>
      <w:r>
        <w:t xml:space="preserve"> study</w:t>
      </w:r>
      <w:r w:rsidR="00737811">
        <w:t xml:space="preserve"> in rats. A NOE</w:t>
      </w:r>
      <w:r w:rsidR="004272C5">
        <w:t>C</w:t>
      </w:r>
      <w:r w:rsidR="00737811">
        <w:t xml:space="preserve"> of 9 ppm in rabbits and rats for nasal irritation, lethargy and reduced body weights </w:t>
      </w:r>
      <w:proofErr w:type="gramStart"/>
      <w:r w:rsidR="004272C5">
        <w:t>i</w:t>
      </w:r>
      <w:r w:rsidR="00737811">
        <w:t>s also</w:t>
      </w:r>
      <w:proofErr w:type="gramEnd"/>
      <w:r w:rsidR="00737811">
        <w:t xml:space="preserve"> reported</w:t>
      </w:r>
      <w:r>
        <w:t xml:space="preserve"> (ACGIH, 2018)</w:t>
      </w:r>
      <w:r w:rsidR="00737811">
        <w:t xml:space="preserve">. </w:t>
      </w:r>
      <w:r w:rsidR="00737811" w:rsidRPr="00A758AC">
        <w:rPr>
          <w:rStyle w:val="checkbox"/>
          <w:rFonts w:ascii="Arial" w:hAnsi="Arial" w:cs="Arial"/>
        </w:rPr>
        <w:t xml:space="preserve">Reproductive effects in humans </w:t>
      </w:r>
      <w:proofErr w:type="gramStart"/>
      <w:r w:rsidR="00737811" w:rsidRPr="00A758AC">
        <w:rPr>
          <w:rStyle w:val="checkbox"/>
          <w:rFonts w:ascii="Arial" w:hAnsi="Arial" w:cs="Arial"/>
        </w:rPr>
        <w:t>have not been established</w:t>
      </w:r>
      <w:proofErr w:type="gramEnd"/>
      <w:r w:rsidR="00737811" w:rsidRPr="00A758AC">
        <w:rPr>
          <w:rStyle w:val="checkbox"/>
          <w:rFonts w:ascii="Arial" w:hAnsi="Arial" w:cs="Arial"/>
        </w:rPr>
        <w:t xml:space="preserve"> </w:t>
      </w:r>
      <w:r w:rsidR="00737811">
        <w:rPr>
          <w:rStyle w:val="checkbox"/>
          <w:rFonts w:ascii="Arial" w:hAnsi="Arial" w:cs="Arial"/>
        </w:rPr>
        <w:t>in worker studies (NICNAS, 2013)</w:t>
      </w:r>
      <w:r w:rsidR="000A0CC0">
        <w:rPr>
          <w:rStyle w:val="checkbox"/>
          <w:rFonts w:ascii="Arial" w:hAnsi="Arial" w:cs="Arial"/>
        </w:rPr>
        <w:t xml:space="preserve">. </w:t>
      </w:r>
    </w:p>
    <w:p w14:paraId="2C7827C4" w14:textId="71B325B9" w:rsidR="00737811" w:rsidRPr="00C26DC4" w:rsidRDefault="00737811" w:rsidP="00C26DC4">
      <w:pPr>
        <w:rPr>
          <w:rFonts w:cs="Arial"/>
        </w:rPr>
      </w:pPr>
      <w:r w:rsidRPr="00737811">
        <w:rPr>
          <w:rFonts w:cs="Arial"/>
        </w:rPr>
        <w:t xml:space="preserve">A TWA of </w:t>
      </w:r>
      <w:r>
        <w:rPr>
          <w:rFonts w:cs="Arial"/>
        </w:rPr>
        <w:t>0.5 ppm</w:t>
      </w:r>
      <w:r w:rsidRPr="00737811">
        <w:rPr>
          <w:rFonts w:cs="Arial"/>
        </w:rPr>
        <w:t xml:space="preserve"> </w:t>
      </w:r>
      <w:proofErr w:type="gramStart"/>
      <w:r w:rsidRPr="00737811">
        <w:rPr>
          <w:rFonts w:cs="Arial"/>
        </w:rPr>
        <w:t>is recommended</w:t>
      </w:r>
      <w:proofErr w:type="gramEnd"/>
      <w:r w:rsidRPr="00737811">
        <w:rPr>
          <w:rFonts w:cs="Arial"/>
        </w:rPr>
        <w:t xml:space="preserve"> as assigned by ACGIH (2018)</w:t>
      </w:r>
      <w:r w:rsidR="001C654B">
        <w:rPr>
          <w:rFonts w:cs="Arial"/>
        </w:rPr>
        <w:t xml:space="preserve"> </w:t>
      </w:r>
      <w:r w:rsidR="001C654B">
        <w:rPr>
          <w:rStyle w:val="checkbox"/>
          <w:rFonts w:ascii="Arial" w:hAnsi="Arial" w:cs="Arial"/>
        </w:rPr>
        <w:t>based on the NOAE</w:t>
      </w:r>
      <w:r w:rsidR="004272C5">
        <w:rPr>
          <w:rStyle w:val="checkbox"/>
          <w:rFonts w:ascii="Arial" w:hAnsi="Arial" w:cs="Arial"/>
        </w:rPr>
        <w:t>C</w:t>
      </w:r>
      <w:r w:rsidR="001C654B">
        <w:rPr>
          <w:rStyle w:val="checkbox"/>
          <w:rFonts w:ascii="Arial" w:hAnsi="Arial" w:cs="Arial"/>
        </w:rPr>
        <w:t xml:space="preserve"> of </w:t>
      </w:r>
      <w:r w:rsidR="001C654B" w:rsidRPr="000A0CC0">
        <w:rPr>
          <w:rStyle w:val="checkbox"/>
          <w:rFonts w:ascii="Arial" w:hAnsi="Arial" w:cs="Arial"/>
        </w:rPr>
        <w:t>5</w:t>
      </w:r>
      <w:r w:rsidR="001C654B">
        <w:rPr>
          <w:rStyle w:val="checkbox"/>
          <w:rFonts w:ascii="Arial" w:hAnsi="Arial" w:cs="Arial"/>
        </w:rPr>
        <w:t> </w:t>
      </w:r>
      <w:r w:rsidR="001C654B" w:rsidRPr="000A0CC0">
        <w:rPr>
          <w:rStyle w:val="checkbox"/>
          <w:rFonts w:ascii="Arial" w:hAnsi="Arial" w:cs="Arial"/>
        </w:rPr>
        <w:t>ppm</w:t>
      </w:r>
      <w:r w:rsidR="001C654B">
        <w:rPr>
          <w:rStyle w:val="checkbox"/>
          <w:rFonts w:ascii="Arial" w:hAnsi="Arial" w:cs="Arial"/>
        </w:rPr>
        <w:t xml:space="preserve"> and NOE</w:t>
      </w:r>
      <w:r w:rsidR="004272C5">
        <w:rPr>
          <w:rStyle w:val="checkbox"/>
          <w:rFonts w:ascii="Arial" w:hAnsi="Arial" w:cs="Arial"/>
        </w:rPr>
        <w:t>C</w:t>
      </w:r>
      <w:r w:rsidR="001C654B">
        <w:rPr>
          <w:rStyle w:val="checkbox"/>
          <w:rFonts w:ascii="Arial" w:hAnsi="Arial" w:cs="Arial"/>
        </w:rPr>
        <w:t xml:space="preserve"> of 9 ppm. </w:t>
      </w:r>
      <w:r w:rsidRPr="00737811">
        <w:rPr>
          <w:rFonts w:cs="Arial"/>
        </w:rPr>
        <w:t xml:space="preserve">This TWA </w:t>
      </w:r>
      <w:proofErr w:type="gramStart"/>
      <w:r w:rsidRPr="00737811">
        <w:rPr>
          <w:rFonts w:cs="Arial"/>
        </w:rPr>
        <w:t>is expected</w:t>
      </w:r>
      <w:proofErr w:type="gramEnd"/>
      <w:r w:rsidRPr="00737811">
        <w:rPr>
          <w:rFonts w:cs="Arial"/>
        </w:rPr>
        <w:t xml:space="preserve"> to be protective of </w:t>
      </w:r>
      <w:r>
        <w:rPr>
          <w:rFonts w:cs="Arial"/>
        </w:rPr>
        <w:t>reproductive effects</w:t>
      </w:r>
      <w:r w:rsidR="00EF7129">
        <w:rPr>
          <w:rFonts w:cs="Arial"/>
        </w:rPr>
        <w:t xml:space="preserve"> and</w:t>
      </w:r>
      <w:r>
        <w:rPr>
          <w:rFonts w:cs="Arial"/>
        </w:rPr>
        <w:t xml:space="preserve"> nasal irritation</w:t>
      </w:r>
      <w:r w:rsidR="00370D14">
        <w:rPr>
          <w:rFonts w:cs="Arial"/>
        </w:rPr>
        <w:t xml:space="preserve">. </w:t>
      </w:r>
      <w:r w:rsidR="00EF7129">
        <w:rPr>
          <w:rFonts w:cs="Arial"/>
        </w:rPr>
        <w:t xml:space="preserve">A priority evaluation of the available data </w:t>
      </w:r>
      <w:proofErr w:type="gramStart"/>
      <w:r w:rsidR="00EF7129">
        <w:rPr>
          <w:rFonts w:cs="Arial"/>
        </w:rPr>
        <w:t>is recommended</w:t>
      </w:r>
      <w:proofErr w:type="gramEnd"/>
      <w:r w:rsidR="00EF7129">
        <w:rPr>
          <w:rFonts w:cs="Arial"/>
        </w:rPr>
        <w:t xml:space="preserve"> to better understand the carcinogenic potential</w:t>
      </w:r>
      <w:r w:rsidR="00364408">
        <w:rPr>
          <w:rFonts w:cs="Arial"/>
        </w:rPr>
        <w:t>.</w:t>
      </w:r>
    </w:p>
    <w:p w14:paraId="5C7DDD3E" w14:textId="77777777" w:rsidR="004529F0" w:rsidRPr="004C23F4" w:rsidRDefault="004529F0" w:rsidP="004529F0">
      <w:pPr>
        <w:pStyle w:val="Heading2"/>
      </w:pPr>
      <w:r>
        <w:lastRenderedPageBreak/>
        <w:t>Recommendation for notations</w:t>
      </w:r>
    </w:p>
    <w:p w14:paraId="32528849" w14:textId="45CC5F0F" w:rsidR="00C84783" w:rsidRPr="00A70823" w:rsidRDefault="001350D3" w:rsidP="00C84783">
      <w:pPr>
        <w:rPr>
          <w:rFonts w:cs="Arial"/>
        </w:rPr>
      </w:pPr>
      <w:r w:rsidRPr="001350D3">
        <w:rPr>
          <w:rFonts w:cs="Arial"/>
        </w:rPr>
        <w:t xml:space="preserve">Classified as a category </w:t>
      </w:r>
      <w:r>
        <w:rPr>
          <w:rFonts w:cs="Arial"/>
        </w:rPr>
        <w:t>1B</w:t>
      </w:r>
      <w:r w:rsidRPr="001350D3">
        <w:rPr>
          <w:rFonts w:cs="Arial"/>
        </w:rPr>
        <w:t xml:space="preserve"> carcinogen according to the Globally Harmonized System of Classification and Labelling of Chemicals (GHS). </w:t>
      </w:r>
    </w:p>
    <w:p w14:paraId="234328D8" w14:textId="5253C1A4" w:rsidR="00C84783" w:rsidRPr="00A70823" w:rsidRDefault="00D432BF" w:rsidP="00C84783">
      <w:pPr>
        <w:rPr>
          <w:rFonts w:cs="Arial"/>
        </w:rPr>
      </w:pPr>
      <w:r>
        <w:rPr>
          <w:rFonts w:cs="Arial"/>
        </w:rPr>
        <w:t>C</w:t>
      </w:r>
      <w:r w:rsidR="00C84783" w:rsidRPr="00A70823">
        <w:rPr>
          <w:rFonts w:cs="Arial"/>
        </w:rPr>
        <w:t>lassif</w:t>
      </w:r>
      <w:r w:rsidR="00A71FC9">
        <w:rPr>
          <w:rFonts w:cs="Arial"/>
        </w:rPr>
        <w:t>ied</w:t>
      </w:r>
      <w:r w:rsidR="00C84783" w:rsidRPr="00A70823">
        <w:rPr>
          <w:rFonts w:cs="Arial"/>
        </w:rPr>
        <w:t xml:space="preserve"> as a skin </w:t>
      </w:r>
      <w:r w:rsidR="00114A8F">
        <w:rPr>
          <w:rFonts w:cs="Arial"/>
        </w:rPr>
        <w:t xml:space="preserve">sensitiser </w:t>
      </w:r>
      <w:r w:rsidR="00F45499">
        <w:rPr>
          <w:rFonts w:cs="Arial"/>
        </w:rPr>
        <w:t>and</w:t>
      </w:r>
      <w:r w:rsidR="00114A8F">
        <w:rPr>
          <w:rFonts w:cs="Arial"/>
        </w:rPr>
        <w:t xml:space="preserve"> not a</w:t>
      </w:r>
      <w:r w:rsidR="00C84783" w:rsidRPr="00A70823">
        <w:rPr>
          <w:rFonts w:cs="Arial"/>
        </w:rPr>
        <w:t xml:space="preserve"> respiratory sensitiser according to the GHS.</w:t>
      </w:r>
    </w:p>
    <w:p w14:paraId="6282B584" w14:textId="20D36508" w:rsidR="00C84783" w:rsidRPr="004C23F4" w:rsidRDefault="0048231A" w:rsidP="00C84783">
      <w:pPr>
        <w:rPr>
          <w:rFonts w:cs="Arial"/>
        </w:rPr>
      </w:pPr>
      <w:r w:rsidRPr="0048231A">
        <w:rPr>
          <w:rFonts w:cs="Arial"/>
        </w:rPr>
        <w:t xml:space="preserve">A skin notation </w:t>
      </w:r>
      <w:proofErr w:type="gramStart"/>
      <w:r w:rsidR="00F45499">
        <w:rPr>
          <w:rFonts w:cs="Arial"/>
        </w:rPr>
        <w:t xml:space="preserve">is </w:t>
      </w:r>
      <w:r w:rsidRPr="0048231A">
        <w:rPr>
          <w:rFonts w:cs="Arial"/>
        </w:rPr>
        <w:t>recommended</w:t>
      </w:r>
      <w:proofErr w:type="gramEnd"/>
      <w:r w:rsidRPr="0048231A">
        <w:rPr>
          <w:rFonts w:cs="Arial"/>
        </w:rPr>
        <w:t xml:space="preserve"> based on evidence suggesting potential dermal absorption and adverse systemic effects in </w:t>
      </w:r>
      <w:r>
        <w:rPr>
          <w:rFonts w:cs="Arial"/>
        </w:rPr>
        <w:t>humans and animals</w:t>
      </w:r>
      <w:r w:rsidRPr="0048231A">
        <w:rPr>
          <w:rFonts w:cs="Arial"/>
        </w:rPr>
        <w:t>.</w:t>
      </w:r>
    </w:p>
    <w:p w14:paraId="2A007FD8" w14:textId="77777777" w:rsidR="0025734A" w:rsidRPr="004C23F4" w:rsidRDefault="0025734A">
      <w:pPr>
        <w:rPr>
          <w:rFonts w:cs="Arial"/>
        </w:rPr>
      </w:pPr>
    </w:p>
    <w:p w14:paraId="0561700E" w14:textId="77777777" w:rsidR="005E6979" w:rsidRPr="004C23F4" w:rsidRDefault="005E6979">
      <w:pPr>
        <w:rPr>
          <w:rFonts w:cs="Arial"/>
        </w:rPr>
        <w:sectPr w:rsidR="005E6979" w:rsidRPr="004C23F4" w:rsidSect="00B479A9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985" w:right="1440" w:bottom="1440" w:left="1440" w:header="708" w:footer="283" w:gutter="0"/>
          <w:cols w:space="708"/>
          <w:docGrid w:linePitch="360"/>
        </w:sectPr>
      </w:pPr>
    </w:p>
    <w:p w14:paraId="06148DA6" w14:textId="77777777" w:rsidR="0034744C" w:rsidRPr="004C23F4" w:rsidRDefault="005E6979" w:rsidP="005E6979">
      <w:pPr>
        <w:pStyle w:val="Heading1"/>
        <w:rPr>
          <w:rFonts w:ascii="Arial" w:hAnsi="Arial" w:cs="Arial"/>
        </w:rPr>
      </w:pPr>
      <w:r w:rsidRPr="004C23F4">
        <w:rPr>
          <w:rFonts w:ascii="Arial" w:hAnsi="Arial" w:cs="Arial"/>
        </w:rPr>
        <w:lastRenderedPageBreak/>
        <w:t>Appendix</w:t>
      </w:r>
    </w:p>
    <w:p w14:paraId="5D8AD47F" w14:textId="77777777" w:rsidR="008D026D" w:rsidRPr="003365A5" w:rsidRDefault="00B479A9" w:rsidP="003365A5">
      <w:pPr>
        <w:pStyle w:val="Heading3"/>
      </w:pPr>
      <w:r w:rsidRPr="003365A5">
        <w:t>Primary sources with reports</w:t>
      </w:r>
    </w:p>
    <w:tbl>
      <w:tblPr>
        <w:tblStyle w:val="LightList"/>
        <w:tblW w:w="5008" w:type="pct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none" w:sz="0" w:space="0" w:color="auto"/>
        </w:tblBorders>
        <w:tblLayout w:type="fixed"/>
        <w:tblLook w:val="0600" w:firstRow="0" w:lastRow="0" w:firstColumn="0" w:lastColumn="0" w:noHBand="1" w:noVBand="1"/>
        <w:tblCaption w:val="Table"/>
        <w:tblDescription w:val="Listing primary sources with reports"/>
      </w:tblPr>
      <w:tblGrid>
        <w:gridCol w:w="9006"/>
        <w:gridCol w:w="14"/>
      </w:tblGrid>
      <w:tr w:rsidR="00C978F0" w:rsidRPr="00DA352E" w14:paraId="508B98A5" w14:textId="77777777" w:rsidTr="00D62B8A">
        <w:trPr>
          <w:gridAfter w:val="1"/>
          <w:wAfter w:w="8" w:type="pct"/>
          <w:trHeight w:val="393"/>
          <w:tblHeader/>
        </w:trPr>
        <w:tc>
          <w:tcPr>
            <w:tcW w:w="4992" w:type="pct"/>
            <w:shd w:val="clear" w:color="auto" w:fill="BFBFBF" w:themeFill="background1" w:themeFillShade="BF"/>
            <w:vAlign w:val="center"/>
          </w:tcPr>
          <w:p w14:paraId="3206F902" w14:textId="77777777" w:rsidR="00C978F0" w:rsidRPr="00DA352E" w:rsidRDefault="00C978F0" w:rsidP="00C67FFB">
            <w:pPr>
              <w:pStyle w:val="Tableheader"/>
              <w:tabs>
                <w:tab w:val="left" w:pos="1418"/>
                <w:tab w:val="left" w:pos="2552"/>
                <w:tab w:val="right" w:pos="8489"/>
              </w:tabs>
            </w:pPr>
            <w:bookmarkStart w:id="0" w:name="_GoBack" w:colFirst="0" w:colLast="1"/>
            <w:r w:rsidRPr="00DA352E">
              <w:t>Source</w:t>
            </w:r>
            <w:r w:rsidR="00DA352E">
              <w:tab/>
              <w:t>Year set</w:t>
            </w:r>
            <w:r w:rsidR="00DA352E">
              <w:tab/>
              <w:t>Standard</w:t>
            </w:r>
            <w:r w:rsidR="00974F2D">
              <w:tab/>
            </w:r>
          </w:p>
        </w:tc>
      </w:tr>
      <w:bookmarkEnd w:id="0"/>
      <w:tr w:rsidR="00DE26E8" w:rsidRPr="003365A5" w14:paraId="3EC09CFC" w14:textId="77777777" w:rsidTr="008C0F60">
        <w:tc>
          <w:tcPr>
            <w:tcW w:w="5000" w:type="pct"/>
            <w:gridSpan w:val="2"/>
            <w:shd w:val="clear" w:color="auto" w:fill="F2F2F2" w:themeFill="background1" w:themeFillShade="F2"/>
          </w:tcPr>
          <w:p w14:paraId="166BC065" w14:textId="15DC0067" w:rsidR="00DE26E8" w:rsidRPr="003365A5" w:rsidRDefault="00DE26E8" w:rsidP="0051509C">
            <w:pPr>
              <w:pStyle w:val="Tablerowheadingitalic"/>
              <w:tabs>
                <w:tab w:val="clear" w:pos="2268"/>
                <w:tab w:val="clear" w:pos="5670"/>
                <w:tab w:val="left" w:pos="1418"/>
                <w:tab w:val="left" w:pos="2552"/>
              </w:tabs>
            </w:pPr>
            <w:r w:rsidRPr="003365A5">
              <w:t>SWA</w:t>
            </w:r>
            <w:r w:rsidRPr="003365A5">
              <w:tab/>
            </w:r>
            <w:sdt>
              <w:sdtPr>
                <w:id w:val="-2034099983"/>
                <w:placeholder>
                  <w:docPart w:val="0A35AF4547E94E219E26BC12DBC33282"/>
                </w:placeholder>
                <w:text/>
              </w:sdtPr>
              <w:sdtEndPr/>
              <w:sdtContent>
                <w:r w:rsidR="00C84783">
                  <w:t>1991</w:t>
                </w:r>
              </w:sdtContent>
            </w:sdt>
            <w:r w:rsidRPr="003365A5">
              <w:tab/>
            </w:r>
            <w:r>
              <w:tab/>
            </w:r>
            <w:sdt>
              <w:sdtPr>
                <w:alias w:val="SWA WES"/>
                <w:tag w:val="SWA WES"/>
                <w:id w:val="857077202"/>
                <w:placeholder>
                  <w:docPart w:val="81CFEC2FDBC5451289F394E66D92D1A0"/>
                </w:placeholder>
              </w:sdtPr>
              <w:sdtEndPr/>
              <w:sdtContent>
                <w:r w:rsidR="00C84783">
                  <w:t>TWA: 2 ppm (7.6 mg/m</w:t>
                </w:r>
                <w:r w:rsidR="00C84783" w:rsidRPr="00C84783">
                  <w:rPr>
                    <w:vertAlign w:val="superscript"/>
                  </w:rPr>
                  <w:t>3</w:t>
                </w:r>
                <w:r w:rsidR="00C84783">
                  <w:t>)</w:t>
                </w:r>
              </w:sdtContent>
            </w:sdt>
          </w:p>
        </w:tc>
      </w:tr>
      <w:tr w:rsidR="00C978F0" w:rsidRPr="00DA352E" w14:paraId="5E04D7AF" w14:textId="77777777" w:rsidTr="008C0F60">
        <w:trPr>
          <w:gridAfter w:val="1"/>
          <w:wAfter w:w="8" w:type="pct"/>
        </w:trPr>
        <w:tc>
          <w:tcPr>
            <w:tcW w:w="4992" w:type="pct"/>
          </w:tcPr>
          <w:p w14:paraId="7E535585" w14:textId="77777777" w:rsidR="00C978F0" w:rsidRPr="00DA352E" w:rsidRDefault="00C978F0" w:rsidP="003365A5">
            <w:pPr>
              <w:pStyle w:val="Tabletextprimarysource"/>
            </w:pPr>
          </w:p>
        </w:tc>
      </w:tr>
      <w:tr w:rsidR="00C978F0" w:rsidRPr="00DA352E" w14:paraId="1606C363" w14:textId="77777777" w:rsidTr="008C0F60">
        <w:trPr>
          <w:gridAfter w:val="1"/>
          <w:wAfter w:w="8" w:type="pct"/>
        </w:trPr>
        <w:tc>
          <w:tcPr>
            <w:tcW w:w="4992" w:type="pct"/>
            <w:shd w:val="clear" w:color="auto" w:fill="F2F2F2" w:themeFill="background1" w:themeFillShade="F2"/>
          </w:tcPr>
          <w:p w14:paraId="7AD344E3" w14:textId="0C5C6979" w:rsidR="00C978F0" w:rsidRPr="00DA352E" w:rsidRDefault="00DA352E" w:rsidP="0051509C">
            <w:pPr>
              <w:pStyle w:val="Tablerowheadingitalic"/>
              <w:tabs>
                <w:tab w:val="clear" w:pos="2268"/>
                <w:tab w:val="clear" w:pos="5670"/>
                <w:tab w:val="left" w:pos="1418"/>
                <w:tab w:val="left" w:pos="2552"/>
              </w:tabs>
            </w:pPr>
            <w:r w:rsidRPr="00DA352E">
              <w:t>ACGIH</w:t>
            </w:r>
            <w:r w:rsidR="00916EC0">
              <w:t xml:space="preserve"> </w:t>
            </w:r>
            <w:r w:rsidR="00916EC0" w:rsidRPr="003365A5">
              <w:tab/>
            </w:r>
            <w:sdt>
              <w:sdtPr>
                <w:id w:val="444816450"/>
                <w:placeholder>
                  <w:docPart w:val="C8FBF9621EB94FE084F687C8955AF85F"/>
                </w:placeholder>
                <w:text/>
              </w:sdtPr>
              <w:sdtEndPr/>
              <w:sdtContent>
                <w:r w:rsidR="00C84783">
                  <w:t>2001</w:t>
                </w:r>
              </w:sdtContent>
            </w:sdt>
            <w:r w:rsidR="00916EC0" w:rsidRPr="003365A5">
              <w:tab/>
            </w:r>
            <w:r w:rsidR="0051509C">
              <w:tab/>
            </w:r>
            <w:sdt>
              <w:sdtPr>
                <w:alias w:val="ACGIH WES equivalent"/>
                <w:tag w:val="ACGIH WES equivalent"/>
                <w:id w:val="-1676410403"/>
                <w:placeholder>
                  <w:docPart w:val="522022AAE76B4622AC0DF750489702EB"/>
                </w:placeholder>
              </w:sdtPr>
              <w:sdtEndPr/>
              <w:sdtContent>
                <w:r w:rsidR="00C84783">
                  <w:t>TLV-TWA: 0.5 ppm (1.9 mg/m</w:t>
                </w:r>
                <w:r w:rsidR="00C84783" w:rsidRPr="00C84783">
                  <w:rPr>
                    <w:vertAlign w:val="superscript"/>
                  </w:rPr>
                  <w:t>3</w:t>
                </w:r>
                <w:r w:rsidR="00C84783">
                  <w:t>)</w:t>
                </w:r>
              </w:sdtContent>
            </w:sdt>
          </w:p>
        </w:tc>
      </w:tr>
      <w:tr w:rsidR="00C978F0" w:rsidRPr="00DA352E" w14:paraId="4F61B03E" w14:textId="77777777" w:rsidTr="008C0F60">
        <w:trPr>
          <w:gridAfter w:val="1"/>
          <w:wAfter w:w="8" w:type="pct"/>
        </w:trPr>
        <w:tc>
          <w:tcPr>
            <w:tcW w:w="4992" w:type="pct"/>
          </w:tcPr>
          <w:p w14:paraId="14D3579B" w14:textId="08C32D4D" w:rsidR="00C978F0" w:rsidRDefault="00B72ADA" w:rsidP="003365A5">
            <w:pPr>
              <w:pStyle w:val="Tabletextprimarysource"/>
            </w:pPr>
            <w:r>
              <w:t xml:space="preserve">TLV-TWA recommended </w:t>
            </w:r>
            <w:proofErr w:type="gramStart"/>
            <w:r>
              <w:t>to minimise</w:t>
            </w:r>
            <w:proofErr w:type="gramEnd"/>
            <w:r>
              <w:t xml:space="preserve"> potential for reproductive effects and nasal irritation.</w:t>
            </w:r>
          </w:p>
          <w:p w14:paraId="42ADA463" w14:textId="50E8C99F" w:rsidR="00EA71A7" w:rsidRDefault="00EA71A7" w:rsidP="003365A5">
            <w:pPr>
              <w:pStyle w:val="Tabletextprimarysource"/>
            </w:pPr>
            <w:r w:rsidRPr="008A61FE">
              <w:t>Derivation of TWA not provided</w:t>
            </w:r>
            <w:r w:rsidR="001F1BBB" w:rsidRPr="008A61FE">
              <w:t>; cited as b</w:t>
            </w:r>
            <w:r w:rsidR="001C654B" w:rsidRPr="008A61FE">
              <w:t>ased on</w:t>
            </w:r>
            <w:r w:rsidR="001F1BBB" w:rsidRPr="008A61FE">
              <w:t xml:space="preserve"> a</w:t>
            </w:r>
            <w:r w:rsidR="001C654B" w:rsidRPr="008A61FE">
              <w:t xml:space="preserve"> NOAEL of 5 ppm </w:t>
            </w:r>
            <w:r w:rsidR="001F1BBB" w:rsidRPr="008A61FE">
              <w:t>(</w:t>
            </w:r>
            <w:r w:rsidR="001C654B" w:rsidRPr="008A61FE">
              <w:t>decreased male fertility</w:t>
            </w:r>
            <w:r w:rsidR="001F1BBB" w:rsidRPr="008A61FE">
              <w:t xml:space="preserve"> in rats)</w:t>
            </w:r>
            <w:proofErr w:type="gramStart"/>
            <w:r w:rsidR="001F1BBB" w:rsidRPr="008A61FE">
              <w:t>;</w:t>
            </w:r>
            <w:proofErr w:type="gramEnd"/>
            <w:r w:rsidR="001C654B" w:rsidRPr="008A61FE">
              <w:t xml:space="preserve"> NOEL of 9 ppm in rabbits and rats </w:t>
            </w:r>
            <w:r w:rsidR="001F1BBB" w:rsidRPr="008A61FE">
              <w:t>(</w:t>
            </w:r>
            <w:r w:rsidR="001C654B" w:rsidRPr="008A61FE">
              <w:t>nasal irritation, lethargy and reduced body weight</w:t>
            </w:r>
            <w:r w:rsidR="001F1BBB" w:rsidRPr="008A61FE">
              <w:t>)</w:t>
            </w:r>
            <w:r w:rsidR="008A61FE">
              <w:t>.</w:t>
            </w:r>
          </w:p>
          <w:p w14:paraId="33CC9D3F" w14:textId="229C7FB0" w:rsidR="00B72ADA" w:rsidRDefault="00B72ADA" w:rsidP="003365A5">
            <w:pPr>
              <w:pStyle w:val="Tabletextprimarysource"/>
            </w:pPr>
            <w:r>
              <w:t>Summary of data:</w:t>
            </w:r>
          </w:p>
          <w:p w14:paraId="4CC17DE0" w14:textId="77777777" w:rsidR="005F3D10" w:rsidRDefault="005F3D10" w:rsidP="005F3D10">
            <w:pPr>
              <w:pStyle w:val="Tabletextprimarysource"/>
            </w:pPr>
            <w:r>
              <w:t>Human data:</w:t>
            </w:r>
          </w:p>
          <w:p w14:paraId="7C526C6F" w14:textId="2132197C" w:rsidR="00B72ADA" w:rsidRDefault="0040116B" w:rsidP="00F45499">
            <w:pPr>
              <w:pStyle w:val="ListBullet"/>
              <w:spacing w:before="60" w:after="60"/>
              <w:ind w:left="714" w:hanging="357"/>
              <w:contextualSpacing w:val="0"/>
            </w:pPr>
            <w:r>
              <w:t>Evidence of systemic effects following skin exposures</w:t>
            </w:r>
          </w:p>
          <w:p w14:paraId="5B6DE108" w14:textId="67F21E81" w:rsidR="001350D3" w:rsidRDefault="00E069DB" w:rsidP="00F45499">
            <w:pPr>
              <w:pStyle w:val="ListBullet"/>
              <w:spacing w:before="60" w:after="60"/>
              <w:ind w:left="714" w:hanging="357"/>
              <w:contextualSpacing w:val="0"/>
            </w:pPr>
            <w:r>
              <w:t>Epidemiological studies provide no</w:t>
            </w:r>
            <w:r w:rsidR="00471226">
              <w:t xml:space="preserve"> clear evidence for ca</w:t>
            </w:r>
            <w:r w:rsidR="00896FDD">
              <w:t>u</w:t>
            </w:r>
            <w:r w:rsidR="00471226">
              <w:t>sal relationship between exposures and lung cancer in mortality studies.</w:t>
            </w:r>
          </w:p>
          <w:p w14:paraId="0FBEB500" w14:textId="0B190F55" w:rsidR="001350D3" w:rsidRDefault="001350D3" w:rsidP="00F45499">
            <w:pPr>
              <w:pStyle w:val="ListBullet"/>
              <w:spacing w:before="60" w:after="60"/>
              <w:ind w:left="714" w:hanging="357"/>
              <w:contextualSpacing w:val="0"/>
            </w:pPr>
            <w:r>
              <w:t>Suggestions of sensitisation potential, however insufficient data to recommend a SEN notation.</w:t>
            </w:r>
          </w:p>
          <w:p w14:paraId="363A723A" w14:textId="77777777" w:rsidR="00B72ADA" w:rsidRDefault="00B72ADA" w:rsidP="003365A5">
            <w:pPr>
              <w:pStyle w:val="Tabletextprimarysource"/>
            </w:pPr>
            <w:r>
              <w:t>Animal data:</w:t>
            </w:r>
          </w:p>
          <w:p w14:paraId="5C2E1607" w14:textId="01B9B6A0" w:rsidR="00FD5B4A" w:rsidRDefault="00FD5B4A" w:rsidP="00F45499">
            <w:pPr>
              <w:pStyle w:val="ListBullet"/>
              <w:spacing w:before="60" w:after="60"/>
              <w:ind w:left="714" w:hanging="357"/>
              <w:contextualSpacing w:val="0"/>
            </w:pPr>
            <w:r>
              <w:t>NOAEL: 5 ppm</w:t>
            </w:r>
            <w:r w:rsidR="00790065">
              <w:t xml:space="preserve"> for male fertility</w:t>
            </w:r>
            <w:r>
              <w:t xml:space="preserve"> </w:t>
            </w:r>
            <w:r w:rsidR="00A71FC9">
              <w:t>(rats,</w:t>
            </w:r>
            <w:r w:rsidR="00C10F75">
              <w:t xml:space="preserve"> inhalation,</w:t>
            </w:r>
            <w:r w:rsidR="00A71FC9">
              <w:t xml:space="preserve"> 10 </w:t>
            </w:r>
            <w:proofErr w:type="spellStart"/>
            <w:r w:rsidR="00A71FC9">
              <w:t>wk</w:t>
            </w:r>
            <w:proofErr w:type="spellEnd"/>
            <w:r w:rsidR="00F45609">
              <w:t>)</w:t>
            </w:r>
          </w:p>
          <w:p w14:paraId="516E3887" w14:textId="17883C86" w:rsidR="00790065" w:rsidRDefault="00790065" w:rsidP="00F45499">
            <w:pPr>
              <w:pStyle w:val="ListBullet"/>
              <w:spacing w:before="60" w:after="60"/>
              <w:ind w:left="714" w:hanging="357"/>
              <w:contextualSpacing w:val="0"/>
            </w:pPr>
            <w:r>
              <w:t xml:space="preserve">NOEL: 9 ppm (rats, rabbits, </w:t>
            </w:r>
            <w:r w:rsidR="00C10F75">
              <w:t xml:space="preserve">inhalation, </w:t>
            </w:r>
            <w:r>
              <w:t>18</w:t>
            </w:r>
            <w:r w:rsidR="00FB1356">
              <w:t>–</w:t>
            </w:r>
            <w:r>
              <w:t>20 d);</w:t>
            </w:r>
            <w:r w:rsidR="00737811">
              <w:t xml:space="preserve"> at 17 ppm</w:t>
            </w:r>
            <w:r>
              <w:t xml:space="preserve"> nasal irritation, lethargy</w:t>
            </w:r>
            <w:r w:rsidR="00737811">
              <w:t xml:space="preserve">, reduced </w:t>
            </w:r>
            <w:proofErr w:type="spellStart"/>
            <w:r w:rsidR="00737811">
              <w:t>b</w:t>
            </w:r>
            <w:r w:rsidR="004272C5">
              <w:t>w</w:t>
            </w:r>
            <w:proofErr w:type="spellEnd"/>
            <w:r w:rsidR="00737811">
              <w:t>; at highest dose of 120 ppm, increased urinary protein excretion; lung, liver, and kidney discoloration; congestion, oedema and leucocyte reaction in the kidneys</w:t>
            </w:r>
          </w:p>
          <w:p w14:paraId="54824ADB" w14:textId="5F67B611" w:rsidR="00F45609" w:rsidRDefault="00F45609" w:rsidP="00F45499">
            <w:pPr>
              <w:pStyle w:val="ListBullet"/>
              <w:spacing w:before="60" w:after="60"/>
              <w:ind w:left="714" w:hanging="357"/>
              <w:contextualSpacing w:val="0"/>
            </w:pPr>
            <w:r>
              <w:t>LD</w:t>
            </w:r>
            <w:r w:rsidRPr="00F45609">
              <w:rPr>
                <w:vertAlign w:val="subscript"/>
              </w:rPr>
              <w:t>50</w:t>
            </w:r>
            <w:r>
              <w:t>: 755 mg/kg (rabbit, dermal)</w:t>
            </w:r>
          </w:p>
          <w:p w14:paraId="7418E450" w14:textId="20F20048" w:rsidR="006C4F48" w:rsidRDefault="00320E0A" w:rsidP="00F45499">
            <w:pPr>
              <w:pStyle w:val="ListBullet"/>
              <w:spacing w:before="60" w:after="60"/>
              <w:ind w:left="714" w:hanging="357"/>
              <w:contextualSpacing w:val="0"/>
            </w:pPr>
            <w:r>
              <w:t xml:space="preserve">Squamous cell carcinomas and one papilloma reported in the nasal cavity </w:t>
            </w:r>
            <w:r w:rsidR="008B6BD0">
              <w:t xml:space="preserve">of rats </w:t>
            </w:r>
            <w:r w:rsidR="006C4F48">
              <w:t>exposed 6 h/d, 5 d/</w:t>
            </w:r>
            <w:proofErr w:type="spellStart"/>
            <w:r w:rsidR="006C4F48">
              <w:t>wk</w:t>
            </w:r>
            <w:proofErr w:type="spellEnd"/>
            <w:r w:rsidR="006C4F48">
              <w:t xml:space="preserve"> for 6 </w:t>
            </w:r>
            <w:proofErr w:type="spellStart"/>
            <w:r w:rsidR="006C4F48">
              <w:t>wk</w:t>
            </w:r>
            <w:proofErr w:type="spellEnd"/>
            <w:r w:rsidR="006C4F48">
              <w:t xml:space="preserve"> at 100 ppm </w:t>
            </w:r>
          </w:p>
          <w:p w14:paraId="7264FC86" w14:textId="0B3B72BB" w:rsidR="006C4F48" w:rsidRDefault="008B6BD0" w:rsidP="00F45499">
            <w:pPr>
              <w:pStyle w:val="ListBullet"/>
              <w:spacing w:before="60" w:after="60"/>
              <w:ind w:left="714" w:hanging="357"/>
              <w:contextualSpacing w:val="0"/>
            </w:pPr>
            <w:r>
              <w:t>I</w:t>
            </w:r>
            <w:r w:rsidR="006C4F48">
              <w:t>ncreased mortality, renal damage and respiratory effects that included lung congestion, pneumonia, and bronchiectasis</w:t>
            </w:r>
            <w:r>
              <w:t xml:space="preserve"> reported in rats exposed 6 h/d, 5 d/</w:t>
            </w:r>
            <w:proofErr w:type="spellStart"/>
            <w:r>
              <w:t>wk</w:t>
            </w:r>
            <w:proofErr w:type="spellEnd"/>
            <w:r>
              <w:t xml:space="preserve"> lifetime exposure duration of 10 or 30 ppm</w:t>
            </w:r>
            <w:r w:rsidR="006C4F48">
              <w:t xml:space="preserve"> </w:t>
            </w:r>
          </w:p>
          <w:p w14:paraId="220C844F" w14:textId="25EE9434" w:rsidR="00F45609" w:rsidRDefault="008B6BD0" w:rsidP="00F45499">
            <w:pPr>
              <w:pStyle w:val="ListBullet"/>
              <w:spacing w:before="60" w:after="60"/>
              <w:ind w:left="714" w:hanging="357"/>
              <w:contextualSpacing w:val="0"/>
            </w:pPr>
            <w:r>
              <w:t>Nasal irritation</w:t>
            </w:r>
            <w:r w:rsidR="006F07C5">
              <w:t>,</w:t>
            </w:r>
            <w:r>
              <w:t xml:space="preserve"> lung, liver and kidney discolouration at elevated levels (&gt;120 ppm) in m</w:t>
            </w:r>
            <w:r w:rsidR="00AC0018">
              <w:t xml:space="preserve">ultiple rats and rabbits </w:t>
            </w:r>
            <w:r w:rsidR="006F07C5">
              <w:t xml:space="preserve">studies at </w:t>
            </w:r>
            <w:r w:rsidR="00AC0018">
              <w:t xml:space="preserve">various inhalation concentrations </w:t>
            </w:r>
          </w:p>
          <w:p w14:paraId="1F70AD47" w14:textId="5E3330EA" w:rsidR="00B72ADA" w:rsidRDefault="00B72ADA" w:rsidP="00F45499">
            <w:pPr>
              <w:pStyle w:val="ListBullet"/>
              <w:spacing w:before="60" w:after="60"/>
              <w:ind w:left="714" w:hanging="357"/>
              <w:contextualSpacing w:val="0"/>
            </w:pPr>
            <w:r>
              <w:t xml:space="preserve">Mutagenic activity in strains of </w:t>
            </w:r>
            <w:r w:rsidRPr="00B72ADA">
              <w:rPr>
                <w:i/>
              </w:rPr>
              <w:t>S</w:t>
            </w:r>
            <w:r w:rsidR="00F45499">
              <w:rPr>
                <w:i/>
              </w:rPr>
              <w:t>.</w:t>
            </w:r>
            <w:r w:rsidRPr="00B72ADA">
              <w:rPr>
                <w:i/>
              </w:rPr>
              <w:t xml:space="preserve"> </w:t>
            </w:r>
            <w:proofErr w:type="spellStart"/>
            <w:r w:rsidRPr="00B72ADA">
              <w:rPr>
                <w:i/>
              </w:rPr>
              <w:t>typhimurium</w:t>
            </w:r>
            <w:proofErr w:type="spellEnd"/>
            <w:r>
              <w:t xml:space="preserve"> and </w:t>
            </w:r>
            <w:r w:rsidRPr="00B72ADA">
              <w:rPr>
                <w:i/>
              </w:rPr>
              <w:t>E</w:t>
            </w:r>
            <w:r w:rsidR="00F45499">
              <w:rPr>
                <w:i/>
              </w:rPr>
              <w:t>.</w:t>
            </w:r>
            <w:r w:rsidRPr="00B72ADA">
              <w:rPr>
                <w:i/>
              </w:rPr>
              <w:t xml:space="preserve"> coli</w:t>
            </w:r>
            <w:r w:rsidR="00C10F75">
              <w:t xml:space="preserve"> (no other information)</w:t>
            </w:r>
          </w:p>
          <w:p w14:paraId="6EB27779" w14:textId="7BC85BB1" w:rsidR="00B72ADA" w:rsidRDefault="002E1A9A" w:rsidP="00F45499">
            <w:pPr>
              <w:pStyle w:val="ListBullet"/>
              <w:spacing w:before="60" w:after="60"/>
              <w:ind w:left="714" w:hanging="357"/>
              <w:contextualSpacing w:val="0"/>
            </w:pPr>
            <w:r>
              <w:t xml:space="preserve">Positive and negative genotoxic results observed in </w:t>
            </w:r>
            <w:r w:rsidRPr="002E1A9A">
              <w:rPr>
                <w:i/>
              </w:rPr>
              <w:t>in vi</w:t>
            </w:r>
            <w:r>
              <w:rPr>
                <w:i/>
              </w:rPr>
              <w:t>v</w:t>
            </w:r>
            <w:r w:rsidRPr="002E1A9A">
              <w:rPr>
                <w:i/>
              </w:rPr>
              <w:t>o</w:t>
            </w:r>
            <w:r>
              <w:t xml:space="preserve"> studies</w:t>
            </w:r>
            <w:r w:rsidR="007535D7">
              <w:t>.</w:t>
            </w:r>
          </w:p>
          <w:p w14:paraId="1C825774" w14:textId="4BC9F501" w:rsidR="002E1A9A" w:rsidRPr="00DA352E" w:rsidRDefault="002E1A9A" w:rsidP="003365A5">
            <w:pPr>
              <w:pStyle w:val="Tabletextprimarysource"/>
            </w:pPr>
          </w:p>
        </w:tc>
      </w:tr>
      <w:tr w:rsidR="00C978F0" w:rsidRPr="00DA352E" w14:paraId="7D6ECD79" w14:textId="77777777" w:rsidTr="008C0F60">
        <w:trPr>
          <w:gridAfter w:val="1"/>
          <w:wAfter w:w="8" w:type="pct"/>
        </w:trPr>
        <w:tc>
          <w:tcPr>
            <w:tcW w:w="4992" w:type="pct"/>
            <w:shd w:val="clear" w:color="auto" w:fill="F2F2F2" w:themeFill="background1" w:themeFillShade="F2"/>
          </w:tcPr>
          <w:p w14:paraId="71B30FB7" w14:textId="7D066FD2" w:rsidR="00C978F0" w:rsidRPr="00DA352E" w:rsidRDefault="00DA352E" w:rsidP="0051509C">
            <w:pPr>
              <w:pStyle w:val="Tablerowheadingitalic"/>
              <w:tabs>
                <w:tab w:val="clear" w:pos="2268"/>
                <w:tab w:val="clear" w:pos="5670"/>
                <w:tab w:val="left" w:pos="1418"/>
                <w:tab w:val="left" w:pos="2552"/>
              </w:tabs>
            </w:pPr>
            <w:r w:rsidRPr="00DA352E">
              <w:t>DFG</w:t>
            </w:r>
            <w:r w:rsidR="00916EC0" w:rsidRPr="003365A5">
              <w:t xml:space="preserve"> </w:t>
            </w:r>
            <w:r w:rsidR="00916EC0" w:rsidRPr="003365A5">
              <w:tab/>
            </w:r>
            <w:sdt>
              <w:sdtPr>
                <w:id w:val="272751712"/>
                <w:placeholder>
                  <w:docPart w:val="6918C77959FE4E2CB3B6BD78ABC69E19"/>
                </w:placeholder>
                <w:text/>
              </w:sdtPr>
              <w:sdtEndPr/>
              <w:sdtContent>
                <w:r w:rsidR="00C84783">
                  <w:t>2015</w:t>
                </w:r>
              </w:sdtContent>
            </w:sdt>
            <w:r w:rsidR="00916EC0" w:rsidRPr="003365A5">
              <w:tab/>
            </w:r>
            <w:r w:rsidR="0051509C">
              <w:tab/>
            </w:r>
            <w:sdt>
              <w:sdtPr>
                <w:alias w:val="DFG WES equivalent"/>
                <w:tag w:val="DFG WES equivalent"/>
                <w:id w:val="-736175395"/>
                <w:placeholder>
                  <w:docPart w:val="1ED9AEC91FDC4528B51A567B2B19EB9F"/>
                </w:placeholder>
              </w:sdtPr>
              <w:sdtEndPr/>
              <w:sdtContent>
                <w:r w:rsidR="00C84783">
                  <w:t>Not assigned</w:t>
                </w:r>
              </w:sdtContent>
            </w:sdt>
          </w:p>
        </w:tc>
      </w:tr>
      <w:tr w:rsidR="00C978F0" w:rsidRPr="00DA352E" w14:paraId="4EC0DCEB" w14:textId="77777777" w:rsidTr="008C0F60">
        <w:trPr>
          <w:gridAfter w:val="1"/>
          <w:wAfter w:w="8" w:type="pct"/>
        </w:trPr>
        <w:tc>
          <w:tcPr>
            <w:tcW w:w="4992" w:type="pct"/>
          </w:tcPr>
          <w:p w14:paraId="4B6B0A3D" w14:textId="5051FD28" w:rsidR="009E14EE" w:rsidRDefault="009E14EE" w:rsidP="009E14EE">
            <w:pPr>
              <w:pStyle w:val="Tabletextprimarysource"/>
            </w:pPr>
            <w:r>
              <w:t>Summary of additional data:</w:t>
            </w:r>
          </w:p>
          <w:p w14:paraId="5FBC5859" w14:textId="56C755CC" w:rsidR="00333D78" w:rsidRDefault="00333D78" w:rsidP="00546225">
            <w:pPr>
              <w:pStyle w:val="Tabletextprimarysource"/>
            </w:pPr>
            <w:r>
              <w:t xml:space="preserve">Human data: </w:t>
            </w:r>
          </w:p>
          <w:p w14:paraId="05287AD7" w14:textId="0FA951FA" w:rsidR="00265A98" w:rsidRDefault="00265A98" w:rsidP="008167C0">
            <w:pPr>
              <w:pStyle w:val="ListBullet"/>
              <w:spacing w:before="60" w:after="60"/>
              <w:ind w:left="714" w:hanging="357"/>
              <w:contextualSpacing w:val="0"/>
            </w:pPr>
            <w:r>
              <w:t>D</w:t>
            </w:r>
            <w:r w:rsidRPr="00265A98">
              <w:t>ata not sufficient to derive a conclusive evaluation</w:t>
            </w:r>
            <w:r>
              <w:t xml:space="preserve"> of the carcinogenicity for humans</w:t>
            </w:r>
          </w:p>
          <w:p w14:paraId="6B1ADEEF" w14:textId="4380F377" w:rsidR="00664586" w:rsidRDefault="00117E21">
            <w:pPr>
              <w:pStyle w:val="ListBullet"/>
              <w:spacing w:before="60" w:after="60"/>
              <w:ind w:left="714" w:hanging="357"/>
              <w:contextualSpacing w:val="0"/>
            </w:pPr>
            <w:r>
              <w:t>Corrosion o</w:t>
            </w:r>
            <w:r w:rsidR="00A71FC9">
              <w:t xml:space="preserve">f eyes and nasal mucosa at 20 </w:t>
            </w:r>
            <w:r w:rsidR="004847C6">
              <w:t>ppm</w:t>
            </w:r>
            <w:r>
              <w:t xml:space="preserve"> </w:t>
            </w:r>
            <w:r w:rsidR="00A71FC9">
              <w:t>&gt;1 h</w:t>
            </w:r>
            <w:r w:rsidR="00664586">
              <w:t xml:space="preserve"> </w:t>
            </w:r>
          </w:p>
          <w:p w14:paraId="38335F88" w14:textId="17D2D6D4" w:rsidR="00117E21" w:rsidRDefault="00664586">
            <w:pPr>
              <w:pStyle w:val="ListBullet"/>
              <w:spacing w:before="60" w:after="60"/>
              <w:ind w:left="714" w:hanging="357"/>
              <w:contextualSpacing w:val="0"/>
            </w:pPr>
            <w:r>
              <w:t>Numerous studies report</w:t>
            </w:r>
            <w:r w:rsidR="0048231A">
              <w:t>ed</w:t>
            </w:r>
            <w:r>
              <w:t xml:space="preserve"> dermal </w:t>
            </w:r>
            <w:r w:rsidR="0048231A">
              <w:t>sensitisation</w:t>
            </w:r>
            <w:r>
              <w:t xml:space="preserve"> in epoxy resin workers, </w:t>
            </w:r>
            <w:r w:rsidR="0048231A">
              <w:t xml:space="preserve">noting </w:t>
            </w:r>
            <w:proofErr w:type="gramStart"/>
            <w:r>
              <w:t xml:space="preserve">quality </w:t>
            </w:r>
            <w:r w:rsidR="0048231A">
              <w:t>documented</w:t>
            </w:r>
            <w:proofErr w:type="gramEnd"/>
            <w:r w:rsidR="0048231A">
              <w:t xml:space="preserve"> evidence is limited.</w:t>
            </w:r>
          </w:p>
          <w:p w14:paraId="17063FBC" w14:textId="77777777" w:rsidR="00546225" w:rsidRDefault="00656B0F" w:rsidP="003365A5">
            <w:pPr>
              <w:pStyle w:val="Tabletextprimarysource"/>
            </w:pPr>
            <w:r>
              <w:t>Animal data:</w:t>
            </w:r>
          </w:p>
          <w:p w14:paraId="61D269D2" w14:textId="4508F2FF" w:rsidR="006C4F48" w:rsidRDefault="004847C6" w:rsidP="00F45499">
            <w:pPr>
              <w:pStyle w:val="ListBullet"/>
              <w:spacing w:before="60" w:after="60"/>
              <w:ind w:left="714" w:hanging="357"/>
              <w:contextualSpacing w:val="0"/>
            </w:pPr>
            <w:r>
              <w:rPr>
                <w:rFonts w:cs="Arial"/>
                <w:color w:val="1C1D1E"/>
                <w:shd w:val="clear" w:color="auto" w:fill="FFFFFF"/>
              </w:rPr>
              <w:t xml:space="preserve">Reported as a </w:t>
            </w:r>
            <w:r w:rsidR="006C4F48">
              <w:rPr>
                <w:rFonts w:cs="Arial"/>
                <w:color w:val="1C1D1E"/>
                <w:shd w:val="clear" w:color="auto" w:fill="FFFFFF"/>
              </w:rPr>
              <w:t>genotoxic carcinogen; predominantly local effect in respiratory tract tissues following inhalation</w:t>
            </w:r>
            <w:r>
              <w:rPr>
                <w:rFonts w:cs="Arial"/>
                <w:color w:val="1C1D1E"/>
                <w:shd w:val="clear" w:color="auto" w:fill="FFFFFF"/>
              </w:rPr>
              <w:t xml:space="preserve"> based on evidence in animals</w:t>
            </w:r>
          </w:p>
          <w:p w14:paraId="0B58A064" w14:textId="097C3E20" w:rsidR="00656B0F" w:rsidRDefault="00656B0F" w:rsidP="00F45499">
            <w:pPr>
              <w:pStyle w:val="ListBullet"/>
              <w:spacing w:before="60" w:after="60"/>
              <w:ind w:left="714" w:hanging="357"/>
              <w:contextualSpacing w:val="0"/>
            </w:pPr>
            <w:r>
              <w:t>Corrosive effect on skin, eyes and mucous membranes of the respiratory tract</w:t>
            </w:r>
          </w:p>
          <w:p w14:paraId="66F6D8A9" w14:textId="4E1D9DF2" w:rsidR="00664586" w:rsidRDefault="00664586" w:rsidP="00F45499">
            <w:pPr>
              <w:pStyle w:val="ListBullet"/>
              <w:spacing w:before="60" w:after="60"/>
              <w:ind w:left="714" w:hanging="357"/>
              <w:contextualSpacing w:val="0"/>
            </w:pPr>
            <w:r>
              <w:lastRenderedPageBreak/>
              <w:t>Maximis</w:t>
            </w:r>
            <w:r w:rsidRPr="00664586">
              <w:t xml:space="preserve">ation test in 15 guinea pigs (20 </w:t>
            </w:r>
            <w:r>
              <w:t>in control group) using i</w:t>
            </w:r>
            <w:r w:rsidRPr="00664586">
              <w:t xml:space="preserve">ntradermal and dermal inductions </w:t>
            </w:r>
            <w:r>
              <w:t>(</w:t>
            </w:r>
            <w:r w:rsidRPr="00664586">
              <w:t xml:space="preserve">5% </w:t>
            </w:r>
            <w:proofErr w:type="spellStart"/>
            <w:r w:rsidRPr="00664586">
              <w:t>epichlorohydrin</w:t>
            </w:r>
            <w:proofErr w:type="spellEnd"/>
            <w:r w:rsidRPr="00664586">
              <w:t xml:space="preserve"> in ethanol, 1% </w:t>
            </w:r>
            <w:proofErr w:type="spellStart"/>
            <w:r w:rsidRPr="00664586">
              <w:t>epichlorohydrin</w:t>
            </w:r>
            <w:proofErr w:type="spellEnd"/>
            <w:r w:rsidRPr="00664586">
              <w:t xml:space="preserve"> in ethanol</w:t>
            </w:r>
            <w:r>
              <w:t xml:space="preserve">) observed </w:t>
            </w:r>
            <w:r w:rsidRPr="00664586">
              <w:t xml:space="preserve">positive </w:t>
            </w:r>
            <w:r>
              <w:t xml:space="preserve">skin sensitisation </w:t>
            </w:r>
            <w:r w:rsidRPr="00664586">
              <w:t xml:space="preserve">reaction </w:t>
            </w:r>
            <w:r w:rsidR="007535D7">
              <w:t>in 9/15 animals</w:t>
            </w:r>
          </w:p>
          <w:p w14:paraId="07718A22" w14:textId="77777777" w:rsidR="00656B0F" w:rsidRDefault="00664586" w:rsidP="00F45499">
            <w:pPr>
              <w:pStyle w:val="ListBullet"/>
              <w:spacing w:before="60" w:after="60"/>
              <w:ind w:left="714" w:hanging="357"/>
              <w:contextualSpacing w:val="0"/>
            </w:pPr>
            <w:r>
              <w:t>Concluded a</w:t>
            </w:r>
            <w:r w:rsidRPr="00664586">
              <w:t>nimal studies pr</w:t>
            </w:r>
            <w:r>
              <w:t>ovided sufficient evidence of skin sensitis</w:t>
            </w:r>
            <w:r w:rsidRPr="00664586">
              <w:t>ation.</w:t>
            </w:r>
          </w:p>
          <w:p w14:paraId="106A65CA" w14:textId="77777777" w:rsidR="00FB1356" w:rsidRDefault="00FB1356" w:rsidP="00E20C1D">
            <w:pPr>
              <w:pStyle w:val="ListBullet"/>
              <w:numPr>
                <w:ilvl w:val="0"/>
                <w:numId w:val="0"/>
              </w:numPr>
              <w:spacing w:before="60" w:after="60"/>
              <w:ind w:left="360" w:hanging="360"/>
              <w:contextualSpacing w:val="0"/>
            </w:pPr>
          </w:p>
          <w:p w14:paraId="7194271C" w14:textId="77777777" w:rsidR="00B1225F" w:rsidRDefault="004847C6" w:rsidP="00E20C1D">
            <w:pPr>
              <w:pStyle w:val="ListBullet"/>
              <w:numPr>
                <w:ilvl w:val="0"/>
                <w:numId w:val="0"/>
              </w:numPr>
              <w:spacing w:before="60" w:after="60"/>
              <w:ind w:left="360" w:hanging="360"/>
              <w:contextualSpacing w:val="0"/>
            </w:pPr>
            <w:r>
              <w:t>Limited, but justifiable evidence for a skin sensitisation notation.</w:t>
            </w:r>
          </w:p>
          <w:p w14:paraId="1ECD8DAD" w14:textId="7EC89F4C" w:rsidR="00FB1356" w:rsidRPr="00DA352E" w:rsidRDefault="00FB1356" w:rsidP="00E20C1D">
            <w:pPr>
              <w:pStyle w:val="ListBullet"/>
              <w:numPr>
                <w:ilvl w:val="0"/>
                <w:numId w:val="0"/>
              </w:numPr>
              <w:spacing w:before="60" w:after="60"/>
              <w:ind w:left="360" w:hanging="360"/>
              <w:contextualSpacing w:val="0"/>
            </w:pPr>
          </w:p>
        </w:tc>
      </w:tr>
      <w:tr w:rsidR="00C978F0" w:rsidRPr="00DA352E" w14:paraId="7CD250CA" w14:textId="77777777" w:rsidTr="008C0F60">
        <w:trPr>
          <w:gridAfter w:val="1"/>
          <w:wAfter w:w="8" w:type="pct"/>
        </w:trPr>
        <w:tc>
          <w:tcPr>
            <w:tcW w:w="4992" w:type="pct"/>
            <w:shd w:val="clear" w:color="auto" w:fill="F2F2F2" w:themeFill="background1" w:themeFillShade="F2"/>
          </w:tcPr>
          <w:p w14:paraId="57E8109E" w14:textId="7495BC26" w:rsidR="00C978F0" w:rsidRPr="00DA352E" w:rsidRDefault="00DA352E" w:rsidP="0051509C">
            <w:pPr>
              <w:pStyle w:val="Tablerowheadingitalic"/>
              <w:tabs>
                <w:tab w:val="clear" w:pos="2268"/>
                <w:tab w:val="clear" w:pos="5670"/>
                <w:tab w:val="left" w:pos="1418"/>
                <w:tab w:val="left" w:pos="2552"/>
              </w:tabs>
            </w:pPr>
            <w:r w:rsidRPr="00DA352E">
              <w:lastRenderedPageBreak/>
              <w:t>SCOEL</w:t>
            </w:r>
            <w:r w:rsidR="00916EC0" w:rsidRPr="003365A5">
              <w:t xml:space="preserve"> </w:t>
            </w:r>
            <w:r w:rsidR="00916EC0" w:rsidRPr="003365A5">
              <w:tab/>
            </w:r>
            <w:sdt>
              <w:sdtPr>
                <w:id w:val="-768699850"/>
                <w:placeholder>
                  <w:docPart w:val="FDC2A24E7D2549238DA6EE03BD0A6AE0"/>
                </w:placeholder>
                <w:text/>
              </w:sdtPr>
              <w:sdtEndPr/>
              <w:sdtContent>
                <w:r w:rsidR="00C84783">
                  <w:t>NA</w:t>
                </w:r>
              </w:sdtContent>
            </w:sdt>
            <w:r w:rsidR="00916EC0" w:rsidRPr="003365A5">
              <w:tab/>
            </w:r>
            <w:r w:rsidR="0051509C">
              <w:tab/>
            </w:r>
            <w:sdt>
              <w:sdtPr>
                <w:alias w:val="SCOEL WES equivalent"/>
                <w:tag w:val="SCOEL WES equivalent"/>
                <w:id w:val="-1474213062"/>
                <w:placeholder>
                  <w:docPart w:val="9E827C9D0DA949E385F2E9AB4264125E"/>
                </w:placeholder>
              </w:sdtPr>
              <w:sdtEndPr/>
              <w:sdtContent>
                <w:proofErr w:type="spellStart"/>
                <w:r w:rsidR="00C84783">
                  <w:t>NA</w:t>
                </w:r>
                <w:proofErr w:type="spellEnd"/>
              </w:sdtContent>
            </w:sdt>
          </w:p>
        </w:tc>
      </w:tr>
      <w:tr w:rsidR="00C978F0" w:rsidRPr="00DA352E" w14:paraId="5D3E822B" w14:textId="77777777" w:rsidTr="008C0F60">
        <w:trPr>
          <w:gridAfter w:val="1"/>
          <w:wAfter w:w="8" w:type="pct"/>
        </w:trPr>
        <w:tc>
          <w:tcPr>
            <w:tcW w:w="4992" w:type="pct"/>
          </w:tcPr>
          <w:p w14:paraId="2B725BF5" w14:textId="71A3B120" w:rsidR="00C978F0" w:rsidRPr="00DA352E" w:rsidRDefault="00C84783" w:rsidP="003365A5">
            <w:pPr>
              <w:pStyle w:val="Tabletextprimarysource"/>
            </w:pPr>
            <w:r>
              <w:t>No report</w:t>
            </w:r>
            <w:r w:rsidR="00A71FC9">
              <w:t>.</w:t>
            </w:r>
          </w:p>
        </w:tc>
      </w:tr>
      <w:tr w:rsidR="00DA352E" w:rsidRPr="00DA352E" w14:paraId="2D3EB8C4" w14:textId="77777777" w:rsidTr="008C0F60">
        <w:trPr>
          <w:gridAfter w:val="1"/>
          <w:wAfter w:w="8" w:type="pct"/>
        </w:trPr>
        <w:tc>
          <w:tcPr>
            <w:tcW w:w="4992" w:type="pct"/>
            <w:shd w:val="clear" w:color="auto" w:fill="F2F2F2" w:themeFill="background1" w:themeFillShade="F2"/>
          </w:tcPr>
          <w:p w14:paraId="4214A65B" w14:textId="3B57D75B" w:rsidR="00DA352E" w:rsidRPr="00DA352E" w:rsidRDefault="00DA352E" w:rsidP="0051509C">
            <w:pPr>
              <w:pStyle w:val="Tablerowheadingitalic"/>
              <w:tabs>
                <w:tab w:val="clear" w:pos="2268"/>
                <w:tab w:val="clear" w:pos="5670"/>
                <w:tab w:val="left" w:pos="1418"/>
                <w:tab w:val="left" w:pos="2552"/>
              </w:tabs>
            </w:pPr>
            <w:r w:rsidRPr="00DA352E">
              <w:t>OARS/AIHA</w:t>
            </w:r>
            <w:r w:rsidR="00916EC0" w:rsidRPr="003365A5">
              <w:t xml:space="preserve"> </w:t>
            </w:r>
            <w:r w:rsidR="00916EC0" w:rsidRPr="003365A5">
              <w:tab/>
            </w:r>
            <w:sdt>
              <w:sdtPr>
                <w:id w:val="-936748013"/>
                <w:placeholder>
                  <w:docPart w:val="47E4EC2DB10B4B8E8A66F7A5C13653CB"/>
                </w:placeholder>
                <w:text/>
              </w:sdtPr>
              <w:sdtEndPr/>
              <w:sdtContent>
                <w:r w:rsidR="00C84783">
                  <w:t>NA</w:t>
                </w:r>
              </w:sdtContent>
            </w:sdt>
            <w:r w:rsidR="00916EC0" w:rsidRPr="003365A5">
              <w:tab/>
            </w:r>
            <w:r w:rsidR="0051509C">
              <w:tab/>
            </w:r>
            <w:sdt>
              <w:sdtPr>
                <w:alias w:val="OARS/AIHA WES equivalent"/>
                <w:tag w:val="OARS/AIHA WES equivalent"/>
                <w:id w:val="-1320338798"/>
                <w:placeholder>
                  <w:docPart w:val="5E4DD00C3A334F93BF5CC79754EBC5EA"/>
                </w:placeholder>
              </w:sdtPr>
              <w:sdtEndPr/>
              <w:sdtContent>
                <w:proofErr w:type="spellStart"/>
                <w:r w:rsidR="00C84783">
                  <w:t>NA</w:t>
                </w:r>
                <w:proofErr w:type="spellEnd"/>
              </w:sdtContent>
            </w:sdt>
          </w:p>
        </w:tc>
      </w:tr>
      <w:tr w:rsidR="00DA352E" w:rsidRPr="00DA352E" w14:paraId="58F78FEB" w14:textId="77777777" w:rsidTr="008C0F60">
        <w:trPr>
          <w:gridAfter w:val="1"/>
          <w:wAfter w:w="8" w:type="pct"/>
        </w:trPr>
        <w:tc>
          <w:tcPr>
            <w:tcW w:w="4992" w:type="pct"/>
          </w:tcPr>
          <w:p w14:paraId="5A430A86" w14:textId="6F3FD11C" w:rsidR="00DA352E" w:rsidRPr="00DA352E" w:rsidRDefault="00C84783" w:rsidP="003365A5">
            <w:pPr>
              <w:pStyle w:val="Tabletextprimarysource"/>
            </w:pPr>
            <w:r>
              <w:t>No report</w:t>
            </w:r>
            <w:r w:rsidR="00A71FC9">
              <w:t>.</w:t>
            </w:r>
          </w:p>
        </w:tc>
      </w:tr>
      <w:tr w:rsidR="00DA352E" w:rsidRPr="00DA352E" w14:paraId="6FEEE72C" w14:textId="77777777" w:rsidTr="008C0F60">
        <w:trPr>
          <w:gridAfter w:val="1"/>
          <w:wAfter w:w="8" w:type="pct"/>
        </w:trPr>
        <w:tc>
          <w:tcPr>
            <w:tcW w:w="4992" w:type="pct"/>
            <w:shd w:val="clear" w:color="auto" w:fill="F2F2F2" w:themeFill="background1" w:themeFillShade="F2"/>
          </w:tcPr>
          <w:p w14:paraId="2C591106" w14:textId="5D2F2801" w:rsidR="00DA352E" w:rsidRPr="00DA352E" w:rsidRDefault="00DA352E" w:rsidP="0051509C">
            <w:pPr>
              <w:pStyle w:val="Tablerowheadingitalic"/>
              <w:tabs>
                <w:tab w:val="clear" w:pos="2268"/>
                <w:tab w:val="clear" w:pos="5670"/>
                <w:tab w:val="left" w:pos="1418"/>
                <w:tab w:val="left" w:pos="2552"/>
              </w:tabs>
            </w:pPr>
            <w:r w:rsidRPr="00DA352E">
              <w:t>HCOTN</w:t>
            </w:r>
            <w:r w:rsidR="00916EC0" w:rsidRPr="003365A5">
              <w:t xml:space="preserve"> </w:t>
            </w:r>
            <w:r w:rsidR="00916EC0" w:rsidRPr="003365A5">
              <w:tab/>
            </w:r>
            <w:sdt>
              <w:sdtPr>
                <w:id w:val="1543090908"/>
                <w:placeholder>
                  <w:docPart w:val="EA1708404F1C4A3BB080A0D8EEB67D1D"/>
                </w:placeholder>
                <w:text/>
              </w:sdtPr>
              <w:sdtEndPr/>
              <w:sdtContent>
                <w:r w:rsidR="00C84783">
                  <w:t>NA</w:t>
                </w:r>
              </w:sdtContent>
            </w:sdt>
            <w:r w:rsidR="00916EC0" w:rsidRPr="003365A5">
              <w:tab/>
            </w:r>
            <w:r w:rsidR="0051509C">
              <w:tab/>
            </w:r>
            <w:sdt>
              <w:sdtPr>
                <w:alias w:val="HCOTN WES equivalent"/>
                <w:tag w:val="HCOTN WES equivalent"/>
                <w:id w:val="1471562734"/>
                <w:placeholder>
                  <w:docPart w:val="F3D4204BA37A4A21A656C76DA4274412"/>
                </w:placeholder>
              </w:sdtPr>
              <w:sdtEndPr/>
              <w:sdtContent>
                <w:proofErr w:type="spellStart"/>
                <w:r w:rsidR="00C84783">
                  <w:t>NA</w:t>
                </w:r>
                <w:proofErr w:type="spellEnd"/>
              </w:sdtContent>
            </w:sdt>
          </w:p>
        </w:tc>
      </w:tr>
      <w:tr w:rsidR="00DA352E" w:rsidRPr="00DA352E" w14:paraId="73B01353" w14:textId="77777777" w:rsidTr="008C0F60">
        <w:trPr>
          <w:gridAfter w:val="1"/>
          <w:wAfter w:w="8" w:type="pct"/>
        </w:trPr>
        <w:tc>
          <w:tcPr>
            <w:tcW w:w="4992" w:type="pct"/>
          </w:tcPr>
          <w:p w14:paraId="3B277494" w14:textId="4988A68E" w:rsidR="00DA352E" w:rsidRPr="00DA352E" w:rsidRDefault="00C84783" w:rsidP="003365A5">
            <w:pPr>
              <w:pStyle w:val="Tabletextprimarysource"/>
            </w:pPr>
            <w:r>
              <w:t>No report</w:t>
            </w:r>
            <w:r w:rsidR="00A71FC9">
              <w:t>.</w:t>
            </w:r>
          </w:p>
        </w:tc>
      </w:tr>
    </w:tbl>
    <w:p w14:paraId="44E254E2" w14:textId="77777777" w:rsidR="00A20751" w:rsidRPr="004C23F4" w:rsidRDefault="00A20751" w:rsidP="003365A5">
      <w:pPr>
        <w:pStyle w:val="Heading3"/>
      </w:pPr>
      <w:bookmarkStart w:id="1" w:name="SecondSource"/>
      <w:r w:rsidRPr="004C23F4">
        <w:t xml:space="preserve">Secondary </w:t>
      </w:r>
      <w:r w:rsidR="0088798F">
        <w:t xml:space="preserve">source reports relied upon </w:t>
      </w:r>
    </w:p>
    <w:tbl>
      <w:tblPr>
        <w:tblStyle w:val="LightList"/>
        <w:tblW w:w="0" w:type="auto"/>
        <w:tblBorders>
          <w:top w:val="single" w:sz="8" w:space="0" w:color="BFBFBF" w:themeColor="background1" w:themeShade="BF"/>
          <w:left w:val="none" w:sz="0" w:space="0" w:color="auto"/>
          <w:bottom w:val="single" w:sz="8" w:space="0" w:color="BFBFBF" w:themeColor="background1" w:themeShade="BF"/>
          <w:right w:val="none" w:sz="0" w:space="0" w:color="auto"/>
          <w:insideH w:val="single" w:sz="8" w:space="0" w:color="BFBFBF" w:themeColor="background1" w:themeShade="BF"/>
        </w:tblBorders>
        <w:tblLook w:val="0600" w:firstRow="0" w:lastRow="0" w:firstColumn="0" w:lastColumn="0" w:noHBand="1" w:noVBand="1"/>
        <w:tblCaption w:val="Table"/>
        <w:tblDescription w:val="Listing secondary sources with reports"/>
      </w:tblPr>
      <w:tblGrid>
        <w:gridCol w:w="1497"/>
        <w:gridCol w:w="424"/>
        <w:gridCol w:w="661"/>
        <w:gridCol w:w="6444"/>
      </w:tblGrid>
      <w:tr w:rsidR="004966BF" w:rsidRPr="00263255" w14:paraId="0DFAB714" w14:textId="77777777" w:rsidTr="00586DD2">
        <w:trPr>
          <w:cantSplit/>
          <w:trHeight w:val="393"/>
          <w:tblHeader/>
        </w:trPr>
        <w:tc>
          <w:tcPr>
            <w:tcW w:w="1497" w:type="dxa"/>
            <w:shd w:val="clear" w:color="auto" w:fill="BFBFBF" w:themeFill="background1" w:themeFillShade="BF"/>
            <w:vAlign w:val="center"/>
          </w:tcPr>
          <w:p w14:paraId="39DF3426" w14:textId="77777777" w:rsidR="004966BF" w:rsidRPr="00263255" w:rsidRDefault="004966BF" w:rsidP="00263255">
            <w:pPr>
              <w:pStyle w:val="Tableheader"/>
            </w:pPr>
            <w:r w:rsidRPr="00263255">
              <w:t>Source</w:t>
            </w:r>
          </w:p>
        </w:tc>
        <w:tc>
          <w:tcPr>
            <w:tcW w:w="424" w:type="dxa"/>
            <w:shd w:val="clear" w:color="auto" w:fill="BFBFBF" w:themeFill="background1" w:themeFillShade="BF"/>
            <w:vAlign w:val="center"/>
          </w:tcPr>
          <w:p w14:paraId="42E06BAC" w14:textId="77777777" w:rsidR="004966BF" w:rsidRPr="00263255" w:rsidRDefault="004966BF" w:rsidP="00263255">
            <w:pPr>
              <w:pStyle w:val="Tableheader"/>
            </w:pPr>
          </w:p>
        </w:tc>
        <w:tc>
          <w:tcPr>
            <w:tcW w:w="661" w:type="dxa"/>
            <w:shd w:val="clear" w:color="auto" w:fill="BFBFBF" w:themeFill="background1" w:themeFillShade="BF"/>
            <w:vAlign w:val="center"/>
          </w:tcPr>
          <w:p w14:paraId="368F8578" w14:textId="77777777" w:rsidR="004966BF" w:rsidRPr="00263255" w:rsidRDefault="004966BF" w:rsidP="00263255">
            <w:pPr>
              <w:pStyle w:val="Tableheader"/>
            </w:pPr>
            <w:r>
              <w:t>Year</w:t>
            </w:r>
          </w:p>
        </w:tc>
        <w:tc>
          <w:tcPr>
            <w:tcW w:w="6444" w:type="dxa"/>
            <w:shd w:val="clear" w:color="auto" w:fill="BFBFBF" w:themeFill="background1" w:themeFillShade="BF"/>
            <w:vAlign w:val="center"/>
          </w:tcPr>
          <w:p w14:paraId="3B001A38" w14:textId="77777777" w:rsidR="004966BF" w:rsidRPr="00263255" w:rsidRDefault="004966BF" w:rsidP="00263255">
            <w:pPr>
              <w:pStyle w:val="Tableheader"/>
            </w:pPr>
            <w:r>
              <w:t>Additional information</w:t>
            </w:r>
          </w:p>
        </w:tc>
      </w:tr>
      <w:tr w:rsidR="004F5740" w:rsidRPr="004C23F4" w14:paraId="33DA68AD" w14:textId="77777777" w:rsidTr="00F45499">
        <w:trPr>
          <w:cantSplit/>
        </w:trPr>
        <w:tc>
          <w:tcPr>
            <w:tcW w:w="1497" w:type="dxa"/>
            <w:tcBorders>
              <w:bottom w:val="single" w:sz="8" w:space="0" w:color="BFBFBF" w:themeColor="background1" w:themeShade="BF"/>
            </w:tcBorders>
          </w:tcPr>
          <w:p w14:paraId="3D26506B" w14:textId="7421E4DD" w:rsidR="004F5740" w:rsidRPr="004C23F4" w:rsidRDefault="004F5740" w:rsidP="004F5740">
            <w:pPr>
              <w:pStyle w:val="Tablefont"/>
            </w:pPr>
            <w:r>
              <w:t>ECHA</w:t>
            </w:r>
          </w:p>
        </w:tc>
        <w:tc>
          <w:tcPr>
            <w:tcW w:w="424" w:type="dxa"/>
            <w:tcBorders>
              <w:bottom w:val="single" w:sz="8" w:space="0" w:color="BFBFBF" w:themeColor="background1" w:themeShade="BF"/>
            </w:tcBorders>
          </w:tcPr>
          <w:p w14:paraId="01E7F5DC" w14:textId="3E964C24" w:rsidR="004F5740" w:rsidRPr="00CE617F" w:rsidRDefault="00D62B8A" w:rsidP="004F5740">
            <w:pPr>
              <w:spacing w:before="40"/>
              <w:jc w:val="center"/>
              <w:rPr>
                <w:rStyle w:val="checkbox"/>
              </w:rPr>
            </w:pPr>
            <w:sdt>
              <w:sdtPr>
                <w:rPr>
                  <w:rStyle w:val="checkbox"/>
                </w:rPr>
                <w:id w:val="607318016"/>
                <w:placeholder>
                  <w:docPart w:val="50BC1BE3999B48AB980C146B62F4E44E"/>
                </w:placeholder>
                <w:dropDownList>
                  <w:listItem w:displayText="" w:value=""/>
                  <w:listItem w:displayText="" w:value=""/>
                  <w:listItem w:displayText="" w:value=""/>
                </w:dropDownList>
              </w:sdtPr>
              <w:sdtEndPr>
                <w:rPr>
                  <w:rStyle w:val="checkbox"/>
                </w:rPr>
              </w:sdtEndPr>
              <w:sdtContent>
                <w:r w:rsidR="004F5740">
                  <w:rPr>
                    <w:rStyle w:val="checkbox"/>
                  </w:rPr>
                  <w:t></w:t>
                </w:r>
              </w:sdtContent>
            </w:sdt>
          </w:p>
        </w:tc>
        <w:tc>
          <w:tcPr>
            <w:tcW w:w="661" w:type="dxa"/>
            <w:tcBorders>
              <w:bottom w:val="single" w:sz="8" w:space="0" w:color="BFBFBF" w:themeColor="background1" w:themeShade="BF"/>
            </w:tcBorders>
          </w:tcPr>
          <w:p w14:paraId="3ACFBC5C" w14:textId="2BB8B47E" w:rsidR="004F5740" w:rsidRPr="004C23F4" w:rsidRDefault="004F5740" w:rsidP="004F5740">
            <w:pPr>
              <w:pStyle w:val="Tablefont"/>
              <w:rPr>
                <w:rStyle w:val="checkbox"/>
                <w:rFonts w:ascii="Arial" w:hAnsi="Arial" w:cs="Arial"/>
              </w:rPr>
            </w:pPr>
            <w:r>
              <w:rPr>
                <w:rStyle w:val="checkbox"/>
                <w:rFonts w:ascii="Arial" w:hAnsi="Arial" w:cs="Arial"/>
              </w:rPr>
              <w:t>2006</w:t>
            </w:r>
          </w:p>
        </w:tc>
        <w:tc>
          <w:tcPr>
            <w:tcW w:w="6444" w:type="dxa"/>
            <w:tcBorders>
              <w:bottom w:val="single" w:sz="8" w:space="0" w:color="BFBFBF" w:themeColor="background1" w:themeShade="BF"/>
            </w:tcBorders>
          </w:tcPr>
          <w:p w14:paraId="46DB39BE" w14:textId="63D625E8" w:rsidR="004F5740" w:rsidRDefault="004F5740" w:rsidP="00E20C1D">
            <w:pPr>
              <w:pStyle w:val="ListBullet"/>
              <w:spacing w:before="60" w:after="60"/>
              <w:ind w:left="714" w:hanging="357"/>
              <w:contextualSpacing w:val="0"/>
              <w:rPr>
                <w:rStyle w:val="checkbox"/>
                <w:rFonts w:ascii="Arial" w:hAnsi="Arial" w:cs="Arial"/>
                <w:lang w:eastAsia="en-AU"/>
              </w:rPr>
            </w:pPr>
            <w:r>
              <w:rPr>
                <w:rStyle w:val="checkbox"/>
                <w:rFonts w:ascii="Arial" w:hAnsi="Arial" w:cs="Arial"/>
              </w:rPr>
              <w:t>LD</w:t>
            </w:r>
            <w:r w:rsidRPr="00412868">
              <w:rPr>
                <w:rStyle w:val="checkbox"/>
                <w:rFonts w:ascii="Arial" w:hAnsi="Arial" w:cs="Arial"/>
                <w:vertAlign w:val="subscript"/>
              </w:rPr>
              <w:t>50</w:t>
            </w:r>
            <w:r>
              <w:rPr>
                <w:rStyle w:val="checkbox"/>
                <w:rFonts w:ascii="Arial" w:hAnsi="Arial" w:cs="Arial"/>
              </w:rPr>
              <w:t>: 515</w:t>
            </w:r>
            <w:r w:rsidR="00A71FC9">
              <w:rPr>
                <w:rStyle w:val="checkbox"/>
                <w:rFonts w:ascii="Arial" w:hAnsi="Arial" w:cs="Arial"/>
              </w:rPr>
              <w:t xml:space="preserve"> </w:t>
            </w:r>
            <w:r>
              <w:rPr>
                <w:rStyle w:val="checkbox"/>
                <w:rFonts w:ascii="Arial" w:hAnsi="Arial" w:cs="Arial"/>
              </w:rPr>
              <w:t>mg/kg (rabbits, dermal)</w:t>
            </w:r>
          </w:p>
          <w:p w14:paraId="4E79DB2F" w14:textId="444BEA7C" w:rsidR="004F5740" w:rsidRPr="004C23F4" w:rsidRDefault="004F5740" w:rsidP="00E20C1D">
            <w:pPr>
              <w:pStyle w:val="ListBullet"/>
              <w:spacing w:before="60" w:after="60"/>
              <w:ind w:left="714" w:hanging="357"/>
              <w:contextualSpacing w:val="0"/>
              <w:rPr>
                <w:rStyle w:val="checkbox"/>
                <w:rFonts w:ascii="Arial" w:hAnsi="Arial" w:cs="Arial"/>
              </w:rPr>
            </w:pPr>
            <w:r>
              <w:rPr>
                <w:rStyle w:val="checkbox"/>
                <w:rFonts w:ascii="Arial" w:hAnsi="Arial" w:cs="Arial"/>
              </w:rPr>
              <w:t>LC</w:t>
            </w:r>
            <w:r w:rsidRPr="00A758AC">
              <w:rPr>
                <w:rStyle w:val="checkbox"/>
                <w:rFonts w:ascii="Arial" w:hAnsi="Arial" w:cs="Arial"/>
                <w:vertAlign w:val="subscript"/>
              </w:rPr>
              <w:t>50</w:t>
            </w:r>
            <w:r w:rsidR="00A71FC9">
              <w:rPr>
                <w:rStyle w:val="checkbox"/>
                <w:rFonts w:ascii="Arial" w:hAnsi="Arial" w:cs="Arial"/>
              </w:rPr>
              <w:t>: 3</w:t>
            </w:r>
            <w:r w:rsidR="004847C6">
              <w:rPr>
                <w:rStyle w:val="checkbox"/>
                <w:rFonts w:ascii="Arial" w:hAnsi="Arial" w:cs="Arial"/>
              </w:rPr>
              <w:t>,</w:t>
            </w:r>
            <w:r w:rsidR="00A71FC9">
              <w:rPr>
                <w:rStyle w:val="checkbox"/>
                <w:rFonts w:ascii="Arial" w:hAnsi="Arial" w:cs="Arial"/>
              </w:rPr>
              <w:t>617 ppm (rats, 1 h</w:t>
            </w:r>
            <w:r>
              <w:rPr>
                <w:rStyle w:val="checkbox"/>
                <w:rFonts w:ascii="Arial" w:hAnsi="Arial" w:cs="Arial"/>
              </w:rPr>
              <w:t>).</w:t>
            </w:r>
          </w:p>
        </w:tc>
      </w:tr>
      <w:tr w:rsidR="00412868" w:rsidRPr="004C23F4" w14:paraId="1661BD30" w14:textId="77777777" w:rsidTr="00F45499">
        <w:tblPrEx>
          <w:tblBorders>
            <w:top w:val="single" w:sz="8" w:space="0" w:color="7F7F7F" w:themeColor="text1" w:themeTint="80"/>
            <w:left w:val="single" w:sz="8" w:space="0" w:color="7F7F7F" w:themeColor="text1" w:themeTint="80"/>
            <w:bottom w:val="single" w:sz="8" w:space="0" w:color="7F7F7F" w:themeColor="text1" w:themeTint="80"/>
            <w:right w:val="single" w:sz="8" w:space="0" w:color="7F7F7F" w:themeColor="text1" w:themeTint="80"/>
            <w:insideH w:val="dotted" w:sz="4" w:space="0" w:color="808080" w:themeColor="background1" w:themeShade="80"/>
          </w:tblBorders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7" w:type="dxa"/>
            <w:tcBorders>
              <w:top w:val="single" w:sz="8" w:space="0" w:color="BFBFBF" w:themeColor="background1" w:themeShade="BF"/>
              <w:left w:val="nil"/>
              <w:bottom w:val="single" w:sz="8" w:space="0" w:color="BFBFBF" w:themeColor="background1" w:themeShade="BF"/>
            </w:tcBorders>
          </w:tcPr>
          <w:p w14:paraId="6008B07A" w14:textId="77777777" w:rsidR="00412868" w:rsidRPr="00412868" w:rsidRDefault="00412868" w:rsidP="00387A9B">
            <w:pPr>
              <w:pStyle w:val="Tablefont"/>
              <w:rPr>
                <w:b w:val="0"/>
              </w:rPr>
            </w:pPr>
            <w:r w:rsidRPr="00412868">
              <w:rPr>
                <w:b w:val="0"/>
              </w:rPr>
              <w:t>NICNAS</w:t>
            </w:r>
          </w:p>
        </w:tc>
        <w:tc>
          <w:tcPr>
            <w:tcW w:w="424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486711B6" w14:textId="77777777" w:rsidR="00412868" w:rsidRPr="00CE617F" w:rsidRDefault="00D62B8A" w:rsidP="00387A9B">
            <w:pPr>
              <w:spacing w:before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eckbox"/>
              </w:rPr>
            </w:pPr>
            <w:sdt>
              <w:sdtPr>
                <w:rPr>
                  <w:rStyle w:val="checkbox"/>
                </w:rPr>
                <w:id w:val="-1588536177"/>
                <w:placeholder>
                  <w:docPart w:val="9A8557C826D546D0B35BAE5D30A96F85"/>
                </w:placeholder>
                <w:dropDownList>
                  <w:listItem w:displayText="" w:value=""/>
                  <w:listItem w:displayText="" w:value=""/>
                  <w:listItem w:displayText="" w:value=""/>
                </w:dropDownList>
              </w:sdtPr>
              <w:sdtEndPr>
                <w:rPr>
                  <w:rStyle w:val="checkbox"/>
                </w:rPr>
              </w:sdtEndPr>
              <w:sdtContent>
                <w:r w:rsidR="00412868">
                  <w:rPr>
                    <w:rStyle w:val="checkbox"/>
                  </w:rPr>
                  <w:t></w:t>
                </w:r>
              </w:sdtContent>
            </w:sdt>
          </w:p>
        </w:tc>
        <w:tc>
          <w:tcPr>
            <w:tcW w:w="661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351F4158" w14:textId="1BF8545E" w:rsidR="00412868" w:rsidRPr="004C23F4" w:rsidRDefault="00412868" w:rsidP="00387A9B">
            <w:pPr>
              <w:pStyle w:val="Tablefon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eckbox"/>
                <w:rFonts w:ascii="Arial" w:hAnsi="Arial" w:cs="Arial"/>
              </w:rPr>
            </w:pPr>
            <w:r>
              <w:rPr>
                <w:rStyle w:val="checkbox"/>
                <w:rFonts w:ascii="Arial" w:hAnsi="Arial" w:cs="Arial"/>
              </w:rPr>
              <w:t>2013</w:t>
            </w:r>
          </w:p>
        </w:tc>
        <w:tc>
          <w:tcPr>
            <w:tcW w:w="6444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  <w:right w:val="nil"/>
            </w:tcBorders>
          </w:tcPr>
          <w:p w14:paraId="54241F77" w14:textId="117E65AF" w:rsidR="00A758AC" w:rsidRDefault="00A758AC" w:rsidP="00E20C1D">
            <w:pPr>
              <w:pStyle w:val="ListBullet"/>
              <w:spacing w:before="60" w:after="60"/>
              <w:ind w:left="714" w:hanging="357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eckbox"/>
                <w:rFonts w:ascii="Arial" w:hAnsi="Arial" w:cs="Arial"/>
                <w:lang w:eastAsia="en-AU"/>
              </w:rPr>
            </w:pPr>
            <w:r>
              <w:rPr>
                <w:rStyle w:val="checkbox"/>
                <w:rFonts w:ascii="Arial" w:hAnsi="Arial" w:cs="Arial"/>
              </w:rPr>
              <w:t>Crit</w:t>
            </w:r>
            <w:r w:rsidRPr="00A758AC">
              <w:rPr>
                <w:rStyle w:val="checkbox"/>
                <w:rFonts w:ascii="Arial" w:hAnsi="Arial" w:cs="Arial"/>
              </w:rPr>
              <w:t xml:space="preserve">ical health effects include systemic long-term </w:t>
            </w:r>
            <w:proofErr w:type="spellStart"/>
            <w:r>
              <w:rPr>
                <w:rStyle w:val="checkbox"/>
                <w:rFonts w:ascii="Arial" w:hAnsi="Arial" w:cs="Arial"/>
              </w:rPr>
              <w:t>reproductivity</w:t>
            </w:r>
            <w:proofErr w:type="spellEnd"/>
            <w:r>
              <w:rPr>
                <w:rStyle w:val="checkbox"/>
                <w:rFonts w:ascii="Arial" w:hAnsi="Arial" w:cs="Arial"/>
              </w:rPr>
              <w:t xml:space="preserve"> </w:t>
            </w:r>
            <w:r w:rsidRPr="00A758AC">
              <w:rPr>
                <w:rStyle w:val="checkbox"/>
                <w:rFonts w:ascii="Arial" w:hAnsi="Arial" w:cs="Arial"/>
              </w:rPr>
              <w:t>effects</w:t>
            </w:r>
            <w:r>
              <w:rPr>
                <w:rStyle w:val="checkbox"/>
                <w:rFonts w:ascii="Arial" w:hAnsi="Arial" w:cs="Arial"/>
              </w:rPr>
              <w:t>, acute mucosal effects and corrosive local effects</w:t>
            </w:r>
          </w:p>
          <w:p w14:paraId="5D890F96" w14:textId="6111B194" w:rsidR="00412868" w:rsidRDefault="00A758AC" w:rsidP="00E20C1D">
            <w:pPr>
              <w:pStyle w:val="ListBullet"/>
              <w:spacing w:before="60" w:after="60"/>
              <w:ind w:left="714" w:hanging="357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eckbox"/>
                <w:rFonts w:ascii="Arial" w:hAnsi="Arial" w:cs="Arial"/>
              </w:rPr>
            </w:pPr>
            <w:r w:rsidRPr="00A758AC">
              <w:rPr>
                <w:rStyle w:val="checkbox"/>
                <w:rFonts w:ascii="Arial" w:hAnsi="Arial" w:cs="Arial"/>
              </w:rPr>
              <w:t xml:space="preserve">Reproductive effects in humans have not been established </w:t>
            </w:r>
            <w:r>
              <w:rPr>
                <w:rStyle w:val="checkbox"/>
                <w:rFonts w:ascii="Arial" w:hAnsi="Arial" w:cs="Arial"/>
              </w:rPr>
              <w:t xml:space="preserve">in worker studies </w:t>
            </w:r>
          </w:p>
          <w:p w14:paraId="0B1A98BA" w14:textId="4F51F415" w:rsidR="00A758AC" w:rsidRPr="004C23F4" w:rsidRDefault="00A758AC" w:rsidP="00E20C1D">
            <w:pPr>
              <w:pStyle w:val="ListBullet"/>
              <w:spacing w:before="60" w:after="60"/>
              <w:ind w:left="714" w:hanging="357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eckbox"/>
                <w:rFonts w:ascii="Arial" w:hAnsi="Arial" w:cs="Arial"/>
              </w:rPr>
            </w:pPr>
            <w:r>
              <w:rPr>
                <w:rStyle w:val="checkbox"/>
                <w:rFonts w:ascii="Arial" w:hAnsi="Arial" w:cs="Arial"/>
              </w:rPr>
              <w:t>G</w:t>
            </w:r>
            <w:r w:rsidRPr="00A758AC">
              <w:rPr>
                <w:rStyle w:val="checkbox"/>
                <w:rFonts w:ascii="Arial" w:hAnsi="Arial" w:cs="Arial"/>
              </w:rPr>
              <w:t xml:space="preserve">enotoxic mode of action for carcinogenicity </w:t>
            </w:r>
            <w:proofErr w:type="gramStart"/>
            <w:r w:rsidRPr="00A758AC">
              <w:rPr>
                <w:rStyle w:val="checkbox"/>
                <w:rFonts w:ascii="Arial" w:hAnsi="Arial" w:cs="Arial"/>
              </w:rPr>
              <w:t>cannot be precluded</w:t>
            </w:r>
            <w:proofErr w:type="gramEnd"/>
            <w:r w:rsidR="007535D7">
              <w:rPr>
                <w:rStyle w:val="checkbox"/>
                <w:rFonts w:ascii="Arial" w:hAnsi="Arial" w:cs="Arial"/>
              </w:rPr>
              <w:t>.</w:t>
            </w:r>
          </w:p>
        </w:tc>
      </w:tr>
      <w:tr w:rsidR="00412868" w:rsidRPr="004C23F4" w14:paraId="5A7FE9CC" w14:textId="77777777" w:rsidTr="00F45499">
        <w:trPr>
          <w:cantSplit/>
        </w:trPr>
        <w:tc>
          <w:tcPr>
            <w:tcW w:w="1497" w:type="dxa"/>
            <w:tcBorders>
              <w:top w:val="single" w:sz="8" w:space="0" w:color="BFBFBF" w:themeColor="background1" w:themeShade="BF"/>
            </w:tcBorders>
          </w:tcPr>
          <w:p w14:paraId="4289F17A" w14:textId="77B47E4D" w:rsidR="00412868" w:rsidRDefault="00412868" w:rsidP="00412868">
            <w:pPr>
              <w:pStyle w:val="Tablefont"/>
            </w:pPr>
            <w:r>
              <w:t>US EPA</w:t>
            </w:r>
          </w:p>
        </w:tc>
        <w:tc>
          <w:tcPr>
            <w:tcW w:w="424" w:type="dxa"/>
            <w:tcBorders>
              <w:top w:val="single" w:sz="8" w:space="0" w:color="BFBFBF" w:themeColor="background1" w:themeShade="BF"/>
            </w:tcBorders>
          </w:tcPr>
          <w:p w14:paraId="4101AD10" w14:textId="625E387F" w:rsidR="00412868" w:rsidRDefault="00D62B8A" w:rsidP="00412868">
            <w:pPr>
              <w:spacing w:before="40"/>
              <w:jc w:val="center"/>
              <w:rPr>
                <w:rStyle w:val="checkbox"/>
              </w:rPr>
            </w:pPr>
            <w:sdt>
              <w:sdtPr>
                <w:rPr>
                  <w:rStyle w:val="checkbox"/>
                </w:rPr>
                <w:id w:val="1015498594"/>
                <w:placeholder>
                  <w:docPart w:val="245544A968CA4DFD981C9BD087FCE98A"/>
                </w:placeholder>
                <w:dropDownList>
                  <w:listItem w:displayText="" w:value=""/>
                  <w:listItem w:displayText="" w:value=""/>
                  <w:listItem w:displayText="" w:value=""/>
                </w:dropDownList>
              </w:sdtPr>
              <w:sdtEndPr>
                <w:rPr>
                  <w:rStyle w:val="checkbox"/>
                </w:rPr>
              </w:sdtEndPr>
              <w:sdtContent>
                <w:r w:rsidR="00412868">
                  <w:rPr>
                    <w:rStyle w:val="checkbox"/>
                  </w:rPr>
                  <w:t></w:t>
                </w:r>
              </w:sdtContent>
            </w:sdt>
          </w:p>
        </w:tc>
        <w:tc>
          <w:tcPr>
            <w:tcW w:w="661" w:type="dxa"/>
            <w:tcBorders>
              <w:top w:val="single" w:sz="8" w:space="0" w:color="BFBFBF" w:themeColor="background1" w:themeShade="BF"/>
            </w:tcBorders>
          </w:tcPr>
          <w:p w14:paraId="78590D2F" w14:textId="6A0A2D88" w:rsidR="00412868" w:rsidRDefault="00412868" w:rsidP="00412868">
            <w:pPr>
              <w:pStyle w:val="Tablefont"/>
              <w:rPr>
                <w:rStyle w:val="checkbox"/>
                <w:rFonts w:ascii="Arial" w:hAnsi="Arial" w:cs="Arial"/>
              </w:rPr>
            </w:pPr>
            <w:r>
              <w:rPr>
                <w:rStyle w:val="checkbox"/>
                <w:rFonts w:ascii="Arial" w:hAnsi="Arial" w:cs="Arial"/>
              </w:rPr>
              <w:t>2015</w:t>
            </w:r>
          </w:p>
        </w:tc>
        <w:tc>
          <w:tcPr>
            <w:tcW w:w="6444" w:type="dxa"/>
            <w:tcBorders>
              <w:top w:val="single" w:sz="8" w:space="0" w:color="BFBFBF" w:themeColor="background1" w:themeShade="BF"/>
            </w:tcBorders>
          </w:tcPr>
          <w:p w14:paraId="0B7F7AE1" w14:textId="7A4B827C" w:rsidR="003F2114" w:rsidRPr="003F2114" w:rsidRDefault="003F2114" w:rsidP="00E20C1D">
            <w:pPr>
              <w:pStyle w:val="ListBullet"/>
              <w:spacing w:before="60" w:after="60"/>
              <w:ind w:left="714" w:hanging="357"/>
              <w:contextualSpacing w:val="0"/>
              <w:rPr>
                <w:rFonts w:cs="Arial"/>
              </w:rPr>
            </w:pPr>
            <w:r>
              <w:rPr>
                <w:rStyle w:val="checkbox"/>
                <w:rFonts w:ascii="Arial" w:hAnsi="Arial" w:cs="Arial"/>
              </w:rPr>
              <w:t>I</w:t>
            </w:r>
            <w:r w:rsidR="00F45499">
              <w:rPr>
                <w:rStyle w:val="checkbox"/>
                <w:rFonts w:ascii="Arial" w:hAnsi="Arial" w:cs="Arial"/>
              </w:rPr>
              <w:t>UR</w:t>
            </w:r>
            <w:r>
              <w:rPr>
                <w:rStyle w:val="checkbox"/>
                <w:rFonts w:ascii="Arial" w:hAnsi="Arial" w:cs="Arial"/>
              </w:rPr>
              <w:t xml:space="preserve"> based on non-</w:t>
            </w:r>
            <w:r w:rsidR="001B19A0">
              <w:rPr>
                <w:rStyle w:val="checkbox"/>
                <w:rFonts w:ascii="Arial" w:hAnsi="Arial" w:cs="Arial"/>
              </w:rPr>
              <w:t>significa</w:t>
            </w:r>
            <w:r w:rsidR="00880C38">
              <w:rPr>
                <w:rStyle w:val="checkbox"/>
                <w:rFonts w:ascii="Arial" w:hAnsi="Arial" w:cs="Arial"/>
              </w:rPr>
              <w:t>n</w:t>
            </w:r>
            <w:r w:rsidR="001B19A0">
              <w:rPr>
                <w:rStyle w:val="checkbox"/>
                <w:rFonts w:ascii="Arial" w:hAnsi="Arial" w:cs="Arial"/>
              </w:rPr>
              <w:t>t</w:t>
            </w:r>
            <w:r>
              <w:rPr>
                <w:rStyle w:val="checkbox"/>
                <w:rFonts w:ascii="Arial" w:hAnsi="Arial" w:cs="Arial"/>
              </w:rPr>
              <w:t xml:space="preserve"> increase in incidence of nasal cavity tumours in rats</w:t>
            </w:r>
            <w:r w:rsidR="00A235F8">
              <w:rPr>
                <w:rStyle w:val="checkbox"/>
                <w:rFonts w:ascii="Arial" w:hAnsi="Arial" w:cs="Arial"/>
              </w:rPr>
              <w:t xml:space="preserve"> (15/140)</w:t>
            </w:r>
            <w:r>
              <w:rPr>
                <w:rStyle w:val="checkbox"/>
                <w:rFonts w:ascii="Arial" w:hAnsi="Arial" w:cs="Arial"/>
              </w:rPr>
              <w:t xml:space="preserve">; </w:t>
            </w:r>
            <w:r>
              <w:t>strong dose rate effect, as evidenced by the tumour response with a high-exposure, short duration group</w:t>
            </w:r>
          </w:p>
          <w:p w14:paraId="2381B238" w14:textId="049E015C" w:rsidR="00412868" w:rsidRDefault="00412868" w:rsidP="00E20C1D">
            <w:pPr>
              <w:pStyle w:val="ListBullet"/>
              <w:spacing w:before="60" w:after="60"/>
              <w:ind w:left="714" w:hanging="357"/>
              <w:contextualSpacing w:val="0"/>
              <w:rPr>
                <w:rStyle w:val="checkbox"/>
                <w:rFonts w:ascii="Arial" w:hAnsi="Arial" w:cs="Arial"/>
              </w:rPr>
            </w:pPr>
            <w:r w:rsidRPr="004D0E94">
              <w:rPr>
                <w:rStyle w:val="checkbox"/>
                <w:rFonts w:ascii="Arial" w:hAnsi="Arial" w:cs="Arial"/>
              </w:rPr>
              <w:t xml:space="preserve">NOAEL for respiratory effects </w:t>
            </w:r>
            <w:r>
              <w:rPr>
                <w:rStyle w:val="checkbox"/>
                <w:rFonts w:ascii="Arial" w:hAnsi="Arial" w:cs="Arial"/>
              </w:rPr>
              <w:t>at</w:t>
            </w:r>
            <w:r w:rsidRPr="004D0E94">
              <w:rPr>
                <w:rStyle w:val="checkbox"/>
                <w:rFonts w:ascii="Arial" w:hAnsi="Arial" w:cs="Arial"/>
              </w:rPr>
              <w:t xml:space="preserve"> 5 ppm</w:t>
            </w:r>
            <w:r w:rsidR="00896FDD">
              <w:rPr>
                <w:rStyle w:val="checkbox"/>
                <w:rFonts w:ascii="Arial" w:hAnsi="Arial" w:cs="Arial"/>
              </w:rPr>
              <w:t xml:space="preserve"> (</w:t>
            </w:r>
            <w:r w:rsidR="004C7FA6">
              <w:rPr>
                <w:rStyle w:val="checkbox"/>
                <w:rFonts w:ascii="Arial" w:hAnsi="Arial" w:cs="Arial"/>
              </w:rPr>
              <w:t>inhalation, 90 days</w:t>
            </w:r>
            <w:r w:rsidR="00896FDD">
              <w:rPr>
                <w:rStyle w:val="checkbox"/>
                <w:rFonts w:ascii="Arial" w:hAnsi="Arial" w:cs="Arial"/>
              </w:rPr>
              <w:t>)</w:t>
            </w:r>
            <w:r>
              <w:rPr>
                <w:rStyle w:val="checkbox"/>
                <w:rFonts w:ascii="Arial" w:hAnsi="Arial" w:cs="Arial"/>
              </w:rPr>
              <w:t xml:space="preserve"> </w:t>
            </w:r>
          </w:p>
          <w:p w14:paraId="419ED2D4" w14:textId="2B4EE782" w:rsidR="00412868" w:rsidRDefault="00412868" w:rsidP="00E20C1D">
            <w:pPr>
              <w:pStyle w:val="ListBullet"/>
              <w:spacing w:before="60" w:after="60"/>
              <w:ind w:left="714" w:hanging="357"/>
              <w:contextualSpacing w:val="0"/>
              <w:rPr>
                <w:rStyle w:val="checkbox"/>
                <w:rFonts w:ascii="Arial" w:hAnsi="Arial" w:cs="Arial"/>
              </w:rPr>
            </w:pPr>
            <w:r>
              <w:rPr>
                <w:rStyle w:val="checkbox"/>
                <w:rFonts w:ascii="Arial" w:hAnsi="Arial" w:cs="Arial"/>
              </w:rPr>
              <w:t>NOAEL for kidney effects 30 ppm</w:t>
            </w:r>
            <w:r w:rsidR="004C7FA6">
              <w:rPr>
                <w:rStyle w:val="checkbox"/>
                <w:rFonts w:ascii="Arial" w:hAnsi="Arial" w:cs="Arial"/>
              </w:rPr>
              <w:t xml:space="preserve"> (inhalation, 90 days)</w:t>
            </w:r>
          </w:p>
          <w:p w14:paraId="0B5BC421" w14:textId="1EC4BEE0" w:rsidR="00412868" w:rsidRPr="004D0E94" w:rsidRDefault="00412868" w:rsidP="00E20C1D">
            <w:pPr>
              <w:pStyle w:val="ListBullet"/>
              <w:spacing w:before="60" w:after="60"/>
              <w:ind w:left="714" w:hanging="357"/>
              <w:contextualSpacing w:val="0"/>
              <w:rPr>
                <w:rStyle w:val="checkbox"/>
                <w:rFonts w:ascii="Arial" w:hAnsi="Arial" w:cs="Arial"/>
              </w:rPr>
            </w:pPr>
            <w:r>
              <w:rPr>
                <w:rStyle w:val="checkbox"/>
                <w:rFonts w:ascii="Arial" w:hAnsi="Arial" w:cs="Arial"/>
              </w:rPr>
              <w:t>LOAE</w:t>
            </w:r>
            <w:r w:rsidR="00F45499">
              <w:rPr>
                <w:rStyle w:val="checkbox"/>
                <w:rFonts w:ascii="Arial" w:hAnsi="Arial" w:cs="Arial"/>
              </w:rPr>
              <w:t>C</w:t>
            </w:r>
            <w:r>
              <w:rPr>
                <w:rStyle w:val="checkbox"/>
                <w:rFonts w:ascii="Arial" w:hAnsi="Arial" w:cs="Arial"/>
              </w:rPr>
              <w:t xml:space="preserve"> 25</w:t>
            </w:r>
            <w:r w:rsidR="00896FDD">
              <w:rPr>
                <w:rStyle w:val="checkbox"/>
                <w:rFonts w:ascii="Arial" w:hAnsi="Arial" w:cs="Arial"/>
              </w:rPr>
              <w:t xml:space="preserve"> </w:t>
            </w:r>
            <w:r>
              <w:rPr>
                <w:rStyle w:val="checkbox"/>
                <w:rFonts w:ascii="Arial" w:hAnsi="Arial" w:cs="Arial"/>
              </w:rPr>
              <w:t>ppm</w:t>
            </w:r>
            <w:r w:rsidR="004C7FA6">
              <w:rPr>
                <w:rStyle w:val="checkbox"/>
                <w:rFonts w:ascii="Arial" w:hAnsi="Arial" w:cs="Arial"/>
              </w:rPr>
              <w:t xml:space="preserve"> for respiratory effects</w:t>
            </w:r>
            <w:r>
              <w:rPr>
                <w:rStyle w:val="checkbox"/>
                <w:rFonts w:ascii="Arial" w:hAnsi="Arial" w:cs="Arial"/>
              </w:rPr>
              <w:t xml:space="preserve"> (inhalation, 90 days)</w:t>
            </w:r>
            <w:r w:rsidR="00A758AC">
              <w:rPr>
                <w:rStyle w:val="checkbox"/>
                <w:rFonts w:ascii="Arial" w:hAnsi="Arial" w:cs="Arial"/>
              </w:rPr>
              <w:t>.</w:t>
            </w:r>
          </w:p>
        </w:tc>
      </w:tr>
    </w:tbl>
    <w:p w14:paraId="0BC7025D" w14:textId="77777777" w:rsidR="007E2A4B" w:rsidRDefault="007E2A4B"/>
    <w:bookmarkEnd w:id="1"/>
    <w:p w14:paraId="6CB2674D" w14:textId="77777777" w:rsidR="007E2A4B" w:rsidRDefault="007E2A4B" w:rsidP="007E2A4B">
      <w:pPr>
        <w:pStyle w:val="Heading3"/>
      </w:pPr>
      <w:r>
        <w:t>Carcinogenicity — non-threshold based genotoxic carcinogens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Table"/>
        <w:tblDescription w:val="Listing secondary sources with reports"/>
      </w:tblPr>
      <w:tblGrid>
        <w:gridCol w:w="6603"/>
        <w:gridCol w:w="2423"/>
      </w:tblGrid>
      <w:tr w:rsidR="002E0D61" w14:paraId="0AB06115" w14:textId="77777777" w:rsidTr="002E1A9A">
        <w:trPr>
          <w:trHeight w:val="454"/>
          <w:tblHeader/>
        </w:trPr>
        <w:tc>
          <w:tcPr>
            <w:tcW w:w="6603" w:type="dxa"/>
            <w:vAlign w:val="center"/>
          </w:tcPr>
          <w:p w14:paraId="1331D3AF" w14:textId="77777777" w:rsidR="002E0D61" w:rsidRDefault="00B1422A" w:rsidP="00C3091E">
            <w:pPr>
              <w:pStyle w:val="Tablefont"/>
              <w:keepNext/>
              <w:keepLines/>
              <w:spacing w:before="40" w:after="40"/>
            </w:pPr>
            <w:bookmarkStart w:id="2" w:name="GCQuest"/>
            <w:r>
              <w:t>Is the chemical mutagenic</w:t>
            </w:r>
            <w:r w:rsidR="002E0D61">
              <w:t>?</w:t>
            </w:r>
          </w:p>
        </w:tc>
        <w:sdt>
          <w:sdtPr>
            <w:id w:val="319705052"/>
            <w:placeholder>
              <w:docPart w:val="0168237C60E6479CAFA3D9A1A8409B78"/>
            </w:placeholder>
            <w:comboBox>
              <w:listItem w:value="Choose an item."/>
              <w:listItem w:displayText="Yes" w:value="Yes"/>
              <w:listItem w:displayText="No" w:value="No"/>
              <w:listItem w:displayText="Insufficient data" w:value="Insufficient data"/>
            </w:comboBox>
          </w:sdtPr>
          <w:sdtEndPr/>
          <w:sdtContent>
            <w:tc>
              <w:tcPr>
                <w:tcW w:w="2423" w:type="dxa"/>
                <w:vAlign w:val="center"/>
              </w:tcPr>
              <w:p w14:paraId="7992AAD3" w14:textId="4778DA83" w:rsidR="002E0D61" w:rsidRDefault="002E1A9A" w:rsidP="00C3091E">
                <w:pPr>
                  <w:pStyle w:val="Tablefont"/>
                  <w:keepNext/>
                  <w:keepLines/>
                  <w:spacing w:before="40" w:after="40"/>
                </w:pPr>
                <w:r>
                  <w:t>Yes</w:t>
                </w:r>
              </w:p>
            </w:tc>
          </w:sdtContent>
        </w:sdt>
      </w:tr>
      <w:tr w:rsidR="008A36CF" w14:paraId="563CFC44" w14:textId="77777777" w:rsidTr="002E1A9A">
        <w:trPr>
          <w:trHeight w:val="454"/>
        </w:trPr>
        <w:tc>
          <w:tcPr>
            <w:tcW w:w="6603" w:type="dxa"/>
            <w:vAlign w:val="center"/>
          </w:tcPr>
          <w:p w14:paraId="2B8922FE" w14:textId="77777777" w:rsidR="008A36CF" w:rsidRDefault="008A36CF" w:rsidP="008A36CF">
            <w:pPr>
              <w:pStyle w:val="Tablefont"/>
              <w:keepNext/>
              <w:keepLines/>
              <w:spacing w:before="40" w:after="40"/>
            </w:pPr>
            <w:r>
              <w:t>Is the chemical carcinogenic with a mutagenic mechanism of action?</w:t>
            </w:r>
          </w:p>
        </w:tc>
        <w:sdt>
          <w:sdtPr>
            <w:id w:val="-1035572737"/>
            <w:placeholder>
              <w:docPart w:val="5CBFEC560F894890BBD09B93174FFAE0"/>
            </w:placeholder>
            <w:comboBox>
              <w:listItem w:value="Choose an item."/>
              <w:listItem w:displayText="Yes" w:value="Yes"/>
              <w:listItem w:displayText="No" w:value="No"/>
              <w:listItem w:displayText="Insufficient data" w:value="Insufficient data"/>
              <w:listItem w:displayText="NA" w:value="NA"/>
            </w:comboBox>
          </w:sdtPr>
          <w:sdtEndPr/>
          <w:sdtContent>
            <w:tc>
              <w:tcPr>
                <w:tcW w:w="2423" w:type="dxa"/>
                <w:vAlign w:val="center"/>
              </w:tcPr>
              <w:p w14:paraId="4710453C" w14:textId="4D748CD0" w:rsidR="008A36CF" w:rsidRDefault="00265A98" w:rsidP="008A36CF">
                <w:pPr>
                  <w:pStyle w:val="Tablefont"/>
                  <w:keepNext/>
                  <w:keepLines/>
                  <w:spacing w:before="40" w:after="40"/>
                </w:pPr>
                <w:r>
                  <w:t>Insufficient data</w:t>
                </w:r>
              </w:p>
            </w:tc>
          </w:sdtContent>
        </w:sdt>
      </w:tr>
      <w:tr w:rsidR="008A36CF" w14:paraId="5D9033FB" w14:textId="77777777" w:rsidTr="002E1A9A">
        <w:trPr>
          <w:trHeight w:val="454"/>
        </w:trPr>
        <w:sdt>
          <w:sdtPr>
            <w:rPr>
              <w:b/>
            </w:rPr>
            <w:id w:val="1830936485"/>
            <w:placeholder>
              <w:docPart w:val="CAD2D506A5824AB88D896BC2795BCEDE"/>
            </w:placeholder>
            <w:dropDownList>
              <w:listItem w:value="Choose an item."/>
              <w:listItem w:displayText="The chemical is a non-threshold based genotoxic carcinogen." w:value="The chemical is a non-threshold based genotoxic carcinogen."/>
              <w:listItem w:displayText="The chemical is not a non-threshold based genotoxic carcinogen." w:value="The chemical is not a non-threshold based genotoxic carcinogen."/>
              <w:listItem w:displayText="Insufficient data are available to determine if the chemical is a non-threshold based genotoxic carcinogen." w:value="Insufficient data are available to determine if the chemical is a non-threshold based genotoxic carcinogen."/>
            </w:dropDownList>
          </w:sdtPr>
          <w:sdtEndPr/>
          <w:sdtContent>
            <w:tc>
              <w:tcPr>
                <w:tcW w:w="6603" w:type="dxa"/>
                <w:vAlign w:val="center"/>
              </w:tcPr>
              <w:p w14:paraId="7CA6A500" w14:textId="05FAC9FF" w:rsidR="008A36CF" w:rsidRPr="006901A2" w:rsidRDefault="00265A98" w:rsidP="008A36CF">
                <w:pPr>
                  <w:pStyle w:val="Tablefont"/>
                  <w:keepNext/>
                  <w:keepLines/>
                  <w:spacing w:before="40" w:after="40"/>
                  <w:rPr>
                    <w:b/>
                  </w:rPr>
                </w:pPr>
                <w:r>
                  <w:rPr>
                    <w:b/>
                  </w:rPr>
                  <w:t>Insufficient data are available to determine if the chemical is a non-threshold based genotoxic carcinogen.</w:t>
                </w:r>
              </w:p>
            </w:tc>
          </w:sdtContent>
        </w:sdt>
        <w:tc>
          <w:tcPr>
            <w:tcW w:w="2423" w:type="dxa"/>
            <w:vAlign w:val="center"/>
          </w:tcPr>
          <w:p w14:paraId="2014EB36" w14:textId="77777777" w:rsidR="008A36CF" w:rsidRDefault="008A36CF" w:rsidP="008A36CF">
            <w:pPr>
              <w:pStyle w:val="Tablefont"/>
              <w:keepNext/>
              <w:keepLines/>
              <w:spacing w:before="40" w:after="40"/>
            </w:pPr>
          </w:p>
        </w:tc>
      </w:tr>
    </w:tbl>
    <w:bookmarkEnd w:id="2"/>
    <w:p w14:paraId="4E4507E2" w14:textId="77777777" w:rsidR="00687890" w:rsidRPr="004C23F4" w:rsidRDefault="00B479A9" w:rsidP="00474E33">
      <w:pPr>
        <w:pStyle w:val="Heading2"/>
      </w:pPr>
      <w:r w:rsidRPr="004C23F4">
        <w:t>Notations</w:t>
      </w:r>
    </w:p>
    <w:tbl>
      <w:tblPr>
        <w:tblStyle w:val="LightList"/>
        <w:tblW w:w="5000" w:type="pct"/>
        <w:tblBorders>
          <w:top w:val="single" w:sz="8" w:space="0" w:color="BFBFBF" w:themeColor="background1" w:themeShade="BF"/>
          <w:left w:val="none" w:sz="0" w:space="0" w:color="auto"/>
          <w:bottom w:val="single" w:sz="8" w:space="0" w:color="BFBFBF" w:themeColor="background1" w:themeShade="BF"/>
          <w:right w:val="none" w:sz="0" w:space="0" w:color="auto"/>
          <w:insideH w:val="single" w:sz="8" w:space="0" w:color="BFBFBF" w:themeColor="background1" w:themeShade="BF"/>
        </w:tblBorders>
        <w:tblLayout w:type="fixed"/>
        <w:tblLook w:val="0600" w:firstRow="0" w:lastRow="0" w:firstColumn="0" w:lastColumn="0" w:noHBand="1" w:noVBand="1"/>
        <w:tblCaption w:val="Table"/>
        <w:tblDescription w:val="Listing notations"/>
      </w:tblPr>
      <w:tblGrid>
        <w:gridCol w:w="3153"/>
        <w:gridCol w:w="5873"/>
      </w:tblGrid>
      <w:tr w:rsidR="00687890" w:rsidRPr="004C23F4" w14:paraId="7821C2D2" w14:textId="77777777" w:rsidTr="00812887">
        <w:trPr>
          <w:cantSplit/>
          <w:tblHeader/>
        </w:trPr>
        <w:tc>
          <w:tcPr>
            <w:tcW w:w="3227" w:type="dxa"/>
            <w:shd w:val="clear" w:color="auto" w:fill="BFBFBF" w:themeFill="background1" w:themeFillShade="BF"/>
            <w:vAlign w:val="center"/>
          </w:tcPr>
          <w:p w14:paraId="494C55C0" w14:textId="77777777" w:rsidR="00687890" w:rsidRPr="004C23F4" w:rsidRDefault="00687890" w:rsidP="00263255">
            <w:pPr>
              <w:pStyle w:val="Tableheader"/>
            </w:pPr>
            <w:bookmarkStart w:id="3" w:name="Notations"/>
            <w:r w:rsidRPr="004C23F4">
              <w:t>Source</w:t>
            </w:r>
          </w:p>
        </w:tc>
        <w:tc>
          <w:tcPr>
            <w:tcW w:w="6015" w:type="dxa"/>
            <w:shd w:val="clear" w:color="auto" w:fill="BFBFBF" w:themeFill="background1" w:themeFillShade="BF"/>
            <w:vAlign w:val="center"/>
          </w:tcPr>
          <w:p w14:paraId="10827727" w14:textId="77777777" w:rsidR="00687890" w:rsidRPr="004C23F4" w:rsidRDefault="00687890" w:rsidP="00F4402E">
            <w:pPr>
              <w:pStyle w:val="Tableheader"/>
              <w:tabs>
                <w:tab w:val="right" w:pos="5272"/>
              </w:tabs>
            </w:pPr>
            <w:r w:rsidRPr="004C23F4">
              <w:t>Notations</w:t>
            </w:r>
            <w:r w:rsidR="003A2B94">
              <w:tab/>
            </w:r>
          </w:p>
        </w:tc>
      </w:tr>
      <w:tr w:rsidR="00687890" w:rsidRPr="004C23F4" w14:paraId="5FD4EA5A" w14:textId="77777777" w:rsidTr="00812887">
        <w:trPr>
          <w:cantSplit/>
        </w:trPr>
        <w:tc>
          <w:tcPr>
            <w:tcW w:w="3227" w:type="dxa"/>
          </w:tcPr>
          <w:p w14:paraId="423BE036" w14:textId="77777777" w:rsidR="004079B4" w:rsidRPr="004C23F4" w:rsidRDefault="00084513" w:rsidP="00F4402E">
            <w:pPr>
              <w:pStyle w:val="Tablefont"/>
            </w:pPr>
            <w:r w:rsidRPr="004C23F4">
              <w:t>SWA</w:t>
            </w:r>
          </w:p>
        </w:tc>
        <w:tc>
          <w:tcPr>
            <w:tcW w:w="6015" w:type="dxa"/>
          </w:tcPr>
          <w:p w14:paraId="0E153D14" w14:textId="4354B3CB" w:rsidR="00687890" w:rsidRPr="00DD2F9B" w:rsidRDefault="009D7ED7" w:rsidP="00DD2F9B">
            <w:pPr>
              <w:pStyle w:val="Tablefont"/>
            </w:pPr>
            <w:proofErr w:type="spellStart"/>
            <w:r w:rsidRPr="009D7ED7">
              <w:t>Carc</w:t>
            </w:r>
            <w:proofErr w:type="spellEnd"/>
            <w:r w:rsidRPr="009D7ED7">
              <w:t>. 1B</w:t>
            </w:r>
            <w:r>
              <w:t xml:space="preserve">, </w:t>
            </w:r>
            <w:proofErr w:type="spellStart"/>
            <w:r w:rsidRPr="009D7ED7">
              <w:t>Skin</w:t>
            </w:r>
            <w:r w:rsidR="00114A8F">
              <w:t>:</w:t>
            </w:r>
            <w:r w:rsidRPr="009D7ED7">
              <w:t>Sen</w:t>
            </w:r>
            <w:proofErr w:type="spellEnd"/>
          </w:p>
        </w:tc>
      </w:tr>
      <w:tr w:rsidR="007925F0" w:rsidRPr="004C23F4" w14:paraId="09BD0DDB" w14:textId="77777777" w:rsidTr="00812887">
        <w:trPr>
          <w:cantSplit/>
        </w:trPr>
        <w:tc>
          <w:tcPr>
            <w:tcW w:w="3227" w:type="dxa"/>
          </w:tcPr>
          <w:p w14:paraId="062F607B" w14:textId="77777777" w:rsidR="004079B4" w:rsidRPr="004C23F4" w:rsidRDefault="007925F0" w:rsidP="00F4402E">
            <w:pPr>
              <w:pStyle w:val="Tablefont"/>
            </w:pPr>
            <w:r>
              <w:lastRenderedPageBreak/>
              <w:t>HCIS</w:t>
            </w:r>
          </w:p>
        </w:tc>
        <w:tc>
          <w:tcPr>
            <w:tcW w:w="6015" w:type="dxa"/>
          </w:tcPr>
          <w:p w14:paraId="629503BB" w14:textId="789F8D32" w:rsidR="007925F0" w:rsidRPr="00DD2F9B" w:rsidRDefault="009D7ED7" w:rsidP="00DD2F9B">
            <w:pPr>
              <w:pStyle w:val="Tablefont"/>
            </w:pPr>
            <w:r w:rsidRPr="009D7ED7">
              <w:t>Carcinogenicity – category 1B</w:t>
            </w:r>
            <w:r>
              <w:t xml:space="preserve">, </w:t>
            </w:r>
            <w:r w:rsidRPr="009D7ED7">
              <w:t>Skin sensitisation – category 1</w:t>
            </w:r>
          </w:p>
        </w:tc>
      </w:tr>
      <w:tr w:rsidR="00AF483F" w:rsidRPr="004C23F4" w14:paraId="4CAB3BEB" w14:textId="77777777" w:rsidTr="00812887">
        <w:trPr>
          <w:cantSplit/>
        </w:trPr>
        <w:tc>
          <w:tcPr>
            <w:tcW w:w="3227" w:type="dxa"/>
          </w:tcPr>
          <w:p w14:paraId="34C933C5" w14:textId="77777777" w:rsidR="00AF483F" w:rsidRPr="004C23F4" w:rsidRDefault="00AF483F" w:rsidP="00F4402E">
            <w:pPr>
              <w:pStyle w:val="Tablefont"/>
            </w:pPr>
            <w:r>
              <w:t>NICNAS</w:t>
            </w:r>
          </w:p>
        </w:tc>
        <w:tc>
          <w:tcPr>
            <w:tcW w:w="6015" w:type="dxa"/>
          </w:tcPr>
          <w:p w14:paraId="25D3E2A9" w14:textId="6C24AB14" w:rsidR="00AF483F" w:rsidRPr="00DD2F9B" w:rsidRDefault="009D7ED7" w:rsidP="00DD2F9B">
            <w:pPr>
              <w:pStyle w:val="Tablefont"/>
            </w:pPr>
            <w:r w:rsidRPr="009D7ED7">
              <w:t>Skin</w:t>
            </w:r>
            <w:r>
              <w:t xml:space="preserve">, </w:t>
            </w:r>
            <w:r w:rsidRPr="009D7ED7">
              <w:t>Skin sensitisation</w:t>
            </w:r>
            <w:r>
              <w:t xml:space="preserve">, </w:t>
            </w:r>
            <w:proofErr w:type="spellStart"/>
            <w:r w:rsidRPr="009D7ED7">
              <w:t>Carc</w:t>
            </w:r>
            <w:proofErr w:type="spellEnd"/>
            <w:r w:rsidRPr="009D7ED7">
              <w:t>. Cat 2</w:t>
            </w:r>
          </w:p>
        </w:tc>
      </w:tr>
      <w:tr w:rsidR="00687890" w:rsidRPr="004C23F4" w14:paraId="399D3128" w14:textId="77777777" w:rsidTr="00812887">
        <w:trPr>
          <w:cantSplit/>
        </w:trPr>
        <w:tc>
          <w:tcPr>
            <w:tcW w:w="3227" w:type="dxa"/>
          </w:tcPr>
          <w:p w14:paraId="60268DFF" w14:textId="77777777" w:rsidR="004079B4" w:rsidRPr="004C23F4" w:rsidRDefault="00687890" w:rsidP="00F4402E">
            <w:pPr>
              <w:pStyle w:val="Tablefont"/>
            </w:pPr>
            <w:r w:rsidRPr="004C23F4">
              <w:t>EU Annex</w:t>
            </w:r>
          </w:p>
        </w:tc>
        <w:tc>
          <w:tcPr>
            <w:tcW w:w="6015" w:type="dxa"/>
          </w:tcPr>
          <w:p w14:paraId="4222517E" w14:textId="092A8326" w:rsidR="00687890" w:rsidRPr="00DD2F9B" w:rsidRDefault="009D7ED7" w:rsidP="00DD2F9B">
            <w:pPr>
              <w:pStyle w:val="Tablefont"/>
            </w:pPr>
            <w:r>
              <w:t>NA</w:t>
            </w:r>
          </w:p>
        </w:tc>
      </w:tr>
      <w:tr w:rsidR="00E41A26" w:rsidRPr="004C23F4" w14:paraId="0B5C65C9" w14:textId="77777777" w:rsidTr="00812887">
        <w:trPr>
          <w:cantSplit/>
        </w:trPr>
        <w:tc>
          <w:tcPr>
            <w:tcW w:w="3227" w:type="dxa"/>
          </w:tcPr>
          <w:p w14:paraId="5E7391F6" w14:textId="77777777" w:rsidR="00E41A26" w:rsidRDefault="00E41A26" w:rsidP="00F4402E">
            <w:pPr>
              <w:pStyle w:val="Tablefont"/>
            </w:pPr>
            <w:r>
              <w:t>ECHA</w:t>
            </w:r>
          </w:p>
        </w:tc>
        <w:tc>
          <w:tcPr>
            <w:tcW w:w="6015" w:type="dxa"/>
          </w:tcPr>
          <w:p w14:paraId="12B380AF" w14:textId="143EB31F" w:rsidR="00E41A26" w:rsidRPr="00DD2F9B" w:rsidRDefault="009D7ED7" w:rsidP="00DD2F9B">
            <w:pPr>
              <w:pStyle w:val="Tablefont"/>
            </w:pPr>
            <w:proofErr w:type="spellStart"/>
            <w:r w:rsidRPr="009D7ED7">
              <w:t>Carc</w:t>
            </w:r>
            <w:proofErr w:type="spellEnd"/>
            <w:r w:rsidRPr="009D7ED7">
              <w:t>. 1B</w:t>
            </w:r>
            <w:r>
              <w:t xml:space="preserve">, </w:t>
            </w:r>
            <w:r w:rsidRPr="009D7ED7">
              <w:t>Skin Sens. 1</w:t>
            </w:r>
          </w:p>
        </w:tc>
      </w:tr>
      <w:tr w:rsidR="002E0D61" w:rsidRPr="004C23F4" w14:paraId="01FA2131" w14:textId="77777777" w:rsidTr="00812887">
        <w:trPr>
          <w:cantSplit/>
        </w:trPr>
        <w:tc>
          <w:tcPr>
            <w:tcW w:w="3227" w:type="dxa"/>
          </w:tcPr>
          <w:p w14:paraId="72B989F0" w14:textId="77777777" w:rsidR="004079B4" w:rsidRPr="004C23F4" w:rsidRDefault="002E0D61" w:rsidP="00F4402E">
            <w:pPr>
              <w:pStyle w:val="Tablefont"/>
            </w:pPr>
            <w:r>
              <w:t>ACGIH</w:t>
            </w:r>
          </w:p>
        </w:tc>
        <w:tc>
          <w:tcPr>
            <w:tcW w:w="6015" w:type="dxa"/>
          </w:tcPr>
          <w:p w14:paraId="52EDA5B0" w14:textId="6F4935AE" w:rsidR="002E0D61" w:rsidRPr="00DD2F9B" w:rsidRDefault="009D7ED7" w:rsidP="00DD2F9B">
            <w:pPr>
              <w:pStyle w:val="Tablefont"/>
            </w:pPr>
            <w:r w:rsidRPr="009D7ED7">
              <w:t>Carcinogenicity – A3</w:t>
            </w:r>
            <w:r>
              <w:t xml:space="preserve">, </w:t>
            </w:r>
            <w:r w:rsidRPr="009D7ED7">
              <w:t>Skin</w:t>
            </w:r>
          </w:p>
        </w:tc>
      </w:tr>
      <w:tr w:rsidR="002E0D61" w:rsidRPr="004C23F4" w14:paraId="41588689" w14:textId="77777777" w:rsidTr="00812887">
        <w:trPr>
          <w:cantSplit/>
        </w:trPr>
        <w:tc>
          <w:tcPr>
            <w:tcW w:w="3227" w:type="dxa"/>
          </w:tcPr>
          <w:p w14:paraId="73D7F684" w14:textId="77777777" w:rsidR="004079B4" w:rsidRPr="004C23F4" w:rsidRDefault="002E0D61" w:rsidP="00F4402E">
            <w:pPr>
              <w:pStyle w:val="Tablefont"/>
            </w:pPr>
            <w:r>
              <w:t>DFG</w:t>
            </w:r>
          </w:p>
        </w:tc>
        <w:tc>
          <w:tcPr>
            <w:tcW w:w="6015" w:type="dxa"/>
          </w:tcPr>
          <w:p w14:paraId="3F191C1E" w14:textId="69BB5F93" w:rsidR="002E0D61" w:rsidRPr="00DD2F9B" w:rsidRDefault="009D7ED7" w:rsidP="00DD2F9B">
            <w:pPr>
              <w:pStyle w:val="Tablefont"/>
            </w:pPr>
            <w:r w:rsidRPr="009D7ED7">
              <w:t>Carcinogenicity – 2</w:t>
            </w:r>
            <w:r>
              <w:t xml:space="preserve">, </w:t>
            </w:r>
            <w:r w:rsidRPr="009D7ED7">
              <w:t>H (skin)</w:t>
            </w:r>
            <w:r>
              <w:t xml:space="preserve">, </w:t>
            </w:r>
            <w:proofErr w:type="spellStart"/>
            <w:r w:rsidRPr="009D7ED7">
              <w:t>Sh</w:t>
            </w:r>
            <w:proofErr w:type="spellEnd"/>
            <w:r w:rsidRPr="009D7ED7">
              <w:t xml:space="preserve"> (dermal sensitiser)</w:t>
            </w:r>
          </w:p>
        </w:tc>
      </w:tr>
      <w:tr w:rsidR="002E0D61" w:rsidRPr="004C23F4" w14:paraId="578A003B" w14:textId="77777777" w:rsidTr="00812887">
        <w:trPr>
          <w:cantSplit/>
        </w:trPr>
        <w:tc>
          <w:tcPr>
            <w:tcW w:w="3227" w:type="dxa"/>
          </w:tcPr>
          <w:p w14:paraId="7C2E153A" w14:textId="77777777" w:rsidR="004079B4" w:rsidRPr="004C23F4" w:rsidRDefault="002E0D61" w:rsidP="00F4402E">
            <w:pPr>
              <w:pStyle w:val="Tablefont"/>
            </w:pPr>
            <w:r>
              <w:t>SCOEL</w:t>
            </w:r>
          </w:p>
        </w:tc>
        <w:tc>
          <w:tcPr>
            <w:tcW w:w="6015" w:type="dxa"/>
          </w:tcPr>
          <w:p w14:paraId="0EF13BA6" w14:textId="38C0B4A8" w:rsidR="002E0D61" w:rsidRPr="00DD2F9B" w:rsidRDefault="009D7ED7" w:rsidP="00DD2F9B">
            <w:pPr>
              <w:pStyle w:val="Tablefont"/>
            </w:pPr>
            <w:r>
              <w:t>NA</w:t>
            </w:r>
          </w:p>
        </w:tc>
      </w:tr>
      <w:tr w:rsidR="002E0D61" w:rsidRPr="004C23F4" w14:paraId="18C0E29D" w14:textId="77777777" w:rsidTr="00812887">
        <w:trPr>
          <w:cantSplit/>
        </w:trPr>
        <w:tc>
          <w:tcPr>
            <w:tcW w:w="3227" w:type="dxa"/>
          </w:tcPr>
          <w:p w14:paraId="6437C8B9" w14:textId="77777777" w:rsidR="004079B4" w:rsidRDefault="002E0D61" w:rsidP="00F4402E">
            <w:pPr>
              <w:pStyle w:val="Tablefont"/>
            </w:pPr>
            <w:r>
              <w:t>HCOTN</w:t>
            </w:r>
          </w:p>
        </w:tc>
        <w:tc>
          <w:tcPr>
            <w:tcW w:w="6015" w:type="dxa"/>
          </w:tcPr>
          <w:p w14:paraId="4B1C539F" w14:textId="1C9F0017" w:rsidR="002E0D61" w:rsidRPr="00DD2F9B" w:rsidRDefault="009D7ED7" w:rsidP="00DD2F9B">
            <w:pPr>
              <w:pStyle w:val="Tablefont"/>
            </w:pPr>
            <w:r>
              <w:t>NA</w:t>
            </w:r>
          </w:p>
        </w:tc>
      </w:tr>
      <w:tr w:rsidR="00386093" w:rsidRPr="004C23F4" w14:paraId="53B64886" w14:textId="77777777" w:rsidTr="00812887">
        <w:trPr>
          <w:cantSplit/>
        </w:trPr>
        <w:tc>
          <w:tcPr>
            <w:tcW w:w="3227" w:type="dxa"/>
          </w:tcPr>
          <w:p w14:paraId="3AC2716F" w14:textId="77777777" w:rsidR="004079B4" w:rsidRDefault="00386093" w:rsidP="00F4402E">
            <w:pPr>
              <w:pStyle w:val="Tablefont"/>
            </w:pPr>
            <w:r>
              <w:t>IARC</w:t>
            </w:r>
          </w:p>
        </w:tc>
        <w:tc>
          <w:tcPr>
            <w:tcW w:w="6015" w:type="dxa"/>
          </w:tcPr>
          <w:p w14:paraId="50868557" w14:textId="04C3FD0D" w:rsidR="00386093" w:rsidRPr="00DD2F9B" w:rsidRDefault="009D7ED7" w:rsidP="00DD2F9B">
            <w:pPr>
              <w:pStyle w:val="Tablefont"/>
            </w:pPr>
            <w:r w:rsidRPr="009D7ED7">
              <w:t>Carcinogenicity – Group 2A</w:t>
            </w:r>
          </w:p>
        </w:tc>
      </w:tr>
      <w:tr w:rsidR="00386093" w:rsidRPr="004C23F4" w14:paraId="578F482B" w14:textId="77777777" w:rsidTr="00812887">
        <w:trPr>
          <w:cantSplit/>
        </w:trPr>
        <w:tc>
          <w:tcPr>
            <w:tcW w:w="3227" w:type="dxa"/>
          </w:tcPr>
          <w:p w14:paraId="1309286E" w14:textId="77777777" w:rsidR="004079B4" w:rsidRDefault="00386093" w:rsidP="00F4402E">
            <w:pPr>
              <w:pStyle w:val="Tablefont"/>
              <w:keepNext/>
            </w:pPr>
            <w:r>
              <w:t>US NIOSH</w:t>
            </w:r>
          </w:p>
        </w:tc>
        <w:tc>
          <w:tcPr>
            <w:tcW w:w="6015" w:type="dxa"/>
          </w:tcPr>
          <w:p w14:paraId="6160BF14" w14:textId="1B2A049C" w:rsidR="00386093" w:rsidRPr="00DD2F9B" w:rsidRDefault="009D7ED7" w:rsidP="00D87570">
            <w:pPr>
              <w:pStyle w:val="Tablefont"/>
              <w:keepNext/>
            </w:pPr>
            <w:r w:rsidRPr="009D7ED7">
              <w:t>SK:SYS</w:t>
            </w:r>
            <w:r>
              <w:t xml:space="preserve">, </w:t>
            </w:r>
            <w:r w:rsidRPr="009D7ED7">
              <w:t>SK:SEN</w:t>
            </w:r>
          </w:p>
        </w:tc>
      </w:tr>
    </w:tbl>
    <w:bookmarkEnd w:id="3"/>
    <w:p w14:paraId="2ED074A9" w14:textId="77777777" w:rsidR="00485BFD" w:rsidRDefault="00485BFD" w:rsidP="00485BFD">
      <w:pPr>
        <w:pStyle w:val="Tablefooter"/>
      </w:pPr>
      <w:r>
        <w:t>NA = not applicable (a recommendation has not been made by this Agency); —</w:t>
      </w:r>
      <w:r w:rsidR="00D87570">
        <w:t xml:space="preserve"> = the Agency has assessed available data for this chemical but has not recommended any notations</w:t>
      </w:r>
    </w:p>
    <w:p w14:paraId="0E184579" w14:textId="77777777" w:rsidR="00474E33" w:rsidRDefault="00474E33" w:rsidP="00474E33">
      <w:pPr>
        <w:pStyle w:val="Heading3"/>
      </w:pPr>
      <w:r>
        <w:t>Skin notation assessment</w:t>
      </w:r>
    </w:p>
    <w:tbl>
      <w:tblPr>
        <w:tblStyle w:val="TableGrid"/>
        <w:tblW w:w="5000" w:type="pct"/>
        <w:tblBorders>
          <w:top w:val="single" w:sz="8" w:space="0" w:color="BFBFBF" w:themeColor="background1" w:themeShade="BF"/>
          <w:left w:val="none" w:sz="0" w:space="0" w:color="auto"/>
          <w:bottom w:val="single" w:sz="8" w:space="0" w:color="BFBFBF" w:themeColor="background1" w:themeShade="BF"/>
          <w:right w:val="none" w:sz="0" w:space="0" w:color="auto"/>
          <w:insideH w:val="single" w:sz="8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  <w:tblCaption w:val="Table"/>
        <w:tblDescription w:val="Skin notation assessment calculation"/>
      </w:tblPr>
      <w:tblGrid>
        <w:gridCol w:w="9026"/>
      </w:tblGrid>
      <w:tr w:rsidR="00932DCE" w:rsidRPr="004C23F4" w14:paraId="017AB027" w14:textId="77777777" w:rsidTr="00EA6243">
        <w:trPr>
          <w:cantSplit/>
          <w:tblHeader/>
        </w:trPr>
        <w:tc>
          <w:tcPr>
            <w:tcW w:w="5000" w:type="pct"/>
            <w:shd w:val="clear" w:color="auto" w:fill="BFBFBF" w:themeFill="background1" w:themeFillShade="BF"/>
            <w:vAlign w:val="center"/>
          </w:tcPr>
          <w:p w14:paraId="542DF0C6" w14:textId="77777777" w:rsidR="00932DCE" w:rsidRPr="004C23F4" w:rsidRDefault="00932DCE" w:rsidP="00F4402E">
            <w:pPr>
              <w:pStyle w:val="Tableheader"/>
              <w:keepNext/>
              <w:tabs>
                <w:tab w:val="right" w:pos="8800"/>
              </w:tabs>
            </w:pPr>
            <w:bookmarkStart w:id="4" w:name="SkinNot"/>
            <w:r>
              <w:t>Calculation</w:t>
            </w:r>
            <w:r w:rsidR="00177CA1">
              <w:tab/>
            </w:r>
          </w:p>
        </w:tc>
      </w:tr>
      <w:tr w:rsidR="00932DCE" w:rsidRPr="004C23F4" w14:paraId="3FB9AFC0" w14:textId="77777777" w:rsidTr="00EA6243">
        <w:trPr>
          <w:cantSplit/>
          <w:tblHeader/>
        </w:trPr>
        <w:tc>
          <w:tcPr>
            <w:tcW w:w="5000" w:type="pct"/>
            <w:vAlign w:val="center"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3828"/>
              <w:gridCol w:w="1128"/>
              <w:gridCol w:w="1128"/>
              <w:gridCol w:w="2726"/>
            </w:tblGrid>
            <w:tr w:rsidR="00111E29" w:rsidRPr="00111E29" w14:paraId="7C14C7D1" w14:textId="77777777" w:rsidTr="004D0E94">
              <w:trPr>
                <w:trHeight w:val="342"/>
              </w:trPr>
              <w:tc>
                <w:tcPr>
                  <w:tcW w:w="217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0B22FCC7" w14:textId="77777777" w:rsidR="00111E29" w:rsidRPr="00111E29" w:rsidRDefault="00111E29" w:rsidP="00111E29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111E29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Adverse effects in human case study:</w:t>
                  </w:r>
                </w:p>
              </w:tc>
              <w:tc>
                <w:tcPr>
                  <w:tcW w:w="64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EB9C"/>
                  <w:noWrap/>
                  <w:vAlign w:val="center"/>
                  <w:hideMark/>
                </w:tcPr>
                <w:p w14:paraId="58481BE2" w14:textId="77777777" w:rsidR="00111E29" w:rsidRPr="00111E29" w:rsidRDefault="00111E29" w:rsidP="00111E29">
                  <w:pPr>
                    <w:spacing w:after="0" w:line="240" w:lineRule="auto"/>
                    <w:jc w:val="center"/>
                    <w:rPr>
                      <w:rFonts w:ascii="Segoe UI" w:eastAsia="Times New Roman" w:hAnsi="Segoe UI" w:cs="Segoe UI"/>
                      <w:color w:val="9C6500"/>
                      <w:sz w:val="18"/>
                      <w:szCs w:val="18"/>
                      <w:lang w:eastAsia="en-AU"/>
                    </w:rPr>
                  </w:pPr>
                  <w:r w:rsidRPr="00111E29">
                    <w:rPr>
                      <w:rFonts w:ascii="Segoe UI" w:eastAsia="Times New Roman" w:hAnsi="Segoe UI" w:cs="Segoe UI"/>
                      <w:color w:val="9C6500"/>
                      <w:sz w:val="18"/>
                      <w:szCs w:val="18"/>
                      <w:lang w:eastAsia="en-AU"/>
                    </w:rPr>
                    <w:t>yes</w:t>
                  </w:r>
                </w:p>
              </w:tc>
              <w:tc>
                <w:tcPr>
                  <w:tcW w:w="64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616292C7" w14:textId="77777777" w:rsidR="00111E29" w:rsidRPr="00111E29" w:rsidRDefault="00111E29" w:rsidP="00111E29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color w:val="C5D9F1"/>
                      <w:sz w:val="18"/>
                      <w:szCs w:val="18"/>
                      <w:lang w:eastAsia="en-AU"/>
                    </w:rPr>
                  </w:pPr>
                  <w:r w:rsidRPr="00111E29">
                    <w:rPr>
                      <w:rFonts w:ascii="Segoe UI" w:eastAsia="Times New Roman" w:hAnsi="Segoe UI" w:cs="Segoe UI"/>
                      <w:color w:val="C5D9F1"/>
                      <w:sz w:val="18"/>
                      <w:szCs w:val="18"/>
                      <w:lang w:eastAsia="en-AU"/>
                    </w:rPr>
                    <w:t>4.00</w:t>
                  </w:r>
                </w:p>
              </w:tc>
              <w:tc>
                <w:tcPr>
                  <w:tcW w:w="154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1DA5C8CB" w14:textId="77777777" w:rsidR="00111E29" w:rsidRPr="00111E29" w:rsidRDefault="00111E29" w:rsidP="00111E29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111E29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</w:tr>
            <w:tr w:rsidR="00111E29" w:rsidRPr="00111E29" w14:paraId="2A6EF882" w14:textId="77777777" w:rsidTr="004D0E94">
              <w:trPr>
                <w:trHeight w:val="342"/>
              </w:trPr>
              <w:tc>
                <w:tcPr>
                  <w:tcW w:w="217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4442A658" w14:textId="77777777" w:rsidR="00111E29" w:rsidRPr="00111E29" w:rsidRDefault="00111E29" w:rsidP="00111E29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111E29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Dermal LD</w:t>
                  </w:r>
                  <w:r w:rsidRPr="00111E29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vertAlign w:val="subscript"/>
                      <w:lang w:eastAsia="en-AU"/>
                    </w:rPr>
                    <w:t>50</w:t>
                  </w:r>
                  <w:r w:rsidRPr="00111E29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 xml:space="preserve"> ≤1000 mg/kg:</w:t>
                  </w:r>
                </w:p>
              </w:tc>
              <w:tc>
                <w:tcPr>
                  <w:tcW w:w="64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EB9C"/>
                  <w:noWrap/>
                  <w:vAlign w:val="center"/>
                  <w:hideMark/>
                </w:tcPr>
                <w:p w14:paraId="4BF45CE7" w14:textId="77777777" w:rsidR="00111E29" w:rsidRPr="00111E29" w:rsidRDefault="00111E29" w:rsidP="00111E29">
                  <w:pPr>
                    <w:spacing w:after="0" w:line="240" w:lineRule="auto"/>
                    <w:jc w:val="center"/>
                    <w:rPr>
                      <w:rFonts w:ascii="Segoe UI" w:eastAsia="Times New Roman" w:hAnsi="Segoe UI" w:cs="Segoe UI"/>
                      <w:color w:val="9C6500"/>
                      <w:sz w:val="18"/>
                      <w:szCs w:val="18"/>
                      <w:lang w:eastAsia="en-AU"/>
                    </w:rPr>
                  </w:pPr>
                  <w:r w:rsidRPr="00111E29">
                    <w:rPr>
                      <w:rFonts w:ascii="Segoe UI" w:eastAsia="Times New Roman" w:hAnsi="Segoe UI" w:cs="Segoe UI"/>
                      <w:color w:val="9C6500"/>
                      <w:sz w:val="18"/>
                      <w:szCs w:val="18"/>
                      <w:lang w:eastAsia="en-AU"/>
                    </w:rPr>
                    <w:t>yes</w:t>
                  </w:r>
                </w:p>
              </w:tc>
              <w:tc>
                <w:tcPr>
                  <w:tcW w:w="64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789CE913" w14:textId="77777777" w:rsidR="00111E29" w:rsidRPr="00111E29" w:rsidRDefault="00111E29" w:rsidP="00111E29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color w:val="C5D9F1"/>
                      <w:sz w:val="18"/>
                      <w:szCs w:val="18"/>
                      <w:lang w:eastAsia="en-AU"/>
                    </w:rPr>
                  </w:pPr>
                  <w:r w:rsidRPr="00111E29">
                    <w:rPr>
                      <w:rFonts w:ascii="Segoe UI" w:eastAsia="Times New Roman" w:hAnsi="Segoe UI" w:cs="Segoe UI"/>
                      <w:color w:val="C5D9F1"/>
                      <w:sz w:val="18"/>
                      <w:szCs w:val="18"/>
                      <w:lang w:eastAsia="en-AU"/>
                    </w:rPr>
                    <w:t>3.00</w:t>
                  </w:r>
                </w:p>
              </w:tc>
              <w:tc>
                <w:tcPr>
                  <w:tcW w:w="154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36A671F8" w14:textId="77777777" w:rsidR="00111E29" w:rsidRPr="00111E29" w:rsidRDefault="00111E29" w:rsidP="00111E29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111E29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</w:tr>
            <w:tr w:rsidR="00111E29" w:rsidRPr="00111E29" w14:paraId="241D5CA9" w14:textId="77777777" w:rsidTr="004D0E94">
              <w:trPr>
                <w:trHeight w:val="342"/>
              </w:trPr>
              <w:tc>
                <w:tcPr>
                  <w:tcW w:w="217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7E405CA7" w14:textId="77777777" w:rsidR="00111E29" w:rsidRPr="00111E29" w:rsidRDefault="00111E29" w:rsidP="00111E29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111E29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Dermal repeat-dose NOAEL ≤200 mg/kg:</w:t>
                  </w:r>
                </w:p>
              </w:tc>
              <w:tc>
                <w:tcPr>
                  <w:tcW w:w="64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062F732D" w14:textId="77777777" w:rsidR="00111E29" w:rsidRPr="00111E29" w:rsidRDefault="00111E29" w:rsidP="00111E29">
                  <w:pPr>
                    <w:spacing w:after="0" w:line="240" w:lineRule="auto"/>
                    <w:jc w:val="center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111E29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  <w:tc>
                <w:tcPr>
                  <w:tcW w:w="64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6562263D" w14:textId="77777777" w:rsidR="00111E29" w:rsidRPr="00111E29" w:rsidRDefault="00111E29" w:rsidP="00111E29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C5D9F1"/>
                      <w:sz w:val="18"/>
                      <w:szCs w:val="18"/>
                      <w:lang w:eastAsia="en-AU"/>
                    </w:rPr>
                  </w:pPr>
                  <w:r w:rsidRPr="00111E29">
                    <w:rPr>
                      <w:rFonts w:ascii="Segoe UI" w:eastAsia="Times New Roman" w:hAnsi="Segoe UI" w:cs="Segoe UI"/>
                      <w:color w:val="C5D9F1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  <w:tc>
                <w:tcPr>
                  <w:tcW w:w="154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0161E867" w14:textId="77777777" w:rsidR="00111E29" w:rsidRPr="00111E29" w:rsidRDefault="00111E29" w:rsidP="00111E29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111E29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</w:tr>
            <w:tr w:rsidR="00111E29" w:rsidRPr="00111E29" w14:paraId="32191620" w14:textId="77777777" w:rsidTr="004D0E94">
              <w:trPr>
                <w:trHeight w:val="342"/>
              </w:trPr>
              <w:tc>
                <w:tcPr>
                  <w:tcW w:w="217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15787D70" w14:textId="77777777" w:rsidR="00111E29" w:rsidRPr="00111E29" w:rsidRDefault="00111E29" w:rsidP="00111E29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111E29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Dermal LD</w:t>
                  </w:r>
                  <w:r w:rsidRPr="00111E29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vertAlign w:val="subscript"/>
                      <w:lang w:eastAsia="en-AU"/>
                    </w:rPr>
                    <w:t>50</w:t>
                  </w:r>
                  <w:r w:rsidRPr="00111E29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/Inhalation LD</w:t>
                  </w:r>
                  <w:r w:rsidRPr="00111E29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vertAlign w:val="subscript"/>
                      <w:lang w:eastAsia="en-AU"/>
                    </w:rPr>
                    <w:t>50</w:t>
                  </w:r>
                  <w:r w:rsidRPr="00111E29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 xml:space="preserve"> &lt;10:</w:t>
                  </w:r>
                </w:p>
              </w:tc>
              <w:tc>
                <w:tcPr>
                  <w:tcW w:w="64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4A70FFF3" w14:textId="77777777" w:rsidR="00111E29" w:rsidRPr="00111E29" w:rsidRDefault="00111E29" w:rsidP="00111E29">
                  <w:pPr>
                    <w:spacing w:after="0" w:line="240" w:lineRule="auto"/>
                    <w:jc w:val="center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111E29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  <w:tc>
                <w:tcPr>
                  <w:tcW w:w="64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6C17EFB1" w14:textId="77777777" w:rsidR="00111E29" w:rsidRPr="00111E29" w:rsidRDefault="00111E29" w:rsidP="00111E29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C5D9F1"/>
                      <w:sz w:val="18"/>
                      <w:szCs w:val="18"/>
                      <w:lang w:eastAsia="en-AU"/>
                    </w:rPr>
                  </w:pPr>
                  <w:r w:rsidRPr="00111E29">
                    <w:rPr>
                      <w:rFonts w:ascii="Segoe UI" w:eastAsia="Times New Roman" w:hAnsi="Segoe UI" w:cs="Segoe UI"/>
                      <w:color w:val="C5D9F1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  <w:tc>
                <w:tcPr>
                  <w:tcW w:w="154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6D535CB9" w14:textId="77777777" w:rsidR="00111E29" w:rsidRPr="00111E29" w:rsidRDefault="00111E29" w:rsidP="00111E29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111E29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</w:tr>
            <w:tr w:rsidR="00111E29" w:rsidRPr="00111E29" w14:paraId="219E39AB" w14:textId="77777777" w:rsidTr="004D0E94">
              <w:trPr>
                <w:trHeight w:val="342"/>
              </w:trPr>
              <w:tc>
                <w:tcPr>
                  <w:tcW w:w="217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07729947" w14:textId="77777777" w:rsidR="00111E29" w:rsidRPr="00111E29" w:rsidRDefault="00111E29" w:rsidP="00111E29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i/>
                      <w:iCs/>
                      <w:color w:val="000000"/>
                      <w:sz w:val="18"/>
                      <w:szCs w:val="18"/>
                      <w:lang w:eastAsia="en-AU"/>
                    </w:rPr>
                  </w:pPr>
                  <w:r w:rsidRPr="00111E29">
                    <w:rPr>
                      <w:rFonts w:ascii="Segoe UI" w:eastAsia="Times New Roman" w:hAnsi="Segoe UI" w:cs="Segoe UI"/>
                      <w:i/>
                      <w:iCs/>
                      <w:color w:val="000000"/>
                      <w:sz w:val="18"/>
                      <w:szCs w:val="18"/>
                      <w:lang w:eastAsia="en-AU"/>
                    </w:rPr>
                    <w:t>In vivo</w:t>
                  </w:r>
                  <w:r w:rsidRPr="00111E29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 xml:space="preserve"> dermal absorption rate &gt;10%:</w:t>
                  </w:r>
                </w:p>
              </w:tc>
              <w:tc>
                <w:tcPr>
                  <w:tcW w:w="64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526EEF7D" w14:textId="77777777" w:rsidR="00111E29" w:rsidRPr="00111E29" w:rsidRDefault="00111E29" w:rsidP="00111E29">
                  <w:pPr>
                    <w:spacing w:after="0" w:line="240" w:lineRule="auto"/>
                    <w:jc w:val="center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111E29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  <w:tc>
                <w:tcPr>
                  <w:tcW w:w="64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04E67F2E" w14:textId="77777777" w:rsidR="00111E29" w:rsidRPr="00111E29" w:rsidRDefault="00111E29" w:rsidP="00111E29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C5D9F1"/>
                      <w:sz w:val="18"/>
                      <w:szCs w:val="18"/>
                      <w:lang w:eastAsia="en-AU"/>
                    </w:rPr>
                  </w:pPr>
                  <w:r w:rsidRPr="00111E29">
                    <w:rPr>
                      <w:rFonts w:ascii="Segoe UI" w:eastAsia="Times New Roman" w:hAnsi="Segoe UI" w:cs="Segoe UI"/>
                      <w:color w:val="C5D9F1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  <w:tc>
                <w:tcPr>
                  <w:tcW w:w="154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19A9C95A" w14:textId="77777777" w:rsidR="00111E29" w:rsidRPr="00111E29" w:rsidRDefault="00111E29" w:rsidP="00111E29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111E29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</w:tr>
            <w:tr w:rsidR="00111E29" w:rsidRPr="00111E29" w14:paraId="73BF2D1F" w14:textId="77777777" w:rsidTr="004D0E94">
              <w:trPr>
                <w:trHeight w:val="342"/>
              </w:trPr>
              <w:tc>
                <w:tcPr>
                  <w:tcW w:w="217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4E1722E5" w14:textId="77777777" w:rsidR="00111E29" w:rsidRPr="00111E29" w:rsidRDefault="00111E29" w:rsidP="00111E29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111E29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Estimated dermal exposure at WES &gt;10%:</w:t>
                  </w:r>
                </w:p>
              </w:tc>
              <w:tc>
                <w:tcPr>
                  <w:tcW w:w="64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68A299DC" w14:textId="77777777" w:rsidR="00111E29" w:rsidRPr="00111E29" w:rsidRDefault="00111E29" w:rsidP="00111E29">
                  <w:pPr>
                    <w:spacing w:after="0" w:line="240" w:lineRule="auto"/>
                    <w:jc w:val="center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111E29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  <w:tc>
                <w:tcPr>
                  <w:tcW w:w="64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40F571A0" w14:textId="77777777" w:rsidR="00111E29" w:rsidRPr="00111E29" w:rsidRDefault="00111E29" w:rsidP="00111E29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C5D9F1"/>
                      <w:sz w:val="18"/>
                      <w:szCs w:val="18"/>
                      <w:lang w:eastAsia="en-AU"/>
                    </w:rPr>
                  </w:pPr>
                  <w:r w:rsidRPr="00111E29">
                    <w:rPr>
                      <w:rFonts w:ascii="Segoe UI" w:eastAsia="Times New Roman" w:hAnsi="Segoe UI" w:cs="Segoe UI"/>
                      <w:color w:val="C5D9F1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  <w:tc>
                <w:tcPr>
                  <w:tcW w:w="154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2314E5C3" w14:textId="77777777" w:rsidR="00111E29" w:rsidRPr="00111E29" w:rsidRDefault="00111E29" w:rsidP="00111E29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111E29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</w:tr>
            <w:tr w:rsidR="00111E29" w:rsidRPr="00111E29" w14:paraId="0C750A75" w14:textId="77777777" w:rsidTr="004D0E94">
              <w:trPr>
                <w:trHeight w:val="342"/>
              </w:trPr>
              <w:tc>
                <w:tcPr>
                  <w:tcW w:w="217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083302D0" w14:textId="77777777" w:rsidR="00111E29" w:rsidRPr="00111E29" w:rsidRDefault="00111E29" w:rsidP="00111E29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111E29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  <w:tc>
                <w:tcPr>
                  <w:tcW w:w="64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27FFA57A" w14:textId="77777777" w:rsidR="00111E29" w:rsidRPr="00111E29" w:rsidRDefault="00111E29" w:rsidP="00111E29">
                  <w:pPr>
                    <w:spacing w:after="0" w:line="240" w:lineRule="auto"/>
                    <w:jc w:val="center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111E29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  <w:tc>
                <w:tcPr>
                  <w:tcW w:w="64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157C10D7" w14:textId="77777777" w:rsidR="00111E29" w:rsidRPr="00111E29" w:rsidRDefault="00111E29" w:rsidP="00111E29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color w:val="C5D9F1"/>
                      <w:sz w:val="18"/>
                      <w:szCs w:val="18"/>
                      <w:lang w:eastAsia="en-AU"/>
                    </w:rPr>
                  </w:pPr>
                  <w:r w:rsidRPr="00111E29">
                    <w:rPr>
                      <w:rFonts w:ascii="Segoe UI" w:eastAsia="Times New Roman" w:hAnsi="Segoe UI" w:cs="Segoe UI"/>
                      <w:color w:val="C5D9F1"/>
                      <w:sz w:val="18"/>
                      <w:szCs w:val="18"/>
                      <w:lang w:eastAsia="en-AU"/>
                    </w:rPr>
                    <w:t>3</w:t>
                  </w:r>
                </w:p>
              </w:tc>
              <w:tc>
                <w:tcPr>
                  <w:tcW w:w="154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539EC193" w14:textId="77777777" w:rsidR="00111E29" w:rsidRPr="00111E29" w:rsidRDefault="00111E29" w:rsidP="00111E29">
                  <w:pPr>
                    <w:spacing w:after="0" w:line="240" w:lineRule="auto"/>
                    <w:rPr>
                      <w:rFonts w:ascii="Segoe UI" w:eastAsia="Times New Roman" w:hAnsi="Segoe UI" w:cs="Segoe UI"/>
                      <w:b/>
                      <w:bCs/>
                      <w:color w:val="000000"/>
                      <w:sz w:val="18"/>
                      <w:szCs w:val="18"/>
                      <w:lang w:eastAsia="en-AU"/>
                    </w:rPr>
                  </w:pPr>
                  <w:r w:rsidRPr="00111E29">
                    <w:rPr>
                      <w:rFonts w:ascii="Segoe UI" w:eastAsia="Times New Roman" w:hAnsi="Segoe UI" w:cs="Segoe UI"/>
                      <w:b/>
                      <w:bCs/>
                      <w:color w:val="000000"/>
                      <w:sz w:val="18"/>
                      <w:szCs w:val="18"/>
                      <w:lang w:eastAsia="en-AU"/>
                    </w:rPr>
                    <w:t>a skin notation is warranted</w:t>
                  </w:r>
                </w:p>
              </w:tc>
            </w:tr>
            <w:tr w:rsidR="00111E29" w:rsidRPr="00111E29" w14:paraId="775AB24C" w14:textId="77777777" w:rsidTr="004D0E94">
              <w:trPr>
                <w:trHeight w:val="240"/>
              </w:trPr>
              <w:tc>
                <w:tcPr>
                  <w:tcW w:w="217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011EED1F" w14:textId="77777777" w:rsidR="00111E29" w:rsidRPr="00111E29" w:rsidRDefault="00111E29" w:rsidP="00111E29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111E29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  <w:tc>
                <w:tcPr>
                  <w:tcW w:w="64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1A7B5DBC" w14:textId="77777777" w:rsidR="00111E29" w:rsidRPr="00111E29" w:rsidRDefault="00111E29" w:rsidP="00111E29">
                  <w:pPr>
                    <w:spacing w:after="0" w:line="240" w:lineRule="auto"/>
                    <w:jc w:val="center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111E29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  <w:tc>
                <w:tcPr>
                  <w:tcW w:w="64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09C7B3DE" w14:textId="77777777" w:rsidR="00111E29" w:rsidRPr="00111E29" w:rsidRDefault="00111E29" w:rsidP="00111E29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111E29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  <w:tc>
                <w:tcPr>
                  <w:tcW w:w="154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4D4BFDF6" w14:textId="77777777" w:rsidR="00111E29" w:rsidRPr="00111E29" w:rsidRDefault="00111E29" w:rsidP="00111E29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111E29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</w:tr>
          </w:tbl>
          <w:p w14:paraId="5AC481F0" w14:textId="77777777" w:rsidR="00932DCE" w:rsidRPr="004C23F4" w:rsidRDefault="00932DCE" w:rsidP="00F9496B">
            <w:pPr>
              <w:pStyle w:val="Tablefont"/>
            </w:pPr>
          </w:p>
        </w:tc>
      </w:tr>
    </w:tbl>
    <w:bookmarkEnd w:id="4"/>
    <w:p w14:paraId="51983CB4" w14:textId="77777777" w:rsidR="00EB3D1B" w:rsidRDefault="00EB3D1B" w:rsidP="00EB3D1B">
      <w:pPr>
        <w:pStyle w:val="Heading3"/>
      </w:pPr>
      <w:r>
        <w:t>IDLH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IDLH Table"/>
        <w:tblDescription w:val="Poses question: Ist here a suitable IDLH value available"/>
      </w:tblPr>
      <w:tblGrid>
        <w:gridCol w:w="4268"/>
        <w:gridCol w:w="4758"/>
      </w:tblGrid>
      <w:tr w:rsidR="00EB3D1B" w14:paraId="595F7BEC" w14:textId="77777777" w:rsidTr="00610F2E">
        <w:trPr>
          <w:trHeight w:val="454"/>
          <w:tblHeader/>
        </w:trPr>
        <w:tc>
          <w:tcPr>
            <w:tcW w:w="4361" w:type="dxa"/>
            <w:vAlign w:val="center"/>
          </w:tcPr>
          <w:p w14:paraId="585DAB11" w14:textId="77777777" w:rsidR="00EB3D1B" w:rsidRDefault="00EB3D1B" w:rsidP="00D87570">
            <w:pPr>
              <w:pStyle w:val="Tablefont"/>
            </w:pPr>
            <w:r>
              <w:t xml:space="preserve">Is there a </w:t>
            </w:r>
            <w:r w:rsidR="006E5D05">
              <w:t>suitable</w:t>
            </w:r>
            <w:r>
              <w:t xml:space="preserve"> IDLH value available?</w:t>
            </w:r>
          </w:p>
        </w:tc>
        <w:sdt>
          <w:sdtPr>
            <w:id w:val="1781757649"/>
            <w:placeholder>
              <w:docPart w:val="F426C563814E402488AC06CC39354A11"/>
            </w:placeholder>
            <w:comboBox>
              <w:listItem w:value="Choose an item."/>
              <w:listItem w:displayText="Yes" w:value="Yes"/>
              <w:listItem w:displayText="Yes, based on LEL" w:value="Yes, based on LEL"/>
              <w:listItem w:displayText="No" w:value="No"/>
              <w:listItem w:displayText="No, the chemical is a genotoxic carcinogen" w:value="No, the chemical is a genotoxic carcinogen"/>
            </w:comboBox>
          </w:sdtPr>
          <w:sdtEndPr/>
          <w:sdtContent>
            <w:tc>
              <w:tcPr>
                <w:tcW w:w="4881" w:type="dxa"/>
                <w:vAlign w:val="center"/>
              </w:tcPr>
              <w:p w14:paraId="1C7897AD" w14:textId="04CC1C46" w:rsidR="00EB3D1B" w:rsidRDefault="001B19A0" w:rsidP="00EB3D1B">
                <w:pPr>
                  <w:pStyle w:val="Tablefont"/>
                </w:pPr>
                <w:r>
                  <w:t>Yes</w:t>
                </w:r>
              </w:p>
            </w:tc>
          </w:sdtContent>
        </w:sdt>
      </w:tr>
    </w:tbl>
    <w:p w14:paraId="3F21EFCA" w14:textId="77777777" w:rsidR="00687890" w:rsidRPr="004C23F4" w:rsidRDefault="00B479A9" w:rsidP="00474E33">
      <w:pPr>
        <w:pStyle w:val="Heading2"/>
      </w:pPr>
      <w:r w:rsidRPr="004C23F4">
        <w:t>Additional information</w:t>
      </w:r>
    </w:p>
    <w:tbl>
      <w:tblPr>
        <w:tblStyle w:val="TableGrid"/>
        <w:tblW w:w="5000" w:type="pct"/>
        <w:tblBorders>
          <w:top w:val="single" w:sz="8" w:space="0" w:color="BFBFBF" w:themeColor="background1" w:themeShade="BF"/>
          <w:left w:val="none" w:sz="0" w:space="0" w:color="auto"/>
          <w:bottom w:val="single" w:sz="8" w:space="0" w:color="BFBFBF" w:themeColor="background1" w:themeShade="BF"/>
          <w:right w:val="none" w:sz="0" w:space="0" w:color="auto"/>
          <w:insideH w:val="single" w:sz="8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  <w:tblCaption w:val="Table"/>
        <w:tblDescription w:val="Showing additional information"/>
      </w:tblPr>
      <w:tblGrid>
        <w:gridCol w:w="3995"/>
        <w:gridCol w:w="5031"/>
      </w:tblGrid>
      <w:tr w:rsidR="001B79E5" w:rsidRPr="004C23F4" w14:paraId="12CD1D6A" w14:textId="77777777" w:rsidTr="00EA6243">
        <w:trPr>
          <w:cantSplit/>
          <w:tblHeader/>
        </w:trPr>
        <w:tc>
          <w:tcPr>
            <w:tcW w:w="4077" w:type="dxa"/>
            <w:vAlign w:val="center"/>
          </w:tcPr>
          <w:p w14:paraId="13F8F72C" w14:textId="77777777" w:rsidR="001B79E5" w:rsidRDefault="001B79E5" w:rsidP="00A31D99">
            <w:pPr>
              <w:pStyle w:val="Tablefont"/>
            </w:pPr>
            <w:r>
              <w:t>Molecular weight:</w:t>
            </w:r>
          </w:p>
        </w:tc>
        <w:sdt>
          <w:sdtPr>
            <w:id w:val="2058126578"/>
            <w:placeholder>
              <w:docPart w:val="0DAD3FB9ACEF4778B961F088737E2361"/>
            </w:placeholder>
          </w:sdtPr>
          <w:sdtEndPr/>
          <w:sdtContent>
            <w:tc>
              <w:tcPr>
                <w:tcW w:w="5165" w:type="dxa"/>
                <w:vAlign w:val="center"/>
              </w:tcPr>
              <w:p w14:paraId="512EFDD8" w14:textId="02899A6B" w:rsidR="001B79E5" w:rsidRDefault="009D7ED7" w:rsidP="001B79E5">
                <w:pPr>
                  <w:pStyle w:val="Tablefont"/>
                </w:pPr>
                <w:r w:rsidRPr="009D7ED7">
                  <w:t>92.52</w:t>
                </w:r>
              </w:p>
            </w:tc>
          </w:sdtContent>
        </w:sdt>
      </w:tr>
      <w:tr w:rsidR="00A31D99" w:rsidRPr="004C23F4" w14:paraId="72D14F99" w14:textId="77777777" w:rsidTr="00EA6243">
        <w:trPr>
          <w:cantSplit/>
          <w:tblHeader/>
        </w:trPr>
        <w:tc>
          <w:tcPr>
            <w:tcW w:w="4077" w:type="dxa"/>
            <w:vAlign w:val="center"/>
          </w:tcPr>
          <w:p w14:paraId="61EE2C18" w14:textId="77777777" w:rsidR="00A31D99" w:rsidRPr="00263255" w:rsidRDefault="00A31D99" w:rsidP="00A31D99">
            <w:pPr>
              <w:pStyle w:val="Tablefont"/>
            </w:pPr>
            <w:r>
              <w:t>Conversion factors at 25</w:t>
            </w:r>
            <w:r>
              <w:rPr>
                <w:rFonts w:cs="Arial"/>
              </w:rPr>
              <w:t>°</w:t>
            </w:r>
            <w:r>
              <w:t xml:space="preserve">C and 101.3 </w:t>
            </w:r>
            <w:proofErr w:type="spellStart"/>
            <w:r>
              <w:t>kPa</w:t>
            </w:r>
            <w:proofErr w:type="spellEnd"/>
            <w:r>
              <w:t xml:space="preserve">: </w:t>
            </w:r>
          </w:p>
        </w:tc>
        <w:tc>
          <w:tcPr>
            <w:tcW w:w="5165" w:type="dxa"/>
            <w:vAlign w:val="center"/>
          </w:tcPr>
          <w:p w14:paraId="091E8497" w14:textId="7F45B0DA" w:rsidR="00A31D99" w:rsidRDefault="00A0643F" w:rsidP="00A174CC">
            <w:pPr>
              <w:pStyle w:val="Tablefont"/>
            </w:pPr>
            <w:r>
              <w:t xml:space="preserve">1 ppm = </w:t>
            </w:r>
            <w:sdt>
              <w:sdtPr>
                <w:id w:val="-371151491"/>
                <w:placeholder>
                  <w:docPart w:val="A7231FB73EFF4B2B92EB3BD21C0CEA01"/>
                </w:placeholder>
              </w:sdtPr>
              <w:sdtEndPr/>
              <w:sdtContent>
                <w:r w:rsidR="009D7ED7">
                  <w:t>3.78</w:t>
                </w:r>
              </w:sdtContent>
            </w:sdt>
            <w:r>
              <w:t xml:space="preserve"> mg/m</w:t>
            </w:r>
            <w:r w:rsidRPr="00D83761">
              <w:rPr>
                <w:vertAlign w:val="superscript"/>
              </w:rPr>
              <w:t>3</w:t>
            </w:r>
            <w:r>
              <w:t>; 1 mg/m</w:t>
            </w:r>
            <w:r w:rsidRPr="00D83761">
              <w:rPr>
                <w:vertAlign w:val="superscript"/>
              </w:rPr>
              <w:t>3</w:t>
            </w:r>
            <w:r>
              <w:t xml:space="preserve"> = </w:t>
            </w:r>
            <w:sdt>
              <w:sdtPr>
                <w:id w:val="-1913150218"/>
                <w:placeholder>
                  <w:docPart w:val="5D98FA8C84704C71B6F1557317AE5303"/>
                </w:placeholder>
              </w:sdtPr>
              <w:sdtEndPr/>
              <w:sdtContent>
                <w:r w:rsidR="009D7ED7">
                  <w:t>0.26</w:t>
                </w:r>
              </w:sdtContent>
            </w:sdt>
            <w:r>
              <w:t xml:space="preserve"> ppm</w:t>
            </w:r>
          </w:p>
        </w:tc>
      </w:tr>
      <w:tr w:rsidR="00687890" w:rsidRPr="004C23F4" w14:paraId="6EC250CC" w14:textId="77777777" w:rsidTr="00EA6243">
        <w:trPr>
          <w:cantSplit/>
          <w:tblHeader/>
        </w:trPr>
        <w:tc>
          <w:tcPr>
            <w:tcW w:w="4077" w:type="dxa"/>
            <w:vAlign w:val="center"/>
          </w:tcPr>
          <w:p w14:paraId="62E78A01" w14:textId="77777777" w:rsidR="00687890" w:rsidRPr="00263255" w:rsidRDefault="00687890" w:rsidP="00263255">
            <w:pPr>
              <w:pStyle w:val="Tablefont"/>
            </w:pPr>
            <w:r w:rsidRPr="00263255">
              <w:t>This chemical is used as a pesticide:</w:t>
            </w:r>
          </w:p>
        </w:tc>
        <w:sdt>
          <w:sdtPr>
            <w:id w:val="1704441067"/>
            <w14:checkbox>
              <w14:checked w14:val="1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165" w:type="dxa"/>
                <w:vAlign w:val="center"/>
              </w:tcPr>
              <w:p w14:paraId="67A63814" w14:textId="6C08A052" w:rsidR="00687890" w:rsidRPr="004C23F4" w:rsidRDefault="004D0E94" w:rsidP="00717D45">
                <w:pPr>
                  <w:pStyle w:val="Tablefont"/>
                </w:pPr>
                <w:r>
                  <w:sym w:font="Wingdings" w:char="F0FC"/>
                </w:r>
              </w:p>
            </w:tc>
          </w:sdtContent>
        </w:sdt>
      </w:tr>
      <w:tr w:rsidR="00687890" w:rsidRPr="004C23F4" w14:paraId="66B1AEC4" w14:textId="77777777" w:rsidTr="00EA6243">
        <w:trPr>
          <w:cantSplit/>
        </w:trPr>
        <w:tc>
          <w:tcPr>
            <w:tcW w:w="4077" w:type="dxa"/>
            <w:vAlign w:val="center"/>
          </w:tcPr>
          <w:p w14:paraId="2FA293C7" w14:textId="77777777" w:rsidR="00687890" w:rsidRPr="00263255" w:rsidRDefault="00687890" w:rsidP="00263255">
            <w:pPr>
              <w:pStyle w:val="Tablefont"/>
            </w:pPr>
            <w:r w:rsidRPr="00263255">
              <w:t>This chemical is a biological product:</w:t>
            </w:r>
          </w:p>
        </w:tc>
        <w:sdt>
          <w:sdtPr>
            <w:id w:val="-65961677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165" w:type="dxa"/>
                <w:vAlign w:val="center"/>
              </w:tcPr>
              <w:p w14:paraId="0B0C01E7" w14:textId="77777777" w:rsidR="00687890" w:rsidRPr="004C23F4" w:rsidRDefault="00A20751" w:rsidP="00717D45">
                <w:pPr>
                  <w:pStyle w:val="Tablefont"/>
                </w:pPr>
                <w:r w:rsidRPr="004C23F4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</w:tr>
      <w:tr w:rsidR="00687890" w:rsidRPr="004C23F4" w14:paraId="31A11C96" w14:textId="77777777" w:rsidTr="00EA6243">
        <w:trPr>
          <w:cantSplit/>
        </w:trPr>
        <w:tc>
          <w:tcPr>
            <w:tcW w:w="4077" w:type="dxa"/>
            <w:vAlign w:val="center"/>
          </w:tcPr>
          <w:p w14:paraId="498A89B7" w14:textId="77777777" w:rsidR="00687890" w:rsidRPr="00263255" w:rsidRDefault="00687890" w:rsidP="00263255">
            <w:pPr>
              <w:pStyle w:val="Tablefont"/>
            </w:pPr>
            <w:r w:rsidRPr="00263255">
              <w:t>This chemical is a by-product of a process:</w:t>
            </w:r>
          </w:p>
        </w:tc>
        <w:sdt>
          <w:sdtPr>
            <w:id w:val="-86313449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165" w:type="dxa"/>
                <w:vAlign w:val="center"/>
              </w:tcPr>
              <w:p w14:paraId="62D21CA0" w14:textId="77777777" w:rsidR="00687890" w:rsidRPr="004C23F4" w:rsidRDefault="00687890" w:rsidP="00717D45">
                <w:pPr>
                  <w:pStyle w:val="Tablefont"/>
                </w:pPr>
                <w:r w:rsidRPr="004C23F4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</w:tr>
      <w:tr w:rsidR="00E06F40" w:rsidRPr="004C23F4" w14:paraId="0EBFE0E2" w14:textId="77777777" w:rsidTr="00EA6243">
        <w:trPr>
          <w:cantSplit/>
        </w:trPr>
        <w:tc>
          <w:tcPr>
            <w:tcW w:w="4077" w:type="dxa"/>
            <w:vAlign w:val="center"/>
          </w:tcPr>
          <w:p w14:paraId="0CD28701" w14:textId="77777777" w:rsidR="00E06F40" w:rsidRPr="00263255" w:rsidRDefault="00E06F40" w:rsidP="00084513">
            <w:pPr>
              <w:pStyle w:val="Tablefont"/>
            </w:pPr>
            <w:r w:rsidRPr="00263255">
              <w:t xml:space="preserve">A biological exposure index has been recommended by </w:t>
            </w:r>
            <w:r w:rsidR="00084513">
              <w:t>these agencies</w:t>
            </w:r>
            <w:r w:rsidRPr="00263255">
              <w:t>:</w:t>
            </w:r>
          </w:p>
        </w:tc>
        <w:tc>
          <w:tcPr>
            <w:tcW w:w="5165" w:type="dxa"/>
            <w:vAlign w:val="center"/>
          </w:tcPr>
          <w:p w14:paraId="0391E30B" w14:textId="624C9ED9" w:rsidR="00E06F40" w:rsidRPr="00A006A0" w:rsidRDefault="00D62B8A" w:rsidP="00B40C60">
            <w:pPr>
              <w:pStyle w:val="Tablefont"/>
              <w:tabs>
                <w:tab w:val="left" w:pos="1310"/>
                <w:tab w:val="left" w:pos="2444"/>
                <w:tab w:val="left" w:pos="3861"/>
              </w:tabs>
            </w:pPr>
            <w:sdt>
              <w:sdtPr>
                <w:id w:val="9275966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06F40" w:rsidRPr="004C23F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E06F40" w:rsidRPr="00A006A0">
              <w:t xml:space="preserve"> ACGIH</w:t>
            </w:r>
            <w:r w:rsidR="00E06F40">
              <w:tab/>
            </w:r>
            <w:sdt>
              <w:sdtPr>
                <w:id w:val="129367724"/>
                <w14:checkbox>
                  <w14:checked w14:val="1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C84783">
                  <w:sym w:font="Wingdings" w:char="F0FC"/>
                </w:r>
              </w:sdtContent>
            </w:sdt>
            <w:r w:rsidR="00E06F40" w:rsidRPr="00A006A0">
              <w:t xml:space="preserve"> DFG</w:t>
            </w:r>
            <w:r w:rsidR="00E06F40">
              <w:tab/>
            </w:r>
            <w:sdt>
              <w:sdtPr>
                <w:id w:val="-153587601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06F40" w:rsidRPr="004C23F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E06F40" w:rsidRPr="00A006A0">
              <w:t xml:space="preserve"> SCOEL</w:t>
            </w:r>
            <w:r w:rsidR="00E06F40">
              <w:tab/>
            </w:r>
          </w:p>
        </w:tc>
      </w:tr>
    </w:tbl>
    <w:p w14:paraId="7223074E" w14:textId="77777777" w:rsidR="007F1005" w:rsidRPr="004C23F4" w:rsidRDefault="007F1005" w:rsidP="00EB3D1B">
      <w:pPr>
        <w:pStyle w:val="Heading2"/>
        <w:keepLines/>
      </w:pPr>
      <w:r w:rsidRPr="004C23F4">
        <w:lastRenderedPageBreak/>
        <w:t xml:space="preserve">Workplace exposure </w:t>
      </w:r>
      <w:r w:rsidR="00B479A9" w:rsidRPr="004C23F4">
        <w:t>standard history</w:t>
      </w:r>
    </w:p>
    <w:tbl>
      <w:tblPr>
        <w:tblStyle w:val="TableGrid"/>
        <w:tblW w:w="5000" w:type="pct"/>
        <w:tblBorders>
          <w:top w:val="single" w:sz="8" w:space="0" w:color="BFBFBF" w:themeColor="background1" w:themeShade="BF"/>
          <w:left w:val="none" w:sz="0" w:space="0" w:color="auto"/>
          <w:bottom w:val="single" w:sz="8" w:space="0" w:color="BFBFBF" w:themeColor="background1" w:themeShade="BF"/>
          <w:right w:val="none" w:sz="0" w:space="0" w:color="auto"/>
          <w:insideH w:val="single" w:sz="8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  <w:tblCaption w:val="Table"/>
        <w:tblDescription w:val="Showing Workplace Exposure Standard history"/>
      </w:tblPr>
      <w:tblGrid>
        <w:gridCol w:w="3979"/>
        <w:gridCol w:w="5047"/>
      </w:tblGrid>
      <w:tr w:rsidR="00224EE2" w:rsidRPr="004C23F4" w14:paraId="27066E4B" w14:textId="77777777" w:rsidTr="00F053FA">
        <w:trPr>
          <w:tblHeader/>
        </w:trPr>
        <w:tc>
          <w:tcPr>
            <w:tcW w:w="4077" w:type="dxa"/>
            <w:shd w:val="clear" w:color="auto" w:fill="BFBFBF" w:themeFill="background1" w:themeFillShade="BF"/>
            <w:vAlign w:val="center"/>
          </w:tcPr>
          <w:p w14:paraId="44DC26EF" w14:textId="77777777" w:rsidR="00224EE2" w:rsidRPr="004C23F4" w:rsidRDefault="00224EE2" w:rsidP="00EB3D1B">
            <w:pPr>
              <w:pStyle w:val="Tableheader"/>
              <w:keepNext/>
              <w:keepLines/>
            </w:pPr>
            <w:bookmarkStart w:id="5" w:name="History" w:colFirst="0" w:colLast="1"/>
            <w:r>
              <w:t>Year</w:t>
            </w:r>
          </w:p>
        </w:tc>
        <w:tc>
          <w:tcPr>
            <w:tcW w:w="5165" w:type="dxa"/>
            <w:shd w:val="clear" w:color="auto" w:fill="BFBFBF" w:themeFill="background1" w:themeFillShade="BF"/>
            <w:vAlign w:val="center"/>
          </w:tcPr>
          <w:p w14:paraId="4CCE725E" w14:textId="77777777" w:rsidR="00224EE2" w:rsidRPr="004C23F4" w:rsidRDefault="00224EE2" w:rsidP="00EB3D1B">
            <w:pPr>
              <w:pStyle w:val="Tableheader"/>
              <w:keepNext/>
              <w:keepLines/>
            </w:pPr>
            <w:r>
              <w:t>Standard</w:t>
            </w:r>
          </w:p>
        </w:tc>
      </w:tr>
      <w:tr w:rsidR="007F1005" w:rsidRPr="004C23F4" w14:paraId="14EA8C7F" w14:textId="77777777" w:rsidTr="00F053FA">
        <w:trPr>
          <w:tblHeader/>
        </w:trPr>
        <w:sdt>
          <w:sdtPr>
            <w:id w:val="-25557549"/>
            <w:placeholder>
              <w:docPart w:val="2BF891C0AB704CDAB9BC6E80D556473F"/>
            </w:placeholder>
            <w:showingPlcHdr/>
            <w:text/>
          </w:sdtPr>
          <w:sdtEndPr/>
          <w:sdtContent>
            <w:tc>
              <w:tcPr>
                <w:tcW w:w="4077" w:type="dxa"/>
                <w:vAlign w:val="center"/>
              </w:tcPr>
              <w:p w14:paraId="3CC20D89" w14:textId="77777777" w:rsidR="007F1005" w:rsidRPr="004C23F4" w:rsidRDefault="00131092" w:rsidP="00EB3D1B">
                <w:pPr>
                  <w:pStyle w:val="Tablefont"/>
                  <w:keepLines/>
                </w:pPr>
                <w:r w:rsidRPr="004C23F4">
                  <w:rPr>
                    <w:rStyle w:val="PlaceholderText"/>
                    <w:rFonts w:cs="Arial"/>
                  </w:rPr>
                  <w:t>Click here to enter year</w:t>
                </w:r>
              </w:p>
            </w:tc>
          </w:sdtContent>
        </w:sdt>
        <w:tc>
          <w:tcPr>
            <w:tcW w:w="5165" w:type="dxa"/>
            <w:vAlign w:val="center"/>
          </w:tcPr>
          <w:p w14:paraId="7B8E15E2" w14:textId="77777777" w:rsidR="007F1005" w:rsidRPr="004C23F4" w:rsidRDefault="007F1005" w:rsidP="00EB3D1B">
            <w:pPr>
              <w:pStyle w:val="Tablefont"/>
              <w:keepLines/>
            </w:pPr>
          </w:p>
        </w:tc>
      </w:tr>
    </w:tbl>
    <w:bookmarkEnd w:id="5"/>
    <w:p w14:paraId="051C8E53" w14:textId="77777777" w:rsidR="00F87D92" w:rsidRDefault="00F87D92" w:rsidP="00EF7F78">
      <w:pPr>
        <w:pStyle w:val="Heading2"/>
        <w:tabs>
          <w:tab w:val="right" w:pos="8505"/>
        </w:tabs>
      </w:pPr>
      <w:r>
        <w:t>References</w:t>
      </w:r>
      <w:r w:rsidR="00EF7F78">
        <w:tab/>
      </w:r>
    </w:p>
    <w:p w14:paraId="338CC3BF" w14:textId="7A519ED2" w:rsidR="007F1005" w:rsidRDefault="006650FE" w:rsidP="00084859">
      <w:r>
        <w:t>American Conference of Industrial Hygienists (ACGIH</w:t>
      </w:r>
      <w:r>
        <w:rPr>
          <w:vertAlign w:val="superscript"/>
        </w:rPr>
        <w:t>®</w:t>
      </w:r>
      <w:r>
        <w:t>) (201</w:t>
      </w:r>
      <w:r w:rsidR="00F67BBB">
        <w:t>8</w:t>
      </w:r>
      <w:r>
        <w:t>) TLVs</w:t>
      </w:r>
      <w:r>
        <w:rPr>
          <w:vertAlign w:val="superscript"/>
        </w:rPr>
        <w:t>®</w:t>
      </w:r>
      <w:r>
        <w:t xml:space="preserve"> and BEIs</w:t>
      </w:r>
      <w:r>
        <w:rPr>
          <w:vertAlign w:val="superscript"/>
        </w:rPr>
        <w:t>®</w:t>
      </w:r>
      <w:r>
        <w:t xml:space="preserve"> with 7</w:t>
      </w:r>
      <w:r>
        <w:rPr>
          <w:vertAlign w:val="superscript"/>
        </w:rPr>
        <w:t>th</w:t>
      </w:r>
      <w:r>
        <w:t xml:space="preserve"> Edition Documentation, CD-ROM, Single User Version. Copyright 201</w:t>
      </w:r>
      <w:r w:rsidR="00F67BBB">
        <w:t>8</w:t>
      </w:r>
      <w:r>
        <w:t xml:space="preserve">. Reprinted with permission. See the </w:t>
      </w:r>
      <w:hyperlink r:id="rId17" w:history="1">
        <w:r>
          <w:rPr>
            <w:rStyle w:val="Hyperlink"/>
            <w:i/>
          </w:rPr>
          <w:t>TLVs</w:t>
        </w:r>
        <w:r>
          <w:rPr>
            <w:rStyle w:val="Hyperlink"/>
            <w:i/>
            <w:vertAlign w:val="superscript"/>
          </w:rPr>
          <w:t>®</w:t>
        </w:r>
        <w:r>
          <w:rPr>
            <w:rStyle w:val="Hyperlink"/>
            <w:i/>
          </w:rPr>
          <w:t xml:space="preserve"> and BEIs</w:t>
        </w:r>
        <w:r>
          <w:rPr>
            <w:rStyle w:val="Hyperlink"/>
            <w:i/>
            <w:vertAlign w:val="superscript"/>
          </w:rPr>
          <w:t>®</w:t>
        </w:r>
        <w:r>
          <w:rPr>
            <w:rStyle w:val="Hyperlink"/>
            <w:i/>
          </w:rPr>
          <w:t xml:space="preserve"> Guidelines section</w:t>
        </w:r>
      </w:hyperlink>
      <w:r>
        <w:t xml:space="preserve"> on the ACGIH website.</w:t>
      </w:r>
    </w:p>
    <w:p w14:paraId="3F95A187" w14:textId="4DCCDF78" w:rsidR="00D055BC" w:rsidRDefault="00D055BC" w:rsidP="00084859">
      <w:r>
        <w:t>Europe</w:t>
      </w:r>
      <w:r w:rsidR="00412868">
        <w:t>an Chemicals Agency (ECHA) (2006</w:t>
      </w:r>
      <w:r>
        <w:t xml:space="preserve">) </w:t>
      </w:r>
      <w:proofErr w:type="spellStart"/>
      <w:r w:rsidRPr="00D055BC">
        <w:t>Epichlorohydrin</w:t>
      </w:r>
      <w:proofErr w:type="spellEnd"/>
      <w:r>
        <w:t xml:space="preserve"> – REACH assessment.</w:t>
      </w:r>
    </w:p>
    <w:p w14:paraId="6CC3F4A3" w14:textId="735C48A7" w:rsidR="00D055BC" w:rsidRDefault="00D055BC" w:rsidP="00084859">
      <w:r>
        <w:t xml:space="preserve">Deutsche </w:t>
      </w:r>
      <w:proofErr w:type="spellStart"/>
      <w:r>
        <w:t>Forschungsgemeinschaft</w:t>
      </w:r>
      <w:proofErr w:type="spellEnd"/>
      <w:r>
        <w:t xml:space="preserve"> (DFG) (2015) </w:t>
      </w:r>
      <w:r w:rsidR="00A71FC9">
        <w:t>1</w:t>
      </w:r>
      <w:r w:rsidR="00A71FC9">
        <w:rPr>
          <w:rFonts w:ascii="Cambria Math" w:hAnsi="Cambria Math" w:cs="Cambria Math"/>
        </w:rPr>
        <w:t>‐</w:t>
      </w:r>
      <w:r w:rsidR="00A71FC9">
        <w:t>Chloro</w:t>
      </w:r>
      <w:r w:rsidR="00A71FC9">
        <w:rPr>
          <w:rFonts w:ascii="Cambria Math" w:hAnsi="Cambria Math" w:cs="Cambria Math"/>
        </w:rPr>
        <w:t>‐</w:t>
      </w:r>
      <w:r w:rsidR="00A71FC9">
        <w:t>2</w:t>
      </w:r>
      <w:proofErr w:type="gramStart"/>
      <w:r w:rsidR="00A71FC9">
        <w:t>,3</w:t>
      </w:r>
      <w:proofErr w:type="gramEnd"/>
      <w:r w:rsidR="00A71FC9">
        <w:rPr>
          <w:rFonts w:ascii="Cambria Math" w:hAnsi="Cambria Math" w:cs="Cambria Math"/>
        </w:rPr>
        <w:t>‐</w:t>
      </w:r>
      <w:r w:rsidR="00A71FC9">
        <w:t>epoxypropane</w:t>
      </w:r>
      <w:r>
        <w:t xml:space="preserve"> </w:t>
      </w:r>
      <w:r w:rsidR="00A71FC9">
        <w:t>(</w:t>
      </w:r>
      <w:proofErr w:type="spellStart"/>
      <w:r w:rsidR="00A71FC9" w:rsidRPr="00D055BC">
        <w:t>Epichlorohydrin</w:t>
      </w:r>
      <w:proofErr w:type="spellEnd"/>
      <w:r w:rsidR="00A71FC9">
        <w:t xml:space="preserve">) </w:t>
      </w:r>
      <w:r>
        <w:t>– MAK value documentation.</w:t>
      </w:r>
    </w:p>
    <w:p w14:paraId="3EAFD0A4" w14:textId="0CAAC13C" w:rsidR="00D055BC" w:rsidRDefault="00D055BC" w:rsidP="00084859">
      <w:r>
        <w:t>International Agency for Research on Cancer (IARC) (</w:t>
      </w:r>
      <w:r w:rsidRPr="00D055BC">
        <w:t>1999</w:t>
      </w:r>
      <w:r>
        <w:t xml:space="preserve">) </w:t>
      </w:r>
      <w:proofErr w:type="spellStart"/>
      <w:r w:rsidRPr="00D055BC">
        <w:t>Epichlorohydrin</w:t>
      </w:r>
      <w:proofErr w:type="spellEnd"/>
      <w:r>
        <w:t>. IARC Monographs on the evaluation of the carcinogenic risk to humans.</w:t>
      </w:r>
    </w:p>
    <w:p w14:paraId="7EAE51F4" w14:textId="77256BC4" w:rsidR="00412868" w:rsidRDefault="00412868" w:rsidP="00586DD2">
      <w:r w:rsidRPr="00412868">
        <w:t xml:space="preserve">National Industrial Chemicals Notification and </w:t>
      </w:r>
      <w:r>
        <w:t>Assessment Scheme (NICNAS) (2013</w:t>
      </w:r>
      <w:r w:rsidRPr="00412868">
        <w:t xml:space="preserve">) </w:t>
      </w:r>
      <w:proofErr w:type="spellStart"/>
      <w:r>
        <w:t>Oxirane</w:t>
      </w:r>
      <w:proofErr w:type="spellEnd"/>
      <w:r>
        <w:t>, (</w:t>
      </w:r>
      <w:proofErr w:type="spellStart"/>
      <w:r>
        <w:t>chloromethyl</w:t>
      </w:r>
      <w:proofErr w:type="spellEnd"/>
      <w:r>
        <w:t>)</w:t>
      </w:r>
      <w:r w:rsidRPr="00412868">
        <w:t>: Human health tier II assessment – IMAP report.</w:t>
      </w:r>
    </w:p>
    <w:p w14:paraId="068EF847" w14:textId="590DBA3B" w:rsidR="00586DD2" w:rsidRDefault="00586DD2" w:rsidP="00586DD2">
      <w:r>
        <w:t>US Environmental Protection Authority (US EPA) (</w:t>
      </w:r>
      <w:r w:rsidR="00FA4F62">
        <w:t>2015</w:t>
      </w:r>
      <w:r>
        <w:t xml:space="preserve">) </w:t>
      </w:r>
      <w:r w:rsidRPr="003448DD">
        <w:t>Integrated R</w:t>
      </w:r>
      <w:r>
        <w:t xml:space="preserve">isk Information System (IRIS) </w:t>
      </w:r>
      <w:r w:rsidRPr="003448DD">
        <w:t>Chemical Assessment Summary</w:t>
      </w:r>
      <w:r>
        <w:t xml:space="preserve"> – </w:t>
      </w:r>
      <w:proofErr w:type="spellStart"/>
      <w:r w:rsidR="00FA4F62" w:rsidRPr="00FA4F62">
        <w:t>Epichlorohydrin</w:t>
      </w:r>
      <w:proofErr w:type="spellEnd"/>
      <w:proofErr w:type="gramStart"/>
      <w:r w:rsidR="00FA4F62" w:rsidRPr="00FA4F62">
        <w:t>;</w:t>
      </w:r>
      <w:proofErr w:type="gramEnd"/>
      <w:r w:rsidR="00FA4F62" w:rsidRPr="00FA4F62">
        <w:t xml:space="preserve"> CASRN 106-89-8</w:t>
      </w:r>
      <w:r>
        <w:t>.</w:t>
      </w:r>
    </w:p>
    <w:p w14:paraId="60E791BE" w14:textId="4C440E19" w:rsidR="001B19A0" w:rsidRDefault="001B19A0" w:rsidP="00084859">
      <w:r>
        <w:t xml:space="preserve">US National Institute for Occupational Safety and Health (NIOSH) (1994) </w:t>
      </w:r>
      <w:proofErr w:type="gramStart"/>
      <w:r>
        <w:t>Immediately</w:t>
      </w:r>
      <w:proofErr w:type="gramEnd"/>
      <w:r>
        <w:t xml:space="preserve"> dangerous to life or health concentrations – </w:t>
      </w:r>
      <w:proofErr w:type="spellStart"/>
      <w:r>
        <w:t>Epichlorohydrin</w:t>
      </w:r>
      <w:proofErr w:type="spellEnd"/>
      <w:r>
        <w:t xml:space="preserve">. </w:t>
      </w:r>
    </w:p>
    <w:p w14:paraId="55285654" w14:textId="604C0EFB" w:rsidR="00D055BC" w:rsidRPr="00351FE0" w:rsidRDefault="00D055BC" w:rsidP="00084859">
      <w:r>
        <w:t>US National Institute for Occupational Safety and Health (NIOSH) (</w:t>
      </w:r>
      <w:r w:rsidRPr="00D055BC">
        <w:t>2011</w:t>
      </w:r>
      <w:r>
        <w:t xml:space="preserve">) NIOSH Skin Notation Profiles: </w:t>
      </w:r>
      <w:proofErr w:type="spellStart"/>
      <w:r w:rsidRPr="00D055BC">
        <w:t>Epichlorohydrin</w:t>
      </w:r>
      <w:proofErr w:type="spellEnd"/>
      <w:r>
        <w:t>.</w:t>
      </w:r>
    </w:p>
    <w:sectPr w:rsidR="00D055BC" w:rsidRPr="00351FE0" w:rsidSect="00B87D4C">
      <w:headerReference w:type="even" r:id="rId18"/>
      <w:headerReference w:type="default" r:id="rId19"/>
      <w:headerReference w:type="first" r:id="rId20"/>
      <w:pgSz w:w="11906" w:h="16838"/>
      <w:pgMar w:top="1440" w:right="1440" w:bottom="1440" w:left="1440" w:header="708" w:footer="283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FF2069B" w16cid:durableId="21937FF0"/>
  <w16cid:commentId w16cid:paraId="1C382B20" w16cid:durableId="217FBCC9"/>
  <w16cid:commentId w16cid:paraId="4147A305" w16cid:durableId="21937FF2"/>
  <w16cid:commentId w16cid:paraId="13225E95" w16cid:durableId="217FB6FC"/>
  <w16cid:commentId w16cid:paraId="6525760C" w16cid:durableId="217FB4A5"/>
  <w16cid:commentId w16cid:paraId="0F567F9E" w16cid:durableId="21937FF4"/>
  <w16cid:commentId w16cid:paraId="77356C59" w16cid:durableId="217FB538"/>
  <w16cid:commentId w16cid:paraId="7B6CFEC6" w16cid:durableId="21937FF6"/>
  <w16cid:commentId w16cid:paraId="21FA4664" w16cid:durableId="217FB55D"/>
  <w16cid:commentId w16cid:paraId="1A6ED0A3" w16cid:durableId="21937FF8"/>
  <w16cid:commentId w16cid:paraId="356A2EC2" w16cid:durableId="217FB6A6"/>
  <w16cid:commentId w16cid:paraId="05192606" w16cid:durableId="21937FFA"/>
  <w16cid:commentId w16cid:paraId="68ABDCA8" w16cid:durableId="21937FFB"/>
  <w16cid:commentId w16cid:paraId="79D84D28" w16cid:durableId="217FB7CA"/>
  <w16cid:commentId w16cid:paraId="4D608892" w16cid:durableId="217FBC25"/>
  <w16cid:commentId w16cid:paraId="45759F11" w16cid:durableId="21937FF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DA8FAA" w14:textId="77777777" w:rsidR="0043543E" w:rsidRDefault="0043543E" w:rsidP="00F43AD5">
      <w:pPr>
        <w:spacing w:after="0" w:line="240" w:lineRule="auto"/>
      </w:pPr>
      <w:r>
        <w:separator/>
      </w:r>
    </w:p>
  </w:endnote>
  <w:endnote w:type="continuationSeparator" w:id="0">
    <w:p w14:paraId="5897CCDD" w14:textId="77777777" w:rsidR="0043543E" w:rsidRDefault="0043543E" w:rsidP="00F43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D621D9" w14:textId="77777777" w:rsidR="00B03B69" w:rsidRDefault="00B03B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5787447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65878029" w14:textId="4D2D751D" w:rsidR="008A36CF" w:rsidRDefault="00C84783" w:rsidP="0034744C">
        <w:pPr>
          <w:pStyle w:val="Footer"/>
          <w:rPr>
            <w:sz w:val="18"/>
            <w:szCs w:val="18"/>
          </w:rPr>
        </w:pPr>
        <w:proofErr w:type="spellStart"/>
        <w:r w:rsidRPr="00C84783">
          <w:rPr>
            <w:b/>
            <w:sz w:val="18"/>
            <w:szCs w:val="18"/>
          </w:rPr>
          <w:t>Epichlorohydrin</w:t>
        </w:r>
        <w:proofErr w:type="spellEnd"/>
        <w:r w:rsidR="008A36CF">
          <w:rPr>
            <w:b/>
            <w:sz w:val="18"/>
            <w:szCs w:val="18"/>
          </w:rPr>
          <w:t xml:space="preserve"> (</w:t>
        </w:r>
        <w:r w:rsidRPr="00C84783">
          <w:rPr>
            <w:b/>
            <w:sz w:val="18"/>
            <w:szCs w:val="18"/>
          </w:rPr>
          <w:t>106-89-8</w:t>
        </w:r>
        <w:proofErr w:type="gramStart"/>
        <w:r w:rsidR="008A36CF">
          <w:rPr>
            <w:b/>
            <w:sz w:val="18"/>
            <w:szCs w:val="18"/>
          </w:rPr>
          <w:t>)</w:t>
        </w:r>
        <w:proofErr w:type="gramEnd"/>
        <w:r w:rsidR="008A36CF" w:rsidRPr="00F43AD5">
          <w:rPr>
            <w:sz w:val="18"/>
            <w:szCs w:val="18"/>
          </w:rPr>
          <w:br/>
          <w:t xml:space="preserve">Safe Work Australia </w:t>
        </w:r>
        <w:r w:rsidR="008A36CF" w:rsidRPr="00F43AD5">
          <w:rPr>
            <w:rFonts w:ascii="Courier New" w:hAnsi="Courier New" w:cs="Courier New"/>
            <w:sz w:val="18"/>
            <w:szCs w:val="18"/>
          </w:rPr>
          <w:t>—</w:t>
        </w:r>
        <w:r w:rsidR="008A36CF" w:rsidRPr="00F43AD5">
          <w:rPr>
            <w:sz w:val="18"/>
            <w:szCs w:val="18"/>
          </w:rPr>
          <w:t xml:space="preserve"> 201</w:t>
        </w:r>
        <w:r w:rsidR="00351FE0">
          <w:rPr>
            <w:sz w:val="18"/>
            <w:szCs w:val="18"/>
          </w:rPr>
          <w:t>9</w:t>
        </w:r>
      </w:p>
      <w:p w14:paraId="1A4C8A46" w14:textId="49E93958" w:rsidR="008A36CF" w:rsidRPr="00F43AD5" w:rsidRDefault="008A36CF" w:rsidP="00A27E2D">
        <w:pPr>
          <w:pStyle w:val="Footer"/>
          <w:jc w:val="right"/>
          <w:rPr>
            <w:sz w:val="18"/>
            <w:szCs w:val="18"/>
          </w:rPr>
        </w:pPr>
        <w:r w:rsidRPr="00F43AD5">
          <w:rPr>
            <w:sz w:val="18"/>
            <w:szCs w:val="18"/>
          </w:rPr>
          <w:fldChar w:fldCharType="begin"/>
        </w:r>
        <w:r w:rsidRPr="00F43AD5">
          <w:rPr>
            <w:sz w:val="18"/>
            <w:szCs w:val="18"/>
          </w:rPr>
          <w:instrText xml:space="preserve"> PAGE   \* MERGEFORMAT </w:instrText>
        </w:r>
        <w:r w:rsidRPr="00F43AD5">
          <w:rPr>
            <w:sz w:val="18"/>
            <w:szCs w:val="18"/>
          </w:rPr>
          <w:fldChar w:fldCharType="separate"/>
        </w:r>
        <w:r w:rsidR="00D62B8A">
          <w:rPr>
            <w:noProof/>
            <w:sz w:val="18"/>
            <w:szCs w:val="18"/>
          </w:rPr>
          <w:t>6</w:t>
        </w:r>
        <w:r w:rsidRPr="00F43AD5">
          <w:rPr>
            <w:noProof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768D92" w14:textId="77777777" w:rsidR="00B03B69" w:rsidRDefault="00B03B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A88C53" w14:textId="77777777" w:rsidR="0043543E" w:rsidRDefault="0043543E" w:rsidP="00F43AD5">
      <w:pPr>
        <w:spacing w:after="0" w:line="240" w:lineRule="auto"/>
      </w:pPr>
      <w:r>
        <w:separator/>
      </w:r>
    </w:p>
  </w:footnote>
  <w:footnote w:type="continuationSeparator" w:id="0">
    <w:p w14:paraId="6E0AF695" w14:textId="77777777" w:rsidR="0043543E" w:rsidRDefault="0043543E" w:rsidP="00F43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D15666" w14:textId="1A0622F6" w:rsidR="00B03B69" w:rsidRDefault="00D62B8A">
    <w:pPr>
      <w:pStyle w:val="Header"/>
    </w:pPr>
    <w:r>
      <w:rPr>
        <w:noProof/>
      </w:rPr>
      <w:pict w14:anchorId="0FA3CD4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1882501" o:spid="_x0000_s8194" type="#_x0000_t136" style="position:absolute;margin-left:0;margin-top:0;width:454.5pt;height:181.8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700938" w14:textId="787E373D" w:rsidR="008A36CF" w:rsidRDefault="00D62B8A" w:rsidP="00F43AD5">
    <w:pPr>
      <w:pStyle w:val="Header"/>
      <w:jc w:val="right"/>
    </w:pPr>
    <w:r>
      <w:rPr>
        <w:noProof/>
      </w:rPr>
      <w:pict w14:anchorId="2198A85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1882502" o:spid="_x0000_s8195" type="#_x0000_t136" style="position:absolute;left:0;text-align:left;margin-left:0;margin-top:0;width:454.5pt;height:181.8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</v:shape>
      </w:pict>
    </w:r>
    <w:r w:rsidR="008A36CF">
      <w:rPr>
        <w:noProof/>
        <w:lang w:eastAsia="en-AU"/>
      </w:rPr>
      <w:drawing>
        <wp:inline distT="0" distB="0" distL="0" distR="0" wp14:anchorId="1F50867D" wp14:editId="6F441983">
          <wp:extent cx="2938272" cy="594360"/>
          <wp:effectExtent l="0" t="0" r="0" b="0"/>
          <wp:docPr id="2" name="Picture 2" descr="Safe Work Australia logo" title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WA_logo_inline Hi-re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8272" cy="594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107554" w14:textId="74E8E20A" w:rsidR="00B03B69" w:rsidRDefault="00D62B8A">
    <w:pPr>
      <w:pStyle w:val="Header"/>
    </w:pPr>
    <w:r>
      <w:rPr>
        <w:noProof/>
      </w:rPr>
      <w:pict w14:anchorId="4D669ED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1882500" o:spid="_x0000_s8193" type="#_x0000_t136" style="position:absolute;margin-left:0;margin-top:0;width:454.5pt;height:181.8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9AA16B" w14:textId="65CA938A" w:rsidR="00D62B8A" w:rsidRDefault="00D62B8A">
    <w:pPr>
      <w:pStyle w:val="Header"/>
    </w:pPr>
    <w:r>
      <w:rPr>
        <w:noProof/>
      </w:rPr>
      <w:pict w14:anchorId="499B4C4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1882504" o:spid="_x0000_s8197" type="#_x0000_t136" style="position:absolute;margin-left:0;margin-top:0;width:454.5pt;height:181.8pt;rotation:315;z-index:-25164902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9F0085" w14:textId="27569AC1" w:rsidR="008A36CF" w:rsidRDefault="00D62B8A" w:rsidP="00F43AD5">
    <w:pPr>
      <w:pStyle w:val="Header"/>
      <w:jc w:val="right"/>
    </w:pPr>
    <w:r>
      <w:rPr>
        <w:noProof/>
      </w:rPr>
      <w:pict w14:anchorId="761539C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1882505" o:spid="_x0000_s8198" type="#_x0000_t136" style="position:absolute;left:0;text-align:left;margin-left:0;margin-top:0;width:454.5pt;height:181.8pt;rotation:315;z-index:-25164697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6C46EB" w14:textId="52ADFB6C" w:rsidR="00D62B8A" w:rsidRDefault="00D62B8A">
    <w:pPr>
      <w:pStyle w:val="Header"/>
    </w:pPr>
    <w:r>
      <w:rPr>
        <w:noProof/>
      </w:rPr>
      <w:pict w14:anchorId="5B3D1DD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1882503" o:spid="_x0000_s8196" type="#_x0000_t136" style="position:absolute;margin-left:0;margin-top:0;width:454.5pt;height:181.8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CAED1B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521028F"/>
    <w:multiLevelType w:val="hybridMultilevel"/>
    <w:tmpl w:val="9CD64F08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477460"/>
    <w:multiLevelType w:val="hybridMultilevel"/>
    <w:tmpl w:val="B6F20A3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"/>
  </w:num>
  <w:num w:numId="6">
    <w:abstractNumId w:val="2"/>
  </w:num>
  <w:num w:numId="7">
    <w:abstractNumId w:val="0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8199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xAppendixName" w:val="Appendix"/>
  </w:docVars>
  <w:rsids>
    <w:rsidRoot w:val="00610F2E"/>
    <w:rsid w:val="00000109"/>
    <w:rsid w:val="00007B80"/>
    <w:rsid w:val="00013A22"/>
    <w:rsid w:val="00014C3F"/>
    <w:rsid w:val="00017C82"/>
    <w:rsid w:val="00032B88"/>
    <w:rsid w:val="00046DF5"/>
    <w:rsid w:val="00052060"/>
    <w:rsid w:val="0005574A"/>
    <w:rsid w:val="00055FE1"/>
    <w:rsid w:val="00056EC2"/>
    <w:rsid w:val="00060B48"/>
    <w:rsid w:val="00060CB1"/>
    <w:rsid w:val="00067F32"/>
    <w:rsid w:val="00071807"/>
    <w:rsid w:val="000803E1"/>
    <w:rsid w:val="00084513"/>
    <w:rsid w:val="00084859"/>
    <w:rsid w:val="00092D94"/>
    <w:rsid w:val="000A0CC0"/>
    <w:rsid w:val="000B0868"/>
    <w:rsid w:val="000B3E12"/>
    <w:rsid w:val="000B3E78"/>
    <w:rsid w:val="000B7B48"/>
    <w:rsid w:val="000C096D"/>
    <w:rsid w:val="000C139A"/>
    <w:rsid w:val="000C2053"/>
    <w:rsid w:val="000C248C"/>
    <w:rsid w:val="000D291C"/>
    <w:rsid w:val="000E5A54"/>
    <w:rsid w:val="000E63D3"/>
    <w:rsid w:val="000E67CF"/>
    <w:rsid w:val="001013B7"/>
    <w:rsid w:val="0010461E"/>
    <w:rsid w:val="00106FAA"/>
    <w:rsid w:val="00111E29"/>
    <w:rsid w:val="00113443"/>
    <w:rsid w:val="00114A8F"/>
    <w:rsid w:val="00117E21"/>
    <w:rsid w:val="001269A7"/>
    <w:rsid w:val="00131092"/>
    <w:rsid w:val="001350D3"/>
    <w:rsid w:val="00140E6A"/>
    <w:rsid w:val="00146545"/>
    <w:rsid w:val="00146B75"/>
    <w:rsid w:val="0015266D"/>
    <w:rsid w:val="0015288A"/>
    <w:rsid w:val="00160F47"/>
    <w:rsid w:val="00177CA1"/>
    <w:rsid w:val="00183823"/>
    <w:rsid w:val="00183942"/>
    <w:rsid w:val="001A009E"/>
    <w:rsid w:val="001A1287"/>
    <w:rsid w:val="001A3859"/>
    <w:rsid w:val="001A3C9D"/>
    <w:rsid w:val="001A43F8"/>
    <w:rsid w:val="001B19A0"/>
    <w:rsid w:val="001B79E5"/>
    <w:rsid w:val="001C654B"/>
    <w:rsid w:val="001D56F0"/>
    <w:rsid w:val="001D663B"/>
    <w:rsid w:val="001D7B41"/>
    <w:rsid w:val="001E46DA"/>
    <w:rsid w:val="001E7D80"/>
    <w:rsid w:val="001F1BBB"/>
    <w:rsid w:val="001F4B6C"/>
    <w:rsid w:val="001F62CB"/>
    <w:rsid w:val="001F6ED0"/>
    <w:rsid w:val="001F72E6"/>
    <w:rsid w:val="001F73C5"/>
    <w:rsid w:val="002046A6"/>
    <w:rsid w:val="00204956"/>
    <w:rsid w:val="00213640"/>
    <w:rsid w:val="00221547"/>
    <w:rsid w:val="002216FC"/>
    <w:rsid w:val="00222533"/>
    <w:rsid w:val="00222F30"/>
    <w:rsid w:val="00224EE2"/>
    <w:rsid w:val="00227EC7"/>
    <w:rsid w:val="00234736"/>
    <w:rsid w:val="00244AD1"/>
    <w:rsid w:val="002463BC"/>
    <w:rsid w:val="002465CE"/>
    <w:rsid w:val="0025734A"/>
    <w:rsid w:val="00263255"/>
    <w:rsid w:val="00265A98"/>
    <w:rsid w:val="00276494"/>
    <w:rsid w:val="00277B0C"/>
    <w:rsid w:val="002B1A2C"/>
    <w:rsid w:val="002C34F2"/>
    <w:rsid w:val="002C37FF"/>
    <w:rsid w:val="002C58FF"/>
    <w:rsid w:val="002C7AFE"/>
    <w:rsid w:val="002D05D2"/>
    <w:rsid w:val="002E0D61"/>
    <w:rsid w:val="002E1A9A"/>
    <w:rsid w:val="002E4C7B"/>
    <w:rsid w:val="002F5B0A"/>
    <w:rsid w:val="0030740C"/>
    <w:rsid w:val="00315833"/>
    <w:rsid w:val="00320E0A"/>
    <w:rsid w:val="003215EE"/>
    <w:rsid w:val="003224BF"/>
    <w:rsid w:val="003241A8"/>
    <w:rsid w:val="003253F0"/>
    <w:rsid w:val="003337DA"/>
    <w:rsid w:val="00333D78"/>
    <w:rsid w:val="00334EFB"/>
    <w:rsid w:val="00335CDE"/>
    <w:rsid w:val="003365A5"/>
    <w:rsid w:val="00347192"/>
    <w:rsid w:val="0034744C"/>
    <w:rsid w:val="00351FE0"/>
    <w:rsid w:val="00352615"/>
    <w:rsid w:val="0035412B"/>
    <w:rsid w:val="003567A8"/>
    <w:rsid w:val="00356C02"/>
    <w:rsid w:val="00362895"/>
    <w:rsid w:val="00364408"/>
    <w:rsid w:val="00370889"/>
    <w:rsid w:val="00370D14"/>
    <w:rsid w:val="00370DBF"/>
    <w:rsid w:val="00386093"/>
    <w:rsid w:val="003904A4"/>
    <w:rsid w:val="00391841"/>
    <w:rsid w:val="00391B6D"/>
    <w:rsid w:val="00394922"/>
    <w:rsid w:val="00395076"/>
    <w:rsid w:val="003A0E32"/>
    <w:rsid w:val="003A2B94"/>
    <w:rsid w:val="003B387D"/>
    <w:rsid w:val="003C0D58"/>
    <w:rsid w:val="003D4FA3"/>
    <w:rsid w:val="003E0807"/>
    <w:rsid w:val="003E50CA"/>
    <w:rsid w:val="003E51FB"/>
    <w:rsid w:val="003E6B39"/>
    <w:rsid w:val="003F07E1"/>
    <w:rsid w:val="003F2114"/>
    <w:rsid w:val="0040116B"/>
    <w:rsid w:val="004030BC"/>
    <w:rsid w:val="00403F7D"/>
    <w:rsid w:val="00406785"/>
    <w:rsid w:val="004079B4"/>
    <w:rsid w:val="00412868"/>
    <w:rsid w:val="00417A56"/>
    <w:rsid w:val="00420957"/>
    <w:rsid w:val="00422A10"/>
    <w:rsid w:val="004272C5"/>
    <w:rsid w:val="00430179"/>
    <w:rsid w:val="0043543E"/>
    <w:rsid w:val="004414B5"/>
    <w:rsid w:val="00444482"/>
    <w:rsid w:val="00444B42"/>
    <w:rsid w:val="00445E44"/>
    <w:rsid w:val="004509E2"/>
    <w:rsid w:val="004515EE"/>
    <w:rsid w:val="004529F0"/>
    <w:rsid w:val="00460A03"/>
    <w:rsid w:val="00471226"/>
    <w:rsid w:val="00472A11"/>
    <w:rsid w:val="00472AAD"/>
    <w:rsid w:val="00474E33"/>
    <w:rsid w:val="00476803"/>
    <w:rsid w:val="0048231A"/>
    <w:rsid w:val="004847C6"/>
    <w:rsid w:val="00485BFD"/>
    <w:rsid w:val="004867A2"/>
    <w:rsid w:val="004873F2"/>
    <w:rsid w:val="00490D4C"/>
    <w:rsid w:val="00493A35"/>
    <w:rsid w:val="0049527A"/>
    <w:rsid w:val="004966BF"/>
    <w:rsid w:val="00497984"/>
    <w:rsid w:val="004A5088"/>
    <w:rsid w:val="004C1E3F"/>
    <w:rsid w:val="004C23F4"/>
    <w:rsid w:val="004C3475"/>
    <w:rsid w:val="004C58B6"/>
    <w:rsid w:val="004C7FA6"/>
    <w:rsid w:val="004D0E94"/>
    <w:rsid w:val="004D16A3"/>
    <w:rsid w:val="004D4AA1"/>
    <w:rsid w:val="004D6D68"/>
    <w:rsid w:val="004E19F2"/>
    <w:rsid w:val="004E2B9E"/>
    <w:rsid w:val="004E5EDD"/>
    <w:rsid w:val="004F448A"/>
    <w:rsid w:val="004F493D"/>
    <w:rsid w:val="004F5740"/>
    <w:rsid w:val="004F65E8"/>
    <w:rsid w:val="0050005E"/>
    <w:rsid w:val="00502B88"/>
    <w:rsid w:val="005142C4"/>
    <w:rsid w:val="0051509C"/>
    <w:rsid w:val="005272E2"/>
    <w:rsid w:val="0053108F"/>
    <w:rsid w:val="00532B56"/>
    <w:rsid w:val="00534B10"/>
    <w:rsid w:val="005446A2"/>
    <w:rsid w:val="00544D2F"/>
    <w:rsid w:val="00546225"/>
    <w:rsid w:val="00551BD8"/>
    <w:rsid w:val="005632D9"/>
    <w:rsid w:val="00573B10"/>
    <w:rsid w:val="00581055"/>
    <w:rsid w:val="00586DD2"/>
    <w:rsid w:val="00591E38"/>
    <w:rsid w:val="005A19C5"/>
    <w:rsid w:val="005A3034"/>
    <w:rsid w:val="005A462D"/>
    <w:rsid w:val="005B253B"/>
    <w:rsid w:val="005B771D"/>
    <w:rsid w:val="005C5D16"/>
    <w:rsid w:val="005D3193"/>
    <w:rsid w:val="005D4A6E"/>
    <w:rsid w:val="005E6979"/>
    <w:rsid w:val="005E75CB"/>
    <w:rsid w:val="005F3D10"/>
    <w:rsid w:val="006013C1"/>
    <w:rsid w:val="0060669E"/>
    <w:rsid w:val="0060777F"/>
    <w:rsid w:val="00610F2E"/>
    <w:rsid w:val="00611399"/>
    <w:rsid w:val="00624C4E"/>
    <w:rsid w:val="00625200"/>
    <w:rsid w:val="006363A8"/>
    <w:rsid w:val="00636DB7"/>
    <w:rsid w:val="00650905"/>
    <w:rsid w:val="006532ED"/>
    <w:rsid w:val="006549F2"/>
    <w:rsid w:val="006567B7"/>
    <w:rsid w:val="00656B0F"/>
    <w:rsid w:val="00657BFB"/>
    <w:rsid w:val="0066333C"/>
    <w:rsid w:val="006639B4"/>
    <w:rsid w:val="00664586"/>
    <w:rsid w:val="006650FE"/>
    <w:rsid w:val="0067305D"/>
    <w:rsid w:val="00677D9B"/>
    <w:rsid w:val="00685BDA"/>
    <w:rsid w:val="006867F3"/>
    <w:rsid w:val="00687890"/>
    <w:rsid w:val="006901A2"/>
    <w:rsid w:val="00690368"/>
    <w:rsid w:val="0069079C"/>
    <w:rsid w:val="00690B53"/>
    <w:rsid w:val="00695B72"/>
    <w:rsid w:val="006A751C"/>
    <w:rsid w:val="006B160A"/>
    <w:rsid w:val="006B4E6C"/>
    <w:rsid w:val="006B50B6"/>
    <w:rsid w:val="006C4F48"/>
    <w:rsid w:val="006D79EA"/>
    <w:rsid w:val="006E5D05"/>
    <w:rsid w:val="006F07C5"/>
    <w:rsid w:val="00701053"/>
    <w:rsid w:val="00701507"/>
    <w:rsid w:val="00714021"/>
    <w:rsid w:val="00716A0F"/>
    <w:rsid w:val="00717D45"/>
    <w:rsid w:val="007208F7"/>
    <w:rsid w:val="007218AF"/>
    <w:rsid w:val="007365D1"/>
    <w:rsid w:val="00737811"/>
    <w:rsid w:val="00740E0E"/>
    <w:rsid w:val="00750212"/>
    <w:rsid w:val="00751969"/>
    <w:rsid w:val="007535D7"/>
    <w:rsid w:val="00754779"/>
    <w:rsid w:val="0075716D"/>
    <w:rsid w:val="00765F14"/>
    <w:rsid w:val="00770E31"/>
    <w:rsid w:val="007770F1"/>
    <w:rsid w:val="00783FB1"/>
    <w:rsid w:val="00785CDD"/>
    <w:rsid w:val="00790065"/>
    <w:rsid w:val="00791847"/>
    <w:rsid w:val="007925F0"/>
    <w:rsid w:val="007939B3"/>
    <w:rsid w:val="0079509C"/>
    <w:rsid w:val="00796708"/>
    <w:rsid w:val="00797B5B"/>
    <w:rsid w:val="007B1B42"/>
    <w:rsid w:val="007C30EB"/>
    <w:rsid w:val="007E063C"/>
    <w:rsid w:val="007E2A4B"/>
    <w:rsid w:val="007E307D"/>
    <w:rsid w:val="007E6A4E"/>
    <w:rsid w:val="007E6C94"/>
    <w:rsid w:val="007F1005"/>
    <w:rsid w:val="007F25E0"/>
    <w:rsid w:val="007F5328"/>
    <w:rsid w:val="00804F5A"/>
    <w:rsid w:val="00810C6D"/>
    <w:rsid w:val="00812887"/>
    <w:rsid w:val="008138A8"/>
    <w:rsid w:val="008167C0"/>
    <w:rsid w:val="00826F21"/>
    <w:rsid w:val="00834CC8"/>
    <w:rsid w:val="00835E00"/>
    <w:rsid w:val="00837113"/>
    <w:rsid w:val="008414E4"/>
    <w:rsid w:val="00843E21"/>
    <w:rsid w:val="0084508E"/>
    <w:rsid w:val="00856844"/>
    <w:rsid w:val="00857A8A"/>
    <w:rsid w:val="008630EE"/>
    <w:rsid w:val="00864D13"/>
    <w:rsid w:val="00871CD5"/>
    <w:rsid w:val="008745A2"/>
    <w:rsid w:val="008768A8"/>
    <w:rsid w:val="00880C38"/>
    <w:rsid w:val="00881C51"/>
    <w:rsid w:val="0088798F"/>
    <w:rsid w:val="00887E4B"/>
    <w:rsid w:val="008915C8"/>
    <w:rsid w:val="00896FDD"/>
    <w:rsid w:val="008A36CF"/>
    <w:rsid w:val="008A3BC4"/>
    <w:rsid w:val="008A61FE"/>
    <w:rsid w:val="008B403C"/>
    <w:rsid w:val="008B6BD0"/>
    <w:rsid w:val="008B7983"/>
    <w:rsid w:val="008C0F60"/>
    <w:rsid w:val="008C2511"/>
    <w:rsid w:val="008D026D"/>
    <w:rsid w:val="008D23AB"/>
    <w:rsid w:val="008D4B8B"/>
    <w:rsid w:val="008D5A78"/>
    <w:rsid w:val="008E7B64"/>
    <w:rsid w:val="008F5DCD"/>
    <w:rsid w:val="00900951"/>
    <w:rsid w:val="009118A6"/>
    <w:rsid w:val="00916909"/>
    <w:rsid w:val="00916EC0"/>
    <w:rsid w:val="00920467"/>
    <w:rsid w:val="00921DE7"/>
    <w:rsid w:val="0093041A"/>
    <w:rsid w:val="00930714"/>
    <w:rsid w:val="00931AB2"/>
    <w:rsid w:val="00931B03"/>
    <w:rsid w:val="009323B9"/>
    <w:rsid w:val="00932DCE"/>
    <w:rsid w:val="0093327E"/>
    <w:rsid w:val="00934028"/>
    <w:rsid w:val="0093760E"/>
    <w:rsid w:val="00946044"/>
    <w:rsid w:val="0094660B"/>
    <w:rsid w:val="00946A33"/>
    <w:rsid w:val="0095260E"/>
    <w:rsid w:val="009578DD"/>
    <w:rsid w:val="00961124"/>
    <w:rsid w:val="009621B6"/>
    <w:rsid w:val="00974F2D"/>
    <w:rsid w:val="00977524"/>
    <w:rsid w:val="00977E88"/>
    <w:rsid w:val="00984920"/>
    <w:rsid w:val="00985267"/>
    <w:rsid w:val="0099303A"/>
    <w:rsid w:val="009971C2"/>
    <w:rsid w:val="009A1254"/>
    <w:rsid w:val="009B2FF2"/>
    <w:rsid w:val="009B380C"/>
    <w:rsid w:val="009B4843"/>
    <w:rsid w:val="009B6543"/>
    <w:rsid w:val="009C199D"/>
    <w:rsid w:val="009C278F"/>
    <w:rsid w:val="009C2B94"/>
    <w:rsid w:val="009C5874"/>
    <w:rsid w:val="009D3B5A"/>
    <w:rsid w:val="009D7ED7"/>
    <w:rsid w:val="009E0C05"/>
    <w:rsid w:val="009E0D1C"/>
    <w:rsid w:val="009E14EE"/>
    <w:rsid w:val="009E2214"/>
    <w:rsid w:val="009E355A"/>
    <w:rsid w:val="009E63E2"/>
    <w:rsid w:val="009F04D2"/>
    <w:rsid w:val="009F05CF"/>
    <w:rsid w:val="009F0F3A"/>
    <w:rsid w:val="009F40E5"/>
    <w:rsid w:val="00A01D0C"/>
    <w:rsid w:val="00A0643F"/>
    <w:rsid w:val="00A067EE"/>
    <w:rsid w:val="00A10FCE"/>
    <w:rsid w:val="00A16D91"/>
    <w:rsid w:val="00A174CC"/>
    <w:rsid w:val="00A2073D"/>
    <w:rsid w:val="00A20751"/>
    <w:rsid w:val="00A235F8"/>
    <w:rsid w:val="00A27E2D"/>
    <w:rsid w:val="00A31D99"/>
    <w:rsid w:val="00A32DCE"/>
    <w:rsid w:val="00A357BA"/>
    <w:rsid w:val="00A35ADC"/>
    <w:rsid w:val="00A402A3"/>
    <w:rsid w:val="00A53681"/>
    <w:rsid w:val="00A633D4"/>
    <w:rsid w:val="00A6461A"/>
    <w:rsid w:val="00A64CC3"/>
    <w:rsid w:val="00A71FC9"/>
    <w:rsid w:val="00A758AC"/>
    <w:rsid w:val="00A84504"/>
    <w:rsid w:val="00A8672F"/>
    <w:rsid w:val="00A93057"/>
    <w:rsid w:val="00A968B0"/>
    <w:rsid w:val="00AB2672"/>
    <w:rsid w:val="00AB2817"/>
    <w:rsid w:val="00AB43C4"/>
    <w:rsid w:val="00AC0018"/>
    <w:rsid w:val="00AC32E7"/>
    <w:rsid w:val="00AC3A9F"/>
    <w:rsid w:val="00AC6D2F"/>
    <w:rsid w:val="00AE2745"/>
    <w:rsid w:val="00AE2F64"/>
    <w:rsid w:val="00AF42CB"/>
    <w:rsid w:val="00AF483F"/>
    <w:rsid w:val="00AF5E07"/>
    <w:rsid w:val="00AF5F06"/>
    <w:rsid w:val="00B00A25"/>
    <w:rsid w:val="00B016DE"/>
    <w:rsid w:val="00B03B69"/>
    <w:rsid w:val="00B1225F"/>
    <w:rsid w:val="00B1422A"/>
    <w:rsid w:val="00B1765C"/>
    <w:rsid w:val="00B213C4"/>
    <w:rsid w:val="00B21EE7"/>
    <w:rsid w:val="00B40C60"/>
    <w:rsid w:val="00B479A9"/>
    <w:rsid w:val="00B52EDF"/>
    <w:rsid w:val="00B71188"/>
    <w:rsid w:val="00B72ADA"/>
    <w:rsid w:val="00B763F0"/>
    <w:rsid w:val="00B76A41"/>
    <w:rsid w:val="00B87D4C"/>
    <w:rsid w:val="00B93646"/>
    <w:rsid w:val="00BA0B38"/>
    <w:rsid w:val="00BA1DBB"/>
    <w:rsid w:val="00BA4510"/>
    <w:rsid w:val="00BA529A"/>
    <w:rsid w:val="00BB612A"/>
    <w:rsid w:val="00BD499F"/>
    <w:rsid w:val="00BD56DE"/>
    <w:rsid w:val="00BF0585"/>
    <w:rsid w:val="00BF2406"/>
    <w:rsid w:val="00C06E43"/>
    <w:rsid w:val="00C10F75"/>
    <w:rsid w:val="00C16315"/>
    <w:rsid w:val="00C26DC4"/>
    <w:rsid w:val="00C3091E"/>
    <w:rsid w:val="00C34F4E"/>
    <w:rsid w:val="00C40FF1"/>
    <w:rsid w:val="00C419E2"/>
    <w:rsid w:val="00C5020E"/>
    <w:rsid w:val="00C57452"/>
    <w:rsid w:val="00C61EDF"/>
    <w:rsid w:val="00C6239D"/>
    <w:rsid w:val="00C6594B"/>
    <w:rsid w:val="00C67FFB"/>
    <w:rsid w:val="00C7155E"/>
    <w:rsid w:val="00C71D1E"/>
    <w:rsid w:val="00C71D7D"/>
    <w:rsid w:val="00C74833"/>
    <w:rsid w:val="00C84783"/>
    <w:rsid w:val="00C850A0"/>
    <w:rsid w:val="00C85A86"/>
    <w:rsid w:val="00C978F0"/>
    <w:rsid w:val="00CA58FE"/>
    <w:rsid w:val="00CB1CB1"/>
    <w:rsid w:val="00CB6BC1"/>
    <w:rsid w:val="00CB6CB8"/>
    <w:rsid w:val="00CC1A68"/>
    <w:rsid w:val="00CC2123"/>
    <w:rsid w:val="00CD2BFD"/>
    <w:rsid w:val="00CE5AD6"/>
    <w:rsid w:val="00CE617F"/>
    <w:rsid w:val="00CE78EF"/>
    <w:rsid w:val="00D048F7"/>
    <w:rsid w:val="00D0517E"/>
    <w:rsid w:val="00D055BC"/>
    <w:rsid w:val="00D140FC"/>
    <w:rsid w:val="00D21D8C"/>
    <w:rsid w:val="00D31357"/>
    <w:rsid w:val="00D33220"/>
    <w:rsid w:val="00D334D1"/>
    <w:rsid w:val="00D432BF"/>
    <w:rsid w:val="00D44C89"/>
    <w:rsid w:val="00D516CD"/>
    <w:rsid w:val="00D62B8A"/>
    <w:rsid w:val="00D668E6"/>
    <w:rsid w:val="00D70670"/>
    <w:rsid w:val="00D74D80"/>
    <w:rsid w:val="00D76624"/>
    <w:rsid w:val="00D87570"/>
    <w:rsid w:val="00D91CB9"/>
    <w:rsid w:val="00D97989"/>
    <w:rsid w:val="00D97D8D"/>
    <w:rsid w:val="00DA352E"/>
    <w:rsid w:val="00DB3714"/>
    <w:rsid w:val="00DC7694"/>
    <w:rsid w:val="00DD1BF6"/>
    <w:rsid w:val="00DD2F9B"/>
    <w:rsid w:val="00DE2513"/>
    <w:rsid w:val="00DE26E8"/>
    <w:rsid w:val="00DF6F36"/>
    <w:rsid w:val="00E0084C"/>
    <w:rsid w:val="00E025AB"/>
    <w:rsid w:val="00E02B23"/>
    <w:rsid w:val="00E069DB"/>
    <w:rsid w:val="00E06E23"/>
    <w:rsid w:val="00E06F40"/>
    <w:rsid w:val="00E07CE8"/>
    <w:rsid w:val="00E20C1D"/>
    <w:rsid w:val="00E26A07"/>
    <w:rsid w:val="00E32595"/>
    <w:rsid w:val="00E37CFD"/>
    <w:rsid w:val="00E41A26"/>
    <w:rsid w:val="00E46BCB"/>
    <w:rsid w:val="00E51CAF"/>
    <w:rsid w:val="00E60F04"/>
    <w:rsid w:val="00E6177F"/>
    <w:rsid w:val="00E62AAC"/>
    <w:rsid w:val="00E67C2F"/>
    <w:rsid w:val="00E67EF5"/>
    <w:rsid w:val="00E70D8A"/>
    <w:rsid w:val="00E804EA"/>
    <w:rsid w:val="00E80A71"/>
    <w:rsid w:val="00E82337"/>
    <w:rsid w:val="00E92499"/>
    <w:rsid w:val="00E94802"/>
    <w:rsid w:val="00E949AF"/>
    <w:rsid w:val="00E96077"/>
    <w:rsid w:val="00EA0A06"/>
    <w:rsid w:val="00EA5D59"/>
    <w:rsid w:val="00EA6243"/>
    <w:rsid w:val="00EA71A7"/>
    <w:rsid w:val="00EA74AB"/>
    <w:rsid w:val="00EB3D1B"/>
    <w:rsid w:val="00ED1D89"/>
    <w:rsid w:val="00ED66BC"/>
    <w:rsid w:val="00ED6857"/>
    <w:rsid w:val="00EF233A"/>
    <w:rsid w:val="00EF303E"/>
    <w:rsid w:val="00EF3A40"/>
    <w:rsid w:val="00EF7129"/>
    <w:rsid w:val="00EF7F78"/>
    <w:rsid w:val="00F01B08"/>
    <w:rsid w:val="00F01C4D"/>
    <w:rsid w:val="00F053FA"/>
    <w:rsid w:val="00F10C97"/>
    <w:rsid w:val="00F11C71"/>
    <w:rsid w:val="00F16019"/>
    <w:rsid w:val="00F20E68"/>
    <w:rsid w:val="00F22093"/>
    <w:rsid w:val="00F236DF"/>
    <w:rsid w:val="00F32144"/>
    <w:rsid w:val="00F43AD5"/>
    <w:rsid w:val="00F43F5D"/>
    <w:rsid w:val="00F4402E"/>
    <w:rsid w:val="00F45499"/>
    <w:rsid w:val="00F45609"/>
    <w:rsid w:val="00F56DD0"/>
    <w:rsid w:val="00F6491C"/>
    <w:rsid w:val="00F67BBB"/>
    <w:rsid w:val="00F71D29"/>
    <w:rsid w:val="00F87D92"/>
    <w:rsid w:val="00F90AA7"/>
    <w:rsid w:val="00F92498"/>
    <w:rsid w:val="00F9496B"/>
    <w:rsid w:val="00F970C9"/>
    <w:rsid w:val="00FA06A8"/>
    <w:rsid w:val="00FA29EF"/>
    <w:rsid w:val="00FA3DF5"/>
    <w:rsid w:val="00FA4F62"/>
    <w:rsid w:val="00FA741F"/>
    <w:rsid w:val="00FB1356"/>
    <w:rsid w:val="00FB4E07"/>
    <w:rsid w:val="00FB755A"/>
    <w:rsid w:val="00FC60A2"/>
    <w:rsid w:val="00FD1871"/>
    <w:rsid w:val="00FD3110"/>
    <w:rsid w:val="00FD5B4A"/>
    <w:rsid w:val="00FF5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9"/>
    <o:shapelayout v:ext="edit">
      <o:idmap v:ext="edit" data="1"/>
    </o:shapelayout>
  </w:shapeDefaults>
  <w:decimalSymbol w:val="."/>
  <w:listSeparator w:val=","/>
  <w14:docId w14:val="090CAC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3220"/>
    <w:pPr>
      <w:spacing w:after="120"/>
    </w:pPr>
  </w:style>
  <w:style w:type="paragraph" w:styleId="Heading1">
    <w:name w:val="heading 1"/>
    <w:basedOn w:val="Normal"/>
    <w:next w:val="Normal"/>
    <w:link w:val="Heading1Char"/>
    <w:qFormat/>
    <w:rsid w:val="00AE2745"/>
    <w:pPr>
      <w:keepNext/>
      <w:spacing w:before="360" w:after="240" w:line="240" w:lineRule="auto"/>
      <w:outlineLvl w:val="0"/>
    </w:pPr>
    <w:rPr>
      <w:rFonts w:ascii="Arial Bold" w:eastAsiaTheme="majorEastAsia" w:hAnsi="Arial Bold" w:cstheme="majorBidi"/>
      <w:b/>
      <w:bCs/>
      <w:caps/>
      <w:kern w:val="32"/>
      <w:sz w:val="36"/>
      <w:szCs w:val="40"/>
      <w:lang w:eastAsia="en-AU"/>
    </w:rPr>
  </w:style>
  <w:style w:type="paragraph" w:styleId="Heading2">
    <w:name w:val="heading 2"/>
    <w:basedOn w:val="Normal"/>
    <w:next w:val="Normal"/>
    <w:link w:val="Heading2Char"/>
    <w:unhideWhenUsed/>
    <w:qFormat/>
    <w:rsid w:val="00AE2745"/>
    <w:pPr>
      <w:keepNext/>
      <w:spacing w:before="240" w:line="240" w:lineRule="auto"/>
      <w:outlineLvl w:val="1"/>
    </w:pPr>
    <w:rPr>
      <w:rFonts w:eastAsiaTheme="majorEastAsia" w:cs="Arial"/>
      <w:b/>
      <w:bCs/>
      <w:iCs/>
      <w:color w:val="000000" w:themeColor="text1"/>
      <w:sz w:val="28"/>
      <w:szCs w:val="32"/>
      <w:lang w:eastAsia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0D61"/>
    <w:pPr>
      <w:keepNext/>
      <w:spacing w:before="240" w:line="240" w:lineRule="auto"/>
      <w:outlineLvl w:val="2"/>
    </w:pPr>
    <w:rPr>
      <w:rFonts w:eastAsiaTheme="majorEastAsia" w:cs="Arial"/>
      <w:b/>
      <w:bCs/>
      <w:color w:val="000000" w:themeColor="text1"/>
      <w:sz w:val="24"/>
      <w:lang w:eastAsia="en-A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5E07"/>
    <w:pPr>
      <w:spacing w:before="200" w:after="0" w:line="240" w:lineRule="auto"/>
      <w:outlineLvl w:val="3"/>
    </w:pPr>
    <w:rPr>
      <w:rFonts w:eastAsiaTheme="majorEastAsia" w:cstheme="majorBidi"/>
      <w:b/>
      <w:bCs/>
      <w:i/>
      <w:iCs/>
      <w:lang w:eastAsia="en-AU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1EDF"/>
    <w:pPr>
      <w:spacing w:before="200" w:after="0" w:line="240" w:lineRule="auto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3A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3AD5"/>
  </w:style>
  <w:style w:type="paragraph" w:styleId="Footer">
    <w:name w:val="footer"/>
    <w:basedOn w:val="Normal"/>
    <w:link w:val="FooterChar"/>
    <w:uiPriority w:val="99"/>
    <w:unhideWhenUsed/>
    <w:rsid w:val="00F43A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3AD5"/>
  </w:style>
  <w:style w:type="paragraph" w:styleId="BalloonText">
    <w:name w:val="Balloon Text"/>
    <w:basedOn w:val="Normal"/>
    <w:link w:val="BalloonTextChar"/>
    <w:uiPriority w:val="99"/>
    <w:semiHidden/>
    <w:unhideWhenUsed/>
    <w:rsid w:val="00F43A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3AD5"/>
    <w:rPr>
      <w:rFonts w:ascii="Tahoma" w:hAnsi="Tahoma" w:cs="Tahoma"/>
      <w:sz w:val="16"/>
      <w:szCs w:val="16"/>
    </w:rPr>
  </w:style>
  <w:style w:type="paragraph" w:customStyle="1" w:styleId="ChemicalName">
    <w:name w:val="Chemical Name"/>
    <w:basedOn w:val="Normal"/>
    <w:next w:val="Normal"/>
    <w:qFormat/>
    <w:rsid w:val="00F43AD5"/>
    <w:rPr>
      <w:rFonts w:ascii="Arial Bold" w:hAnsi="Arial Bold"/>
      <w:b/>
      <w:caps/>
      <w:sz w:val="28"/>
    </w:rPr>
  </w:style>
  <w:style w:type="table" w:styleId="TableGrid">
    <w:name w:val="Table Grid"/>
    <w:basedOn w:val="TableNormal"/>
    <w:uiPriority w:val="59"/>
    <w:rsid w:val="00717D45"/>
    <w:pPr>
      <w:spacing w:after="0" w:line="240" w:lineRule="auto"/>
    </w:pPr>
    <w:rPr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B1CB1"/>
    <w:rPr>
      <w:color w:val="808080"/>
    </w:rPr>
  </w:style>
  <w:style w:type="character" w:customStyle="1" w:styleId="Heading1Char">
    <w:name w:val="Heading 1 Char"/>
    <w:basedOn w:val="DefaultParagraphFont"/>
    <w:link w:val="Heading1"/>
    <w:rsid w:val="00AE2745"/>
    <w:rPr>
      <w:rFonts w:ascii="Arial Bold" w:eastAsiaTheme="majorEastAsia" w:hAnsi="Arial Bold" w:cstheme="majorBidi"/>
      <w:b/>
      <w:bCs/>
      <w:caps/>
      <w:kern w:val="32"/>
      <w:sz w:val="36"/>
      <w:szCs w:val="40"/>
      <w:lang w:eastAsia="en-AU"/>
    </w:rPr>
  </w:style>
  <w:style w:type="paragraph" w:customStyle="1" w:styleId="Tablefont">
    <w:name w:val="Table font"/>
    <w:basedOn w:val="Normal"/>
    <w:qFormat/>
    <w:rsid w:val="002C58FF"/>
    <w:pPr>
      <w:spacing w:before="80" w:after="80" w:line="240" w:lineRule="auto"/>
    </w:pPr>
    <w:rPr>
      <w:lang w:eastAsia="en-AU"/>
    </w:rPr>
  </w:style>
  <w:style w:type="paragraph" w:customStyle="1" w:styleId="Tableheader">
    <w:name w:val="Table header"/>
    <w:basedOn w:val="Tablefont"/>
    <w:qFormat/>
    <w:rsid w:val="00263255"/>
    <w:pPr>
      <w:spacing w:before="60" w:after="60"/>
    </w:pPr>
    <w:rPr>
      <w:b/>
      <w:bCs/>
      <w:color w:val="000000" w:themeColor="text1"/>
    </w:rPr>
  </w:style>
  <w:style w:type="character" w:customStyle="1" w:styleId="checkbox">
    <w:name w:val="checkbox"/>
    <w:basedOn w:val="DefaultParagraphFont"/>
    <w:uiPriority w:val="1"/>
    <w:rsid w:val="00687890"/>
    <w:rPr>
      <w:rFonts w:ascii="Wingdings" w:hAnsi="Wingdings"/>
    </w:rPr>
  </w:style>
  <w:style w:type="character" w:customStyle="1" w:styleId="WESstatus">
    <w:name w:val="WES status"/>
    <w:basedOn w:val="DefaultParagraphFont"/>
    <w:uiPriority w:val="1"/>
    <w:rsid w:val="007F1005"/>
    <w:rPr>
      <w:b w:val="0"/>
      <w:color w:val="A6A6A6" w:themeColor="background1" w:themeShade="A6"/>
    </w:rPr>
  </w:style>
  <w:style w:type="table" w:customStyle="1" w:styleId="TableGrid1">
    <w:name w:val="Table Grid1"/>
    <w:basedOn w:val="TableNormal"/>
    <w:next w:val="TableGrid"/>
    <w:uiPriority w:val="59"/>
    <w:rsid w:val="000C2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AE2745"/>
    <w:rPr>
      <w:rFonts w:eastAsiaTheme="majorEastAsia" w:cs="Arial"/>
      <w:b/>
      <w:bCs/>
      <w:iCs/>
      <w:color w:val="000000" w:themeColor="text1"/>
      <w:sz w:val="28"/>
      <w:szCs w:val="32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2E0D61"/>
    <w:rPr>
      <w:rFonts w:eastAsiaTheme="majorEastAsia" w:cs="Arial"/>
      <w:b/>
      <w:bCs/>
      <w:color w:val="000000" w:themeColor="text1"/>
      <w:sz w:val="24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5E07"/>
    <w:rPr>
      <w:rFonts w:eastAsiaTheme="majorEastAsia" w:cstheme="majorBidi"/>
      <w:b/>
      <w:bCs/>
      <w:i/>
      <w:iCs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1EDF"/>
    <w:rPr>
      <w:rFonts w:asciiTheme="majorHAnsi" w:eastAsiaTheme="majorEastAsia" w:hAnsiTheme="majorHAnsi" w:cstheme="majorBidi"/>
      <w:b/>
      <w:bCs/>
      <w:color w:val="7F7F7F" w:themeColor="text1" w:themeTint="80"/>
      <w:lang w:eastAsia="en-AU"/>
    </w:rPr>
  </w:style>
  <w:style w:type="paragraph" w:styleId="Title">
    <w:name w:val="Title"/>
    <w:basedOn w:val="Normal"/>
    <w:next w:val="Heading1"/>
    <w:link w:val="TitleChar"/>
    <w:qFormat/>
    <w:rsid w:val="006532ED"/>
    <w:pPr>
      <w:spacing w:before="240" w:after="60" w:line="240" w:lineRule="auto"/>
      <w:jc w:val="center"/>
      <w:outlineLvl w:val="0"/>
    </w:pPr>
    <w:rPr>
      <w:rFonts w:eastAsiaTheme="majorEastAsia" w:cstheme="majorBidi"/>
      <w:b/>
      <w:bCs/>
      <w:kern w:val="28"/>
      <w:sz w:val="72"/>
      <w:szCs w:val="32"/>
      <w:lang w:eastAsia="en-AU"/>
    </w:rPr>
  </w:style>
  <w:style w:type="character" w:customStyle="1" w:styleId="TitleChar">
    <w:name w:val="Title Char"/>
    <w:basedOn w:val="DefaultParagraphFont"/>
    <w:link w:val="Title"/>
    <w:rsid w:val="006532ED"/>
    <w:rPr>
      <w:rFonts w:eastAsiaTheme="majorEastAsia" w:cstheme="majorBidi"/>
      <w:b/>
      <w:bCs/>
      <w:kern w:val="28"/>
      <w:sz w:val="72"/>
      <w:szCs w:val="32"/>
      <w:lang w:eastAsia="en-AU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32ED"/>
    <w:pPr>
      <w:numPr>
        <w:ilvl w:val="1"/>
      </w:numPr>
    </w:pPr>
    <w:rPr>
      <w:rFonts w:eastAsiaTheme="majorEastAsia" w:cstheme="majorBidi"/>
      <w:i/>
      <w:iCs/>
      <w:color w:val="7F7F7F" w:themeColor="text1" w:themeTint="80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532ED"/>
    <w:rPr>
      <w:rFonts w:eastAsiaTheme="majorEastAsia" w:cstheme="majorBidi"/>
      <w:i/>
      <w:iCs/>
      <w:color w:val="7F7F7F" w:themeColor="text1" w:themeTint="80"/>
      <w:spacing w:val="15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6532ED"/>
    <w:rPr>
      <w:rFonts w:ascii="Arial" w:hAnsi="Arial"/>
      <w:b/>
      <w:bCs/>
      <w:i/>
      <w:iCs/>
      <w:color w:val="7F7F7F" w:themeColor="text1" w:themeTint="80"/>
    </w:rPr>
  </w:style>
  <w:style w:type="paragraph" w:customStyle="1" w:styleId="Tableitalics">
    <w:name w:val="Table italics"/>
    <w:basedOn w:val="Tablefont"/>
    <w:qFormat/>
    <w:rsid w:val="00717D45"/>
    <w:pPr>
      <w:jc w:val="right"/>
    </w:pPr>
    <w:rPr>
      <w:i/>
    </w:rPr>
  </w:style>
  <w:style w:type="table" w:styleId="LightList-Accent1">
    <w:name w:val="Light List Accent 1"/>
    <w:basedOn w:val="TableNormal"/>
    <w:uiPriority w:val="61"/>
    <w:rsid w:val="00D048F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">
    <w:name w:val="Light List"/>
    <w:basedOn w:val="TableNormal"/>
    <w:uiPriority w:val="61"/>
    <w:rsid w:val="007E307D"/>
    <w:pPr>
      <w:spacing w:before="80" w:after="80" w:line="240" w:lineRule="auto"/>
    </w:pPr>
    <w:tblPr>
      <w:tblStyleRowBandSize w:val="1"/>
      <w:tblStyleColBandSize w:val="1"/>
      <w:tblBorders>
        <w:top w:val="single" w:sz="8" w:space="0" w:color="7F7F7F" w:themeColor="text1" w:themeTint="80"/>
        <w:left w:val="single" w:sz="8" w:space="0" w:color="7F7F7F" w:themeColor="text1" w:themeTint="80"/>
        <w:bottom w:val="single" w:sz="8" w:space="0" w:color="7F7F7F" w:themeColor="text1" w:themeTint="80"/>
        <w:right w:val="single" w:sz="8" w:space="0" w:color="7F7F7F" w:themeColor="text1" w:themeTint="80"/>
        <w:insideH w:val="dotted" w:sz="4" w:space="0" w:color="808080" w:themeColor="background1" w:themeShade="8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F7F7F" w:themeFill="text1" w:themeFillTint="8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dotted" w:sz="4" w:space="0" w:color="808080" w:themeColor="background1" w:themeShade="80"/>
          <w:left w:val="single" w:sz="8" w:space="0" w:color="7F7F7F" w:themeColor="text1" w:themeTint="80"/>
          <w:bottom w:val="dotted" w:sz="4" w:space="0" w:color="808080" w:themeColor="background1" w:themeShade="80"/>
          <w:right w:val="single" w:sz="8" w:space="0" w:color="7F7F7F" w:themeColor="text1" w:themeTint="80"/>
          <w:insideH w:val="nil"/>
          <w:insideV w:val="nil"/>
          <w:tl2br w:val="nil"/>
          <w:tr2bl w:val="nil"/>
        </w:tcBorders>
      </w:tcPr>
    </w:tblStyle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3220"/>
    <w:pPr>
      <w:pBdr>
        <w:bottom w:val="single" w:sz="4" w:space="4" w:color="7F7F7F" w:themeColor="text1" w:themeTint="80"/>
      </w:pBdr>
      <w:spacing w:before="200" w:after="280"/>
      <w:ind w:left="936" w:right="936"/>
    </w:pPr>
    <w:rPr>
      <w:b/>
      <w:bCs/>
      <w:i/>
      <w:iCs/>
      <w:color w:val="808080" w:themeColor="background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3220"/>
    <w:rPr>
      <w:b/>
      <w:bCs/>
      <w:i/>
      <w:iCs/>
      <w:color w:val="808080" w:themeColor="background1" w:themeShade="80"/>
    </w:rPr>
  </w:style>
  <w:style w:type="character" w:styleId="SubtleReference">
    <w:name w:val="Subtle Reference"/>
    <w:basedOn w:val="DefaultParagraphFont"/>
    <w:uiPriority w:val="31"/>
    <w:qFormat/>
    <w:rsid w:val="00AF5E07"/>
    <w:rPr>
      <w:rFonts w:ascii="Arial" w:hAnsi="Arial"/>
      <w:smallCaps/>
      <w:color w:val="000000" w:themeColor="text1"/>
      <w:u w:val="single"/>
    </w:rPr>
  </w:style>
  <w:style w:type="character" w:styleId="IntenseReference">
    <w:name w:val="Intense Reference"/>
    <w:basedOn w:val="DefaultParagraphFont"/>
    <w:uiPriority w:val="32"/>
    <w:qFormat/>
    <w:rsid w:val="00AF5E07"/>
    <w:rPr>
      <w:rFonts w:ascii="Arial" w:hAnsi="Arial"/>
      <w:b/>
      <w:bCs/>
      <w:smallCaps/>
      <w:color w:val="000000" w:themeColor="text1"/>
      <w:spacing w:val="5"/>
      <w:u w:val="single"/>
    </w:rPr>
  </w:style>
  <w:style w:type="character" w:styleId="Strong">
    <w:name w:val="Strong"/>
    <w:basedOn w:val="DefaultParagraphFont"/>
    <w:uiPriority w:val="22"/>
    <w:qFormat/>
    <w:rsid w:val="007770F1"/>
    <w:rPr>
      <w:b/>
      <w:bCs/>
    </w:rPr>
  </w:style>
  <w:style w:type="paragraph" w:styleId="NoSpacing">
    <w:name w:val="No Spacing"/>
    <w:uiPriority w:val="1"/>
    <w:qFormat/>
    <w:rsid w:val="00717D45"/>
    <w:pPr>
      <w:spacing w:after="0" w:line="240" w:lineRule="auto"/>
    </w:pPr>
  </w:style>
  <w:style w:type="paragraph" w:customStyle="1" w:styleId="WES">
    <w:name w:val="WES"/>
    <w:basedOn w:val="Tablefont"/>
    <w:qFormat/>
    <w:rsid w:val="00AE2745"/>
    <w:pPr>
      <w:spacing w:before="240" w:after="120"/>
    </w:pPr>
    <w:rPr>
      <w:b/>
      <w:sz w:val="24"/>
    </w:rPr>
  </w:style>
  <w:style w:type="paragraph" w:customStyle="1" w:styleId="Tablerowheading">
    <w:name w:val="Table row heading"/>
    <w:basedOn w:val="Normal"/>
    <w:qFormat/>
    <w:rsid w:val="00D33220"/>
    <w:pPr>
      <w:spacing w:before="80" w:after="80" w:line="240" w:lineRule="auto"/>
    </w:pPr>
    <w:rPr>
      <w:b/>
      <w:lang w:eastAsia="en-AU"/>
    </w:rPr>
  </w:style>
  <w:style w:type="paragraph" w:customStyle="1" w:styleId="Tablerowright">
    <w:name w:val="Table row right"/>
    <w:basedOn w:val="Tablerowheading"/>
    <w:qFormat/>
    <w:rsid w:val="00921DE7"/>
    <w:pPr>
      <w:jc w:val="right"/>
    </w:pPr>
  </w:style>
  <w:style w:type="paragraph" w:customStyle="1" w:styleId="Tablerowheadingitalic">
    <w:name w:val="Table row heading italic"/>
    <w:basedOn w:val="Tablerowheading"/>
    <w:qFormat/>
    <w:rsid w:val="003365A5"/>
    <w:pPr>
      <w:keepNext/>
      <w:keepLines/>
      <w:tabs>
        <w:tab w:val="left" w:pos="2268"/>
        <w:tab w:val="left" w:pos="5670"/>
      </w:tabs>
    </w:pPr>
    <w:rPr>
      <w:i/>
    </w:rPr>
  </w:style>
  <w:style w:type="paragraph" w:customStyle="1" w:styleId="Tabletextprimarysource">
    <w:name w:val="Table text primary source"/>
    <w:basedOn w:val="Normal"/>
    <w:qFormat/>
    <w:rsid w:val="003365A5"/>
    <w:pPr>
      <w:spacing w:before="60" w:after="60" w:line="240" w:lineRule="auto"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9496B"/>
    <w:pPr>
      <w:pBdr>
        <w:bottom w:val="single" w:sz="6" w:space="1" w:color="auto"/>
      </w:pBdr>
      <w:spacing w:after="0"/>
      <w:jc w:val="center"/>
    </w:pPr>
    <w:rPr>
      <w:rFonts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9496B"/>
    <w:rPr>
      <w:rFonts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9496B"/>
    <w:pPr>
      <w:pBdr>
        <w:top w:val="single" w:sz="6" w:space="1" w:color="auto"/>
      </w:pBdr>
      <w:spacing w:after="0"/>
      <w:jc w:val="center"/>
    </w:pPr>
    <w:rPr>
      <w:rFonts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9496B"/>
    <w:rPr>
      <w:rFonts w:cs="Arial"/>
      <w:vanish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6650FE"/>
    <w:rPr>
      <w:color w:val="0000FF" w:themeColor="hyperlink"/>
      <w:u w:val="single"/>
    </w:rPr>
  </w:style>
  <w:style w:type="paragraph" w:customStyle="1" w:styleId="SWALink">
    <w:name w:val="SWA Link"/>
    <w:basedOn w:val="Normal"/>
    <w:link w:val="SWALinkChar"/>
    <w:qFormat/>
    <w:rsid w:val="00DD2F9B"/>
    <w:pPr>
      <w:spacing w:line="240" w:lineRule="auto"/>
    </w:pPr>
    <w:rPr>
      <w:rFonts w:eastAsia="Times New Roman" w:cs="Times New Roman"/>
      <w:szCs w:val="24"/>
      <w:u w:val="single"/>
      <w:lang w:eastAsia="en-AU"/>
    </w:rPr>
  </w:style>
  <w:style w:type="character" w:customStyle="1" w:styleId="SWALinkChar">
    <w:name w:val="SWA Link Char"/>
    <w:basedOn w:val="DefaultParagraphFont"/>
    <w:link w:val="SWALink"/>
    <w:rsid w:val="00DD2F9B"/>
    <w:rPr>
      <w:rFonts w:eastAsia="Times New Roman" w:cs="Times New Roman"/>
      <w:szCs w:val="24"/>
      <w:u w:val="single"/>
      <w:lang w:eastAsia="en-AU"/>
    </w:rPr>
  </w:style>
  <w:style w:type="paragraph" w:customStyle="1" w:styleId="Tablefooter">
    <w:name w:val="Table footer"/>
    <w:basedOn w:val="Tablefont"/>
    <w:next w:val="Normal"/>
    <w:qFormat/>
    <w:rsid w:val="00485BFD"/>
    <w:pPr>
      <w:spacing w:before="0" w:after="240"/>
      <w:ind w:left="227"/>
    </w:pPr>
    <w:rPr>
      <w:sz w:val="17"/>
    </w:rPr>
  </w:style>
  <w:style w:type="paragraph" w:styleId="ListBullet">
    <w:name w:val="List Bullet"/>
    <w:basedOn w:val="Normal"/>
    <w:uiPriority w:val="99"/>
    <w:unhideWhenUsed/>
    <w:rsid w:val="00060CB1"/>
    <w:pPr>
      <w:numPr>
        <w:numId w:val="1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823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231A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231A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54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5499"/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://www.acgih.org/tlv-bei-guidelines/policies-procedures-presentations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microsoft.com/office/2016/09/relationships/commentsIds" Target="commentsIds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E1736E50B02464986D1BEC8B7ACDE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D94199-680D-4E9C-9EF3-3D915D06B842}"/>
      </w:docPartPr>
      <w:docPartBody>
        <w:p w:rsidR="00D21A9F" w:rsidRDefault="00D21A9F">
          <w:pPr>
            <w:pStyle w:val="CE1736E50B02464986D1BEC8B7ACDE96"/>
          </w:pPr>
          <w:r>
            <w:rPr>
              <w:rStyle w:val="PlaceholderText"/>
            </w:rPr>
            <w:t>Nameofchemical</w:t>
          </w:r>
        </w:p>
      </w:docPartBody>
    </w:docPart>
    <w:docPart>
      <w:docPartPr>
        <w:name w:val="E23B83A762C94EBA8097A4DA3FB4D5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A02F65-DBBA-4D5A-AAD5-C6FAA5E6CE0E}"/>
      </w:docPartPr>
      <w:docPartBody>
        <w:p w:rsidR="00D21A9F" w:rsidRDefault="00D21A9F">
          <w:pPr>
            <w:pStyle w:val="E23B83A762C94EBA8097A4DA3FB4D503"/>
          </w:pPr>
          <w:r>
            <w:rPr>
              <w:rStyle w:val="PlaceholderText"/>
            </w:rPr>
            <w:t>Has this value changed?</w:t>
          </w:r>
        </w:p>
      </w:docPartBody>
    </w:docPart>
    <w:docPart>
      <w:docPartPr>
        <w:name w:val="0A35AF4547E94E219E26BC12DBC332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7D360E-8225-4AF6-9FDF-3CF80276F4FF}"/>
      </w:docPartPr>
      <w:docPartBody>
        <w:p w:rsidR="00D21A9F" w:rsidRDefault="00D21A9F">
          <w:pPr>
            <w:pStyle w:val="0A35AF4547E94E219E26BC12DBC33282"/>
          </w:pPr>
          <w:r>
            <w:rPr>
              <w:rStyle w:val="PlaceholderText"/>
            </w:rPr>
            <w:t>Y</w:t>
          </w:r>
          <w:r w:rsidRPr="003365A5">
            <w:rPr>
              <w:rStyle w:val="PlaceholderText"/>
            </w:rPr>
            <w:t>ear</w:t>
          </w:r>
        </w:p>
      </w:docPartBody>
    </w:docPart>
    <w:docPart>
      <w:docPartPr>
        <w:name w:val="81CFEC2FDBC5451289F394E66D92D1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474E63-31E6-4636-887F-D101B2E0A187}"/>
      </w:docPartPr>
      <w:docPartBody>
        <w:p w:rsidR="00D21A9F" w:rsidRDefault="00D21A9F">
          <w:pPr>
            <w:pStyle w:val="81CFEC2FDBC5451289F394E66D92D1A0"/>
          </w:pPr>
          <w:r w:rsidRPr="0051509C">
            <w:rPr>
              <w:rStyle w:val="PlaceholderText"/>
            </w:rPr>
            <w:t>Click here to enter standard</w:t>
          </w:r>
        </w:p>
      </w:docPartBody>
    </w:docPart>
    <w:docPart>
      <w:docPartPr>
        <w:name w:val="C8FBF9621EB94FE084F687C8955AF8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0EEAE9-5999-4667-9E06-55916FEE5D03}"/>
      </w:docPartPr>
      <w:docPartBody>
        <w:p w:rsidR="00D21A9F" w:rsidRDefault="00D21A9F">
          <w:pPr>
            <w:pStyle w:val="C8FBF9621EB94FE084F687C8955AF85F"/>
          </w:pPr>
          <w:r>
            <w:rPr>
              <w:rStyle w:val="PlaceholderText"/>
            </w:rPr>
            <w:t>Y</w:t>
          </w:r>
          <w:r w:rsidRPr="003365A5">
            <w:rPr>
              <w:rStyle w:val="PlaceholderText"/>
            </w:rPr>
            <w:t>ear</w:t>
          </w:r>
        </w:p>
      </w:docPartBody>
    </w:docPart>
    <w:docPart>
      <w:docPartPr>
        <w:name w:val="522022AAE76B4622AC0DF750489702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55DFBF-019C-4562-B49E-2AA0323A449A}"/>
      </w:docPartPr>
      <w:docPartBody>
        <w:p w:rsidR="00D21A9F" w:rsidRDefault="00D21A9F">
          <w:pPr>
            <w:pStyle w:val="522022AAE76B4622AC0DF750489702EB"/>
          </w:pPr>
          <w:r w:rsidRPr="0051509C">
            <w:rPr>
              <w:rStyle w:val="PlaceholderText"/>
            </w:rPr>
            <w:t>Click here to enter standard</w:t>
          </w:r>
        </w:p>
      </w:docPartBody>
    </w:docPart>
    <w:docPart>
      <w:docPartPr>
        <w:name w:val="6918C77959FE4E2CB3B6BD78ABC69E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FDE167-8D8A-4F47-8F15-5DED52B85CB3}"/>
      </w:docPartPr>
      <w:docPartBody>
        <w:p w:rsidR="00D21A9F" w:rsidRDefault="00D21A9F">
          <w:pPr>
            <w:pStyle w:val="6918C77959FE4E2CB3B6BD78ABC69E19"/>
          </w:pPr>
          <w:r>
            <w:rPr>
              <w:rStyle w:val="PlaceholderText"/>
            </w:rPr>
            <w:t>Y</w:t>
          </w:r>
          <w:r w:rsidRPr="003365A5">
            <w:rPr>
              <w:rStyle w:val="PlaceholderText"/>
            </w:rPr>
            <w:t>ear</w:t>
          </w:r>
        </w:p>
      </w:docPartBody>
    </w:docPart>
    <w:docPart>
      <w:docPartPr>
        <w:name w:val="1ED9AEC91FDC4528B51A567B2B19EB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68FFA9-39F8-44B7-9FD3-B2DA6644805F}"/>
      </w:docPartPr>
      <w:docPartBody>
        <w:p w:rsidR="00D21A9F" w:rsidRDefault="00D21A9F">
          <w:pPr>
            <w:pStyle w:val="1ED9AEC91FDC4528B51A567B2B19EB9F"/>
          </w:pPr>
          <w:r w:rsidRPr="0051509C">
            <w:rPr>
              <w:rStyle w:val="PlaceholderText"/>
            </w:rPr>
            <w:t>Click here to enter standard</w:t>
          </w:r>
        </w:p>
      </w:docPartBody>
    </w:docPart>
    <w:docPart>
      <w:docPartPr>
        <w:name w:val="FDC2A24E7D2549238DA6EE03BD0A6A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AA2BDC-5672-4815-991F-0CE2DEE74014}"/>
      </w:docPartPr>
      <w:docPartBody>
        <w:p w:rsidR="00D21A9F" w:rsidRDefault="00D21A9F">
          <w:pPr>
            <w:pStyle w:val="FDC2A24E7D2549238DA6EE03BD0A6AE0"/>
          </w:pPr>
          <w:r>
            <w:rPr>
              <w:rStyle w:val="PlaceholderText"/>
            </w:rPr>
            <w:t>Y</w:t>
          </w:r>
          <w:r w:rsidRPr="003365A5">
            <w:rPr>
              <w:rStyle w:val="PlaceholderText"/>
            </w:rPr>
            <w:t>ear</w:t>
          </w:r>
        </w:p>
      </w:docPartBody>
    </w:docPart>
    <w:docPart>
      <w:docPartPr>
        <w:name w:val="9E827C9D0DA949E385F2E9AB426412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4BB1BA-B22F-4B62-9CED-7D4A7A141414}"/>
      </w:docPartPr>
      <w:docPartBody>
        <w:p w:rsidR="00D21A9F" w:rsidRDefault="00D21A9F">
          <w:pPr>
            <w:pStyle w:val="9E827C9D0DA949E385F2E9AB4264125E"/>
          </w:pPr>
          <w:r w:rsidRPr="0051509C">
            <w:rPr>
              <w:rStyle w:val="PlaceholderText"/>
            </w:rPr>
            <w:t>Click here to enter standard</w:t>
          </w:r>
        </w:p>
      </w:docPartBody>
    </w:docPart>
    <w:docPart>
      <w:docPartPr>
        <w:name w:val="47E4EC2DB10B4B8E8A66F7A5C13653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D78905-5FB3-41F1-93DC-9CC4E0026343}"/>
      </w:docPartPr>
      <w:docPartBody>
        <w:p w:rsidR="00D21A9F" w:rsidRDefault="00D21A9F">
          <w:pPr>
            <w:pStyle w:val="47E4EC2DB10B4B8E8A66F7A5C13653CB"/>
          </w:pPr>
          <w:r>
            <w:rPr>
              <w:rStyle w:val="PlaceholderText"/>
            </w:rPr>
            <w:t>Y</w:t>
          </w:r>
          <w:r w:rsidRPr="003365A5">
            <w:rPr>
              <w:rStyle w:val="PlaceholderText"/>
            </w:rPr>
            <w:t>ear</w:t>
          </w:r>
        </w:p>
      </w:docPartBody>
    </w:docPart>
    <w:docPart>
      <w:docPartPr>
        <w:name w:val="5E4DD00C3A334F93BF5CC79754EBC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4CD032-152D-43ED-B301-B773F4E16730}"/>
      </w:docPartPr>
      <w:docPartBody>
        <w:p w:rsidR="00D21A9F" w:rsidRDefault="00D21A9F">
          <w:pPr>
            <w:pStyle w:val="5E4DD00C3A334F93BF5CC79754EBC5EA"/>
          </w:pPr>
          <w:r w:rsidRPr="0051509C">
            <w:rPr>
              <w:rStyle w:val="PlaceholderText"/>
            </w:rPr>
            <w:t>Click here to enter standard</w:t>
          </w:r>
        </w:p>
      </w:docPartBody>
    </w:docPart>
    <w:docPart>
      <w:docPartPr>
        <w:name w:val="EA1708404F1C4A3BB080A0D8EEB67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F895B6-0ED1-45DE-89C6-97EC2AC4C0B7}"/>
      </w:docPartPr>
      <w:docPartBody>
        <w:p w:rsidR="00D21A9F" w:rsidRDefault="00D21A9F">
          <w:pPr>
            <w:pStyle w:val="EA1708404F1C4A3BB080A0D8EEB67D1D"/>
          </w:pPr>
          <w:r>
            <w:rPr>
              <w:rStyle w:val="PlaceholderText"/>
            </w:rPr>
            <w:t>Y</w:t>
          </w:r>
          <w:r w:rsidRPr="003365A5">
            <w:rPr>
              <w:rStyle w:val="PlaceholderText"/>
            </w:rPr>
            <w:t>ear</w:t>
          </w:r>
        </w:p>
      </w:docPartBody>
    </w:docPart>
    <w:docPart>
      <w:docPartPr>
        <w:name w:val="F3D4204BA37A4A21A656C76DA42744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DD64BC-C0C9-4379-B1B0-F8982B824A8E}"/>
      </w:docPartPr>
      <w:docPartBody>
        <w:p w:rsidR="00D21A9F" w:rsidRDefault="00D21A9F">
          <w:pPr>
            <w:pStyle w:val="F3D4204BA37A4A21A656C76DA4274412"/>
          </w:pPr>
          <w:r w:rsidRPr="0051509C">
            <w:rPr>
              <w:rStyle w:val="PlaceholderText"/>
            </w:rPr>
            <w:t>Click here to enter standard</w:t>
          </w:r>
        </w:p>
      </w:docPartBody>
    </w:docPart>
    <w:docPart>
      <w:docPartPr>
        <w:name w:val="0168237C60E6479CAFA3D9A1A8409B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CB098-81C9-4E32-956E-CDD3A6DFECE7}"/>
      </w:docPartPr>
      <w:docPartBody>
        <w:p w:rsidR="00D21A9F" w:rsidRDefault="00D21A9F">
          <w:pPr>
            <w:pStyle w:val="0168237C60E6479CAFA3D9A1A8409B78"/>
          </w:pPr>
          <w:r w:rsidRPr="00F4402E">
            <w:rPr>
              <w:rStyle w:val="PlaceholderText"/>
              <w:color w:val="FFFFFF" w:themeColor="background1"/>
            </w:rPr>
            <w:t>Choose an item.</w:t>
          </w:r>
        </w:p>
      </w:docPartBody>
    </w:docPart>
    <w:docPart>
      <w:docPartPr>
        <w:name w:val="5CBFEC560F894890BBD09B93174FFA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D8AA47-26C1-43F2-BE0B-3C03EF3669BD}"/>
      </w:docPartPr>
      <w:docPartBody>
        <w:p w:rsidR="00D21A9F" w:rsidRDefault="00D21A9F">
          <w:pPr>
            <w:pStyle w:val="5CBFEC560F894890BBD09B93174FFAE0"/>
          </w:pPr>
          <w:r w:rsidRPr="00F4402E">
            <w:rPr>
              <w:rStyle w:val="PlaceholderText"/>
              <w:color w:val="FFFFFF" w:themeColor="background1"/>
            </w:rPr>
            <w:t>Choose an item.</w:t>
          </w:r>
        </w:p>
      </w:docPartBody>
    </w:docPart>
    <w:docPart>
      <w:docPartPr>
        <w:name w:val="CAD2D506A5824AB88D896BC2795BCE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9D28C-1B09-4DD0-B83A-09A1AFF622AA}"/>
      </w:docPartPr>
      <w:docPartBody>
        <w:p w:rsidR="00D21A9F" w:rsidRDefault="00D21A9F">
          <w:pPr>
            <w:pStyle w:val="CAD2D506A5824AB88D896BC2795BCEDE"/>
          </w:pPr>
          <w:r w:rsidRPr="001D56F0">
            <w:rPr>
              <w:rStyle w:val="PlaceholderText"/>
            </w:rPr>
            <w:t>Choose an item.</w:t>
          </w:r>
        </w:p>
      </w:docPartBody>
    </w:docPart>
    <w:docPart>
      <w:docPartPr>
        <w:name w:val="F426C563814E402488AC06CC39354A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A6214-28BA-4138-BF55-E76AD08567C8}"/>
      </w:docPartPr>
      <w:docPartBody>
        <w:p w:rsidR="00D21A9F" w:rsidRDefault="00D21A9F">
          <w:pPr>
            <w:pStyle w:val="F426C563814E402488AC06CC39354A11"/>
          </w:pPr>
          <w:r w:rsidRPr="00EB3D1B">
            <w:rPr>
              <w:rStyle w:val="PlaceholderText"/>
              <w:color w:val="FFFFFF" w:themeColor="background1"/>
            </w:rPr>
            <w:t>Choose an item.</w:t>
          </w:r>
        </w:p>
      </w:docPartBody>
    </w:docPart>
    <w:docPart>
      <w:docPartPr>
        <w:name w:val="0DAD3FB9ACEF4778B961F088737E23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18AAEB-C7DB-4A80-88DB-772F73C8E66D}"/>
      </w:docPartPr>
      <w:docPartBody>
        <w:p w:rsidR="00D21A9F" w:rsidRDefault="00D21A9F">
          <w:pPr>
            <w:pStyle w:val="0DAD3FB9ACEF4778B961F088737E2361"/>
          </w:pPr>
          <w:r>
            <w:rPr>
              <w:rStyle w:val="PlaceholderText"/>
            </w:rPr>
            <w:t>Insert molecular weight</w:t>
          </w:r>
        </w:p>
      </w:docPartBody>
    </w:docPart>
    <w:docPart>
      <w:docPartPr>
        <w:name w:val="A7231FB73EFF4B2B92EB3BD21C0CEA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A3F6B-F6BB-479E-BB6A-087EA1FCFDFA}"/>
      </w:docPartPr>
      <w:docPartBody>
        <w:p w:rsidR="00D21A9F" w:rsidRDefault="00D21A9F">
          <w:pPr>
            <w:pStyle w:val="A7231FB73EFF4B2B92EB3BD21C0CEA01"/>
          </w:pPr>
          <w:r>
            <w:rPr>
              <w:rStyle w:val="PlaceholderText"/>
            </w:rPr>
            <w:t>Number</w:t>
          </w:r>
        </w:p>
      </w:docPartBody>
    </w:docPart>
    <w:docPart>
      <w:docPartPr>
        <w:name w:val="5D98FA8C84704C71B6F1557317AE53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8DFB54-C6B8-4F2D-88BE-C0D2DC34C42D}"/>
      </w:docPartPr>
      <w:docPartBody>
        <w:p w:rsidR="00D21A9F" w:rsidRDefault="00D21A9F">
          <w:pPr>
            <w:pStyle w:val="5D98FA8C84704C71B6F1557317AE5303"/>
          </w:pPr>
          <w:r w:rsidRPr="00DF79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F891C0AB704CDAB9BC6E80D55647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1FED3B-D766-43B3-B75A-764D619F223B}"/>
      </w:docPartPr>
      <w:docPartBody>
        <w:p w:rsidR="00D21A9F" w:rsidRDefault="00D21A9F">
          <w:pPr>
            <w:pStyle w:val="2BF891C0AB704CDAB9BC6E80D556473F"/>
          </w:pPr>
          <w:r w:rsidRPr="004C23F4">
            <w:rPr>
              <w:rStyle w:val="PlaceholderText"/>
              <w:rFonts w:cs="Arial"/>
            </w:rPr>
            <w:t>Click here to enter year</w:t>
          </w:r>
        </w:p>
      </w:docPartBody>
    </w:docPart>
    <w:docPart>
      <w:docPartPr>
        <w:name w:val="07EDA452BFFD4005BB60904945B874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9387E5-FCFF-4D87-BE7E-6A298C732E36}"/>
      </w:docPartPr>
      <w:docPartBody>
        <w:p w:rsidR="00DE1E92" w:rsidRDefault="002B0315" w:rsidP="002B0315">
          <w:pPr>
            <w:pStyle w:val="07EDA452BFFD4005BB60904945B87452"/>
          </w:pPr>
          <w:r>
            <w:rPr>
              <w:rStyle w:val="PlaceholderText"/>
            </w:rPr>
            <w:t>Has this value changed?</w:t>
          </w:r>
        </w:p>
      </w:docPartBody>
    </w:docPart>
    <w:docPart>
      <w:docPartPr>
        <w:name w:val="9A8557C826D546D0B35BAE5D30A96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7F76A5-FDE8-4AF8-AD49-7712246F78C2}"/>
      </w:docPartPr>
      <w:docPartBody>
        <w:p w:rsidR="00C26635" w:rsidRDefault="00DE1E92" w:rsidP="00DE1E92">
          <w:pPr>
            <w:pStyle w:val="9A8557C826D546D0B35BAE5D30A96F85"/>
          </w:pPr>
          <w:r w:rsidRPr="00724F1C">
            <w:rPr>
              <w:rStyle w:val="PlaceholderText"/>
            </w:rPr>
            <w:t>Choose an item.</w:t>
          </w:r>
        </w:p>
      </w:docPartBody>
    </w:docPart>
    <w:docPart>
      <w:docPartPr>
        <w:name w:val="245544A968CA4DFD981C9BD087FCE9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A4167C-7322-4E13-ACB6-C6A40ACDB270}"/>
      </w:docPartPr>
      <w:docPartBody>
        <w:p w:rsidR="00C26635" w:rsidRDefault="00DE1E92" w:rsidP="00DE1E92">
          <w:pPr>
            <w:pStyle w:val="245544A968CA4DFD981C9BD087FCE98A"/>
          </w:pPr>
          <w:r w:rsidRPr="00724F1C">
            <w:rPr>
              <w:rStyle w:val="PlaceholderText"/>
            </w:rPr>
            <w:t>Choose an item.</w:t>
          </w:r>
        </w:p>
      </w:docPartBody>
    </w:docPart>
    <w:docPart>
      <w:docPartPr>
        <w:name w:val="50BC1BE3999B48AB980C146B62F4E4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C64CA5-C43A-411C-9B0D-69ABCAE9349D}"/>
      </w:docPartPr>
      <w:docPartBody>
        <w:p w:rsidR="00C26635" w:rsidRDefault="00DE1E92" w:rsidP="00DE1E92">
          <w:pPr>
            <w:pStyle w:val="50BC1BE3999B48AB980C146B62F4E44E"/>
          </w:pPr>
          <w:r w:rsidRPr="00724F1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A9F"/>
    <w:rsid w:val="002464DA"/>
    <w:rsid w:val="002B0315"/>
    <w:rsid w:val="0033371D"/>
    <w:rsid w:val="008B219C"/>
    <w:rsid w:val="00C26635"/>
    <w:rsid w:val="00D21A9F"/>
    <w:rsid w:val="00D45639"/>
    <w:rsid w:val="00DE1E92"/>
    <w:rsid w:val="00E86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B219C"/>
    <w:rPr>
      <w:color w:val="808080"/>
    </w:rPr>
  </w:style>
  <w:style w:type="paragraph" w:customStyle="1" w:styleId="CE1736E50B02464986D1BEC8B7ACDE96">
    <w:name w:val="CE1736E50B02464986D1BEC8B7ACDE96"/>
  </w:style>
  <w:style w:type="paragraph" w:customStyle="1" w:styleId="E23B83A762C94EBA8097A4DA3FB4D503">
    <w:name w:val="E23B83A762C94EBA8097A4DA3FB4D503"/>
  </w:style>
  <w:style w:type="paragraph" w:customStyle="1" w:styleId="0A35AF4547E94E219E26BC12DBC33282">
    <w:name w:val="0A35AF4547E94E219E26BC12DBC33282"/>
  </w:style>
  <w:style w:type="paragraph" w:customStyle="1" w:styleId="81CFEC2FDBC5451289F394E66D92D1A0">
    <w:name w:val="81CFEC2FDBC5451289F394E66D92D1A0"/>
  </w:style>
  <w:style w:type="paragraph" w:customStyle="1" w:styleId="C8FBF9621EB94FE084F687C8955AF85F">
    <w:name w:val="C8FBF9621EB94FE084F687C8955AF85F"/>
  </w:style>
  <w:style w:type="paragraph" w:customStyle="1" w:styleId="522022AAE76B4622AC0DF750489702EB">
    <w:name w:val="522022AAE76B4622AC0DF750489702EB"/>
  </w:style>
  <w:style w:type="paragraph" w:customStyle="1" w:styleId="6918C77959FE4E2CB3B6BD78ABC69E19">
    <w:name w:val="6918C77959FE4E2CB3B6BD78ABC69E19"/>
  </w:style>
  <w:style w:type="paragraph" w:customStyle="1" w:styleId="1ED9AEC91FDC4528B51A567B2B19EB9F">
    <w:name w:val="1ED9AEC91FDC4528B51A567B2B19EB9F"/>
  </w:style>
  <w:style w:type="paragraph" w:customStyle="1" w:styleId="FDC2A24E7D2549238DA6EE03BD0A6AE0">
    <w:name w:val="FDC2A24E7D2549238DA6EE03BD0A6AE0"/>
  </w:style>
  <w:style w:type="paragraph" w:customStyle="1" w:styleId="9E827C9D0DA949E385F2E9AB4264125E">
    <w:name w:val="9E827C9D0DA949E385F2E9AB4264125E"/>
  </w:style>
  <w:style w:type="paragraph" w:customStyle="1" w:styleId="47E4EC2DB10B4B8E8A66F7A5C13653CB">
    <w:name w:val="47E4EC2DB10B4B8E8A66F7A5C13653CB"/>
  </w:style>
  <w:style w:type="paragraph" w:customStyle="1" w:styleId="5E4DD00C3A334F93BF5CC79754EBC5EA">
    <w:name w:val="5E4DD00C3A334F93BF5CC79754EBC5EA"/>
  </w:style>
  <w:style w:type="paragraph" w:customStyle="1" w:styleId="EA1708404F1C4A3BB080A0D8EEB67D1D">
    <w:name w:val="EA1708404F1C4A3BB080A0D8EEB67D1D"/>
  </w:style>
  <w:style w:type="paragraph" w:customStyle="1" w:styleId="F3D4204BA37A4A21A656C76DA4274412">
    <w:name w:val="F3D4204BA37A4A21A656C76DA4274412"/>
  </w:style>
  <w:style w:type="paragraph" w:customStyle="1" w:styleId="8DD754E365844A4E82EC69A07E229629">
    <w:name w:val="8DD754E365844A4E82EC69A07E229629"/>
  </w:style>
  <w:style w:type="paragraph" w:customStyle="1" w:styleId="29D96B65566944F4988BAEB665EF7897">
    <w:name w:val="29D96B65566944F4988BAEB665EF7897"/>
  </w:style>
  <w:style w:type="paragraph" w:customStyle="1" w:styleId="C2B44F29000D47BD8588D2D5E8DFA6C8">
    <w:name w:val="C2B44F29000D47BD8588D2D5E8DFA6C8"/>
  </w:style>
  <w:style w:type="paragraph" w:customStyle="1" w:styleId="CC96E8CFB35445F7B98574D62F848316">
    <w:name w:val="CC96E8CFB35445F7B98574D62F848316"/>
  </w:style>
  <w:style w:type="paragraph" w:customStyle="1" w:styleId="20BC8D26515A4C11AC6304FB75A7CBAD">
    <w:name w:val="20BC8D26515A4C11AC6304FB75A7CBAD"/>
  </w:style>
  <w:style w:type="paragraph" w:customStyle="1" w:styleId="0599BE4318CD4CC0836196E577CC2921">
    <w:name w:val="0599BE4318CD4CC0836196E577CC2921"/>
  </w:style>
  <w:style w:type="paragraph" w:customStyle="1" w:styleId="CA68404C5F6B4780904F09DAAE62489A">
    <w:name w:val="CA68404C5F6B4780904F09DAAE62489A"/>
  </w:style>
  <w:style w:type="paragraph" w:customStyle="1" w:styleId="CFFDE270CB50461B826B0194984892C5">
    <w:name w:val="CFFDE270CB50461B826B0194984892C5"/>
  </w:style>
  <w:style w:type="paragraph" w:customStyle="1" w:styleId="EA32968BF93744FAABC5FC124DBE04BD">
    <w:name w:val="EA32968BF93744FAABC5FC124DBE04BD"/>
  </w:style>
  <w:style w:type="paragraph" w:customStyle="1" w:styleId="320A77D155374054996F168A20882C28">
    <w:name w:val="320A77D155374054996F168A20882C28"/>
  </w:style>
  <w:style w:type="paragraph" w:customStyle="1" w:styleId="EA51C8540A4D4F0A9062F5B1698DCBB0">
    <w:name w:val="EA51C8540A4D4F0A9062F5B1698DCBB0"/>
  </w:style>
  <w:style w:type="paragraph" w:customStyle="1" w:styleId="0168237C60E6479CAFA3D9A1A8409B78">
    <w:name w:val="0168237C60E6479CAFA3D9A1A8409B78"/>
  </w:style>
  <w:style w:type="paragraph" w:customStyle="1" w:styleId="5CBFEC560F894890BBD09B93174FFAE0">
    <w:name w:val="5CBFEC560F894890BBD09B93174FFAE0"/>
  </w:style>
  <w:style w:type="paragraph" w:customStyle="1" w:styleId="CAD2D506A5824AB88D896BC2795BCEDE">
    <w:name w:val="CAD2D506A5824AB88D896BC2795BCEDE"/>
  </w:style>
  <w:style w:type="paragraph" w:customStyle="1" w:styleId="047AD93791DC493F8562BB3488160D64">
    <w:name w:val="047AD93791DC493F8562BB3488160D64"/>
  </w:style>
  <w:style w:type="paragraph" w:customStyle="1" w:styleId="7B0BAA2441D5427984E6018FB38900E7">
    <w:name w:val="7B0BAA2441D5427984E6018FB38900E7"/>
  </w:style>
  <w:style w:type="paragraph" w:customStyle="1" w:styleId="5C1D38B030D146B59436754F8399D502">
    <w:name w:val="5C1D38B030D146B59436754F8399D502"/>
  </w:style>
  <w:style w:type="paragraph" w:customStyle="1" w:styleId="F426C563814E402488AC06CC39354A11">
    <w:name w:val="F426C563814E402488AC06CC39354A11"/>
  </w:style>
  <w:style w:type="paragraph" w:customStyle="1" w:styleId="0DAD3FB9ACEF4778B961F088737E2361">
    <w:name w:val="0DAD3FB9ACEF4778B961F088737E2361"/>
  </w:style>
  <w:style w:type="paragraph" w:customStyle="1" w:styleId="A7231FB73EFF4B2B92EB3BD21C0CEA01">
    <w:name w:val="A7231FB73EFF4B2B92EB3BD21C0CEA01"/>
  </w:style>
  <w:style w:type="paragraph" w:customStyle="1" w:styleId="5D98FA8C84704C71B6F1557317AE5303">
    <w:name w:val="5D98FA8C84704C71B6F1557317AE5303"/>
  </w:style>
  <w:style w:type="paragraph" w:customStyle="1" w:styleId="2BF891C0AB704CDAB9BC6E80D556473F">
    <w:name w:val="2BF891C0AB704CDAB9BC6E80D556473F"/>
  </w:style>
  <w:style w:type="paragraph" w:customStyle="1" w:styleId="9B3BAD770A334C3E8E10AB04CCC140D2">
    <w:name w:val="9B3BAD770A334C3E8E10AB04CCC140D2"/>
    <w:rsid w:val="00E866A3"/>
  </w:style>
  <w:style w:type="paragraph" w:customStyle="1" w:styleId="D5481E34DF1D4DA6BC49CC9BC27C1BAC">
    <w:name w:val="D5481E34DF1D4DA6BC49CC9BC27C1BAC"/>
    <w:rsid w:val="00E866A3"/>
  </w:style>
  <w:style w:type="paragraph" w:customStyle="1" w:styleId="6A38E7444A2D449BBAD59CA5D22964E0">
    <w:name w:val="6A38E7444A2D449BBAD59CA5D22964E0"/>
    <w:rsid w:val="00E866A3"/>
  </w:style>
  <w:style w:type="paragraph" w:customStyle="1" w:styleId="602464D6038145EC8C4681AC1523D9FF">
    <w:name w:val="602464D6038145EC8C4681AC1523D9FF"/>
    <w:rsid w:val="00E866A3"/>
  </w:style>
  <w:style w:type="paragraph" w:customStyle="1" w:styleId="6868A404F4A347FD99C7141484C5193D">
    <w:name w:val="6868A404F4A347FD99C7141484C5193D"/>
    <w:rsid w:val="00E866A3"/>
  </w:style>
  <w:style w:type="paragraph" w:customStyle="1" w:styleId="F532517EC440478B9D6B0FE6CE4F7C58">
    <w:name w:val="F532517EC440478B9D6B0FE6CE4F7C58"/>
    <w:rsid w:val="00E866A3"/>
  </w:style>
  <w:style w:type="paragraph" w:customStyle="1" w:styleId="BA34C1A192814BD1B8E4BE7407BC973E">
    <w:name w:val="BA34C1A192814BD1B8E4BE7407BC973E"/>
    <w:rsid w:val="00E866A3"/>
  </w:style>
  <w:style w:type="paragraph" w:customStyle="1" w:styleId="6A98D3660E1F46019C436715231C9C7B">
    <w:name w:val="6A98D3660E1F46019C436715231C9C7B"/>
    <w:rsid w:val="00E866A3"/>
  </w:style>
  <w:style w:type="paragraph" w:customStyle="1" w:styleId="3539FDA6861943AB977E959F40FE7A44">
    <w:name w:val="3539FDA6861943AB977E959F40FE7A44"/>
    <w:rsid w:val="00E866A3"/>
  </w:style>
  <w:style w:type="paragraph" w:customStyle="1" w:styleId="E810F8FE1A924791ACDA717021BEB40D">
    <w:name w:val="E810F8FE1A924791ACDA717021BEB40D"/>
    <w:rsid w:val="00E866A3"/>
  </w:style>
  <w:style w:type="paragraph" w:customStyle="1" w:styleId="77AE754E6A024C87A7D9ABDF11BBED92">
    <w:name w:val="77AE754E6A024C87A7D9ABDF11BBED92"/>
    <w:rsid w:val="00E866A3"/>
  </w:style>
  <w:style w:type="paragraph" w:customStyle="1" w:styleId="ECBE70538D40412FADF85D0BBB122DAA">
    <w:name w:val="ECBE70538D40412FADF85D0BBB122DAA"/>
    <w:rsid w:val="00E866A3"/>
  </w:style>
  <w:style w:type="paragraph" w:customStyle="1" w:styleId="CE38045CEE6F4863BC46B7CBD1A73F08">
    <w:name w:val="CE38045CEE6F4863BC46B7CBD1A73F08"/>
    <w:rsid w:val="00E866A3"/>
  </w:style>
  <w:style w:type="paragraph" w:customStyle="1" w:styleId="07EDA452BFFD4005BB60904945B87452">
    <w:name w:val="07EDA452BFFD4005BB60904945B87452"/>
    <w:rsid w:val="002B0315"/>
  </w:style>
  <w:style w:type="paragraph" w:customStyle="1" w:styleId="8B6225E49FF64ED89E14573AD6DE2D74">
    <w:name w:val="8B6225E49FF64ED89E14573AD6DE2D74"/>
    <w:rsid w:val="00DE1E92"/>
  </w:style>
  <w:style w:type="paragraph" w:customStyle="1" w:styleId="9A8557C826D546D0B35BAE5D30A96F85">
    <w:name w:val="9A8557C826D546D0B35BAE5D30A96F85"/>
    <w:rsid w:val="00DE1E92"/>
  </w:style>
  <w:style w:type="paragraph" w:customStyle="1" w:styleId="99FE56D98B644607BA6B153E5FCEB67B">
    <w:name w:val="99FE56D98B644607BA6B153E5FCEB67B"/>
    <w:rsid w:val="00DE1E92"/>
  </w:style>
  <w:style w:type="paragraph" w:customStyle="1" w:styleId="245544A968CA4DFD981C9BD087FCE98A">
    <w:name w:val="245544A968CA4DFD981C9BD087FCE98A"/>
    <w:rsid w:val="00DE1E92"/>
  </w:style>
  <w:style w:type="paragraph" w:customStyle="1" w:styleId="50BC1BE3999B48AB980C146B62F4E44E">
    <w:name w:val="50BC1BE3999B48AB980C146B62F4E44E"/>
    <w:rsid w:val="00DE1E92"/>
  </w:style>
  <w:style w:type="paragraph" w:customStyle="1" w:styleId="5AE13DFF96DB4A67B452A2E631A44062">
    <w:name w:val="5AE13DFF96DB4A67B452A2E631A44062"/>
    <w:rsid w:val="008B219C"/>
  </w:style>
  <w:style w:type="paragraph" w:customStyle="1" w:styleId="4BCC48522F2A4A8CA69B9F3D0D1D1F93">
    <w:name w:val="4BCC48522F2A4A8CA69B9F3D0D1D1F93"/>
    <w:rsid w:val="008B219C"/>
  </w:style>
  <w:style w:type="paragraph" w:customStyle="1" w:styleId="D50CBBC401694B7E81D67C9D4749FBF5">
    <w:name w:val="D50CBBC401694B7E81D67C9D4749FBF5"/>
    <w:rsid w:val="008B21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2833B9C0B50D4EB62CF206B9DF4D6F" ma:contentTypeVersion="2" ma:contentTypeDescription="Create a new document." ma:contentTypeScope="" ma:versionID="3f0239daee0f58ef4204c8121a58097c">
  <xsd:schema xmlns:xsd="http://www.w3.org/2001/XMLSchema" xmlns:xs="http://www.w3.org/2001/XMLSchema" xmlns:p="http://schemas.microsoft.com/office/2006/metadata/properties" xmlns:ns2="bf54d604-3e62-4e70-ba33-9e9084b96a66" targetNamespace="http://schemas.microsoft.com/office/2006/metadata/properties" ma:root="true" ma:fieldsID="84d0abafb20839a02dba80eb6ea31e1c" ns2:_="">
    <xsd:import namespace="bf54d604-3e62-4e70-ba33-9e9084b96a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54d604-3e62-4e70-ba33-9e9084b96a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3E274-B3FE-4D7B-A252-C45969EFC7CB}">
  <ds:schemaRefs>
    <ds:schemaRef ds:uri="http://purl.org/dc/terms/"/>
    <ds:schemaRef ds:uri="http://schemas.openxmlformats.org/package/2006/metadata/core-properties"/>
    <ds:schemaRef ds:uri="http://purl.org/dc/dcmitype/"/>
    <ds:schemaRef ds:uri="bf54d604-3e62-4e70-ba33-9e9084b96a66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6F54147-EF5D-445A-9845-5992F5EC6C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A159C0-A0F9-47F3-9EC9-A179436E08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54d604-3e62-4e70-ba33-9e9084b96a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4BE93A5-093E-4D63-B055-742B94C0F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1359</Words>
  <Characters>7752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2019-11-06T05:59:00Z</dcterms:created>
  <dcterms:modified xsi:type="dcterms:W3CDTF">2019-12-05T23:06:00Z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0x010100EC2833B9C0B50D4EB62CF206B9DF4D6F</vt:lpwstr>
  </property>
</Properties>
</file>