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72E5F17E" w14:textId="1763D892" w:rsidR="00BD499F" w:rsidRPr="004C23F4" w:rsidRDefault="00B47556" w:rsidP="00B40C60">
          <w:pPr>
            <w:pStyle w:val="Heading1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lang w:val="en-US"/>
            </w:rPr>
            <w:t>Ethanolamine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77"/>
        <w:gridCol w:w="5049"/>
      </w:tblGrid>
      <w:tr w:rsidR="00F43AD5" w:rsidRPr="004C23F4" w14:paraId="4CC2C26F" w14:textId="77777777" w:rsidTr="006F37E5">
        <w:trPr>
          <w:cantSplit/>
          <w:tblHeader/>
        </w:trPr>
        <w:tc>
          <w:tcPr>
            <w:tcW w:w="3977" w:type="dxa"/>
          </w:tcPr>
          <w:p w14:paraId="7A6E648F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049" w:type="dxa"/>
          </w:tcPr>
          <w:p w14:paraId="7814B077" w14:textId="25EDBEB7" w:rsidR="00F43AD5" w:rsidRPr="00717D45" w:rsidRDefault="009860F7" w:rsidP="00B76A41">
            <w:pPr>
              <w:pStyle w:val="Tablefont"/>
            </w:pPr>
            <w:r w:rsidRPr="009860F7">
              <w:t>141-43-5</w:t>
            </w:r>
          </w:p>
        </w:tc>
      </w:tr>
      <w:tr w:rsidR="00F43AD5" w:rsidRPr="004C23F4" w14:paraId="5910B08C" w14:textId="77777777" w:rsidTr="006F37E5">
        <w:trPr>
          <w:cantSplit/>
        </w:trPr>
        <w:tc>
          <w:tcPr>
            <w:tcW w:w="3977" w:type="dxa"/>
          </w:tcPr>
          <w:p w14:paraId="66AA0A3E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049" w:type="dxa"/>
          </w:tcPr>
          <w:p w14:paraId="2457D846" w14:textId="53BDE2AA" w:rsidR="00F43AD5" w:rsidRPr="00717D45" w:rsidRDefault="0058749E" w:rsidP="00B76A41">
            <w:pPr>
              <w:pStyle w:val="Tablefont"/>
            </w:pPr>
            <w:r>
              <w:t xml:space="preserve">2-Aminoethanol, </w:t>
            </w:r>
            <w:proofErr w:type="spellStart"/>
            <w:r w:rsidR="00E80D1F">
              <w:t>m</w:t>
            </w:r>
            <w:r>
              <w:t>onoethanol</w:t>
            </w:r>
            <w:r w:rsidR="00AD4926">
              <w:t>amine</w:t>
            </w:r>
            <w:proofErr w:type="spellEnd"/>
          </w:p>
        </w:tc>
      </w:tr>
      <w:tr w:rsidR="00F43AD5" w:rsidRPr="004C23F4" w14:paraId="7F15BCE3" w14:textId="77777777" w:rsidTr="006F37E5">
        <w:trPr>
          <w:cantSplit/>
        </w:trPr>
        <w:tc>
          <w:tcPr>
            <w:tcW w:w="3977" w:type="dxa"/>
          </w:tcPr>
          <w:p w14:paraId="7051D0C2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049" w:type="dxa"/>
          </w:tcPr>
          <w:p w14:paraId="0DC2A3E2" w14:textId="05F6BA01" w:rsidR="00F43AD5" w:rsidRPr="00717D45" w:rsidRDefault="00AD4926" w:rsidP="00B76A41">
            <w:pPr>
              <w:pStyle w:val="Tablefont"/>
            </w:pPr>
            <w:r>
              <w:t>C</w:t>
            </w:r>
            <w:r w:rsidRPr="00AD4926">
              <w:rPr>
                <w:vertAlign w:val="subscript"/>
              </w:rPr>
              <w:t>2</w:t>
            </w:r>
            <w:r>
              <w:t>H</w:t>
            </w:r>
            <w:r w:rsidRPr="00AD4926">
              <w:rPr>
                <w:vertAlign w:val="subscript"/>
              </w:rPr>
              <w:t>7</w:t>
            </w:r>
            <w:r>
              <w:t>NO</w:t>
            </w:r>
          </w:p>
        </w:tc>
      </w:tr>
    </w:tbl>
    <w:p w14:paraId="33DD119E" w14:textId="2938FF0F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D26ED0">
            <w:rPr>
              <w:rStyle w:val="WESstatus"/>
            </w:rPr>
            <w:t>(retained)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577F4AB9" w14:textId="77777777" w:rsidTr="00E80D1F">
        <w:trPr>
          <w:cantSplit/>
          <w:tblHeader/>
        </w:trPr>
        <w:tc>
          <w:tcPr>
            <w:tcW w:w="4005" w:type="dxa"/>
            <w:vAlign w:val="center"/>
          </w:tcPr>
          <w:p w14:paraId="42F99AE9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7CB8C58A" w14:textId="3B2518B4" w:rsidR="002C7AFE" w:rsidRPr="00EB3D1B" w:rsidRDefault="00D26ED0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3</w:t>
            </w:r>
            <w:r w:rsidR="00892BCE">
              <w:rPr>
                <w:b/>
              </w:rPr>
              <w:t xml:space="preserve"> ppm (</w:t>
            </w:r>
            <w:r>
              <w:rPr>
                <w:b/>
              </w:rPr>
              <w:t>7.6</w:t>
            </w:r>
            <w:r w:rsidR="00892BCE">
              <w:rPr>
                <w:b/>
              </w:rPr>
              <w:t xml:space="preserve"> mg/m</w:t>
            </w:r>
            <w:r w:rsidR="00892BCE" w:rsidRPr="00892BCE">
              <w:rPr>
                <w:b/>
                <w:vertAlign w:val="superscript"/>
              </w:rPr>
              <w:t>3</w:t>
            </w:r>
            <w:r w:rsidR="00892BCE">
              <w:rPr>
                <w:b/>
              </w:rPr>
              <w:t>)</w:t>
            </w:r>
          </w:p>
        </w:tc>
      </w:tr>
      <w:tr w:rsidR="002C7AFE" w:rsidRPr="004C23F4" w14:paraId="149CB0FE" w14:textId="77777777" w:rsidTr="00E80D1F">
        <w:trPr>
          <w:cantSplit/>
        </w:trPr>
        <w:tc>
          <w:tcPr>
            <w:tcW w:w="4005" w:type="dxa"/>
            <w:vAlign w:val="center"/>
          </w:tcPr>
          <w:p w14:paraId="49628455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637B84A6" w14:textId="193174AE" w:rsidR="002C7AFE" w:rsidRPr="00D26ED0" w:rsidRDefault="00D26ED0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6 ppm (15 mg/m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</w:tr>
      <w:tr w:rsidR="002C7AFE" w:rsidRPr="004C23F4" w14:paraId="671C7207" w14:textId="77777777" w:rsidTr="00E80D1F">
        <w:trPr>
          <w:cantSplit/>
        </w:trPr>
        <w:tc>
          <w:tcPr>
            <w:tcW w:w="4005" w:type="dxa"/>
            <w:vAlign w:val="center"/>
          </w:tcPr>
          <w:p w14:paraId="5A3ECE33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367950C5" w14:textId="6B862EF8" w:rsidR="002C7AFE" w:rsidRPr="00E80D1F" w:rsidRDefault="00705184" w:rsidP="00017C82">
            <w:pPr>
              <w:pStyle w:val="Tablefont"/>
              <w:rPr>
                <w:b/>
              </w:rPr>
            </w:pPr>
            <w:r w:rsidRPr="00B57A24">
              <w:rPr>
                <w:b/>
              </w:rPr>
              <w:t>—</w:t>
            </w:r>
          </w:p>
        </w:tc>
      </w:tr>
      <w:tr w:rsidR="002C7AFE" w:rsidRPr="004C23F4" w14:paraId="36EB9FBB" w14:textId="77777777" w:rsidTr="00E80D1F">
        <w:trPr>
          <w:cantSplit/>
        </w:trPr>
        <w:tc>
          <w:tcPr>
            <w:tcW w:w="4005" w:type="dxa"/>
          </w:tcPr>
          <w:p w14:paraId="494F55ED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03A047B5" w14:textId="0151FD78" w:rsidR="002C7AFE" w:rsidRPr="00E80D1F" w:rsidRDefault="00B57A24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Sk.</w:t>
            </w:r>
          </w:p>
        </w:tc>
      </w:tr>
      <w:tr w:rsidR="002C7AFE" w:rsidRPr="004C23F4" w14:paraId="6CFCAECE" w14:textId="77777777" w:rsidTr="00E80D1F">
        <w:trPr>
          <w:cantSplit/>
        </w:trPr>
        <w:tc>
          <w:tcPr>
            <w:tcW w:w="4005" w:type="dxa"/>
            <w:vAlign w:val="center"/>
          </w:tcPr>
          <w:p w14:paraId="085B8C86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3B2A9E03" w14:textId="4C860EF4" w:rsidR="002C7AFE" w:rsidRPr="00EB3D1B" w:rsidRDefault="00AD4926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30 ppm</w:t>
            </w:r>
          </w:p>
        </w:tc>
      </w:tr>
      <w:tr w:rsidR="00E80D1F" w:rsidRPr="004C23F4" w14:paraId="4FAE4EF7" w14:textId="77777777" w:rsidTr="007028DD">
        <w:trPr>
          <w:cantSplit/>
        </w:trPr>
        <w:tc>
          <w:tcPr>
            <w:tcW w:w="9026" w:type="dxa"/>
            <w:gridSpan w:val="2"/>
            <w:vAlign w:val="center"/>
          </w:tcPr>
          <w:p w14:paraId="6CC7FFD4" w14:textId="0AB50120" w:rsidR="00E80D1F" w:rsidRPr="00EB3D1B" w:rsidRDefault="00E80D1F" w:rsidP="00E80D1F">
            <w:pPr>
              <w:pStyle w:val="Tablefont"/>
              <w:rPr>
                <w:b/>
              </w:rPr>
            </w:pPr>
            <w:r w:rsidRPr="002B3CD9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2071064F5DF144C3AC9F70C60D108362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="00B57A24" w:rsidRPr="002B3CD9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6D1849BF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57D2136E" w14:textId="7AF5EB61" w:rsidR="006639B4" w:rsidRDefault="00705184" w:rsidP="000C139A">
      <w:pPr>
        <w:rPr>
          <w:rFonts w:cs="Arial"/>
        </w:rPr>
      </w:pPr>
      <w:r>
        <w:rPr>
          <w:rFonts w:cs="Arial"/>
        </w:rPr>
        <w:t xml:space="preserve">A TWA of </w:t>
      </w:r>
      <w:r w:rsidR="00D26ED0">
        <w:rPr>
          <w:rFonts w:cs="Arial"/>
        </w:rPr>
        <w:t>3</w:t>
      </w:r>
      <w:r w:rsidR="002A3C47">
        <w:rPr>
          <w:rFonts w:cs="Arial"/>
        </w:rPr>
        <w:t xml:space="preserve"> ppm (</w:t>
      </w:r>
      <w:r w:rsidR="00D26ED0">
        <w:rPr>
          <w:rFonts w:cs="Arial"/>
        </w:rPr>
        <w:t>7.6</w:t>
      </w:r>
      <w:r w:rsidR="00892BCE" w:rsidRPr="00892BCE">
        <w:rPr>
          <w:rFonts w:cs="Arial"/>
        </w:rPr>
        <w:t xml:space="preserve"> mg/m</w:t>
      </w:r>
      <w:r w:rsidR="00892BCE" w:rsidRPr="00892BCE">
        <w:rPr>
          <w:rFonts w:cs="Arial"/>
          <w:vertAlign w:val="superscript"/>
        </w:rPr>
        <w:t>3</w:t>
      </w:r>
      <w:r w:rsidR="00892BCE" w:rsidRPr="00892BCE">
        <w:rPr>
          <w:rFonts w:cs="Arial"/>
        </w:rPr>
        <w:t xml:space="preserve">) </w:t>
      </w:r>
      <w:r>
        <w:rPr>
          <w:rFonts w:cs="Arial"/>
        </w:rPr>
        <w:t xml:space="preserve">is recommended </w:t>
      </w:r>
      <w:r w:rsidR="006F37E5">
        <w:rPr>
          <w:rFonts w:cs="Arial"/>
        </w:rPr>
        <w:t>to protect for irritant effects</w:t>
      </w:r>
      <w:r>
        <w:rPr>
          <w:rFonts w:cs="Arial"/>
        </w:rPr>
        <w:t>.</w:t>
      </w:r>
    </w:p>
    <w:p w14:paraId="6054BF50" w14:textId="496FDDFD" w:rsidR="00D26ED0" w:rsidRPr="00D26ED0" w:rsidRDefault="00D26ED0" w:rsidP="000C139A">
      <w:pPr>
        <w:rPr>
          <w:rFonts w:cs="Arial"/>
        </w:rPr>
      </w:pPr>
      <w:r>
        <w:rPr>
          <w:rFonts w:cs="Arial"/>
        </w:rPr>
        <w:t>A STEL of 6 ppm (15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) is recommended </w:t>
      </w:r>
      <w:r w:rsidR="00932870">
        <w:rPr>
          <w:rFonts w:cs="Arial"/>
        </w:rPr>
        <w:t xml:space="preserve">to protect for </w:t>
      </w:r>
      <w:r w:rsidR="006F37E5">
        <w:rPr>
          <w:rFonts w:cs="Arial"/>
        </w:rPr>
        <w:t xml:space="preserve">acute </w:t>
      </w:r>
      <w:r w:rsidR="00932870">
        <w:rPr>
          <w:rFonts w:cs="Arial"/>
        </w:rPr>
        <w:t>irritation effects from intermittent exposure fluctuations.</w:t>
      </w:r>
    </w:p>
    <w:p w14:paraId="3140444B" w14:textId="77777777" w:rsidR="00C7155E" w:rsidRPr="004C23F4" w:rsidRDefault="00F10C97" w:rsidP="003365A5">
      <w:pPr>
        <w:pStyle w:val="Heading2"/>
      </w:pPr>
      <w:r>
        <w:t>Discussion and conclusions</w:t>
      </w:r>
    </w:p>
    <w:p w14:paraId="4727C733" w14:textId="4753ED63" w:rsidR="006F37E5" w:rsidRDefault="007C75BF" w:rsidP="007C75BF">
      <w:r>
        <w:t xml:space="preserve">Ethanolamine is used in the manufacture of antibiotics, hair waving solutions, </w:t>
      </w:r>
      <w:r w:rsidR="002B3CD9">
        <w:t xml:space="preserve">as a </w:t>
      </w:r>
      <w:r>
        <w:t xml:space="preserve">chemical dispersal agent, in the synthesis of </w:t>
      </w:r>
      <w:r w:rsidR="00C94B77">
        <w:t>surface-active</w:t>
      </w:r>
      <w:r>
        <w:t xml:space="preserve"> agents and in emulsifiers and polishes. Limited data are available in humans.</w:t>
      </w:r>
      <w:r w:rsidR="002B3CD9">
        <w:t xml:space="preserve"> </w:t>
      </w:r>
    </w:p>
    <w:p w14:paraId="349D6B25" w14:textId="5C40E6CD" w:rsidR="007C75BF" w:rsidRDefault="002B3CD9" w:rsidP="007C75BF">
      <w:r>
        <w:t>Critical effects</w:t>
      </w:r>
      <w:r w:rsidR="006F37E5">
        <w:t xml:space="preserve"> of exposure</w:t>
      </w:r>
      <w:r>
        <w:t xml:space="preserve"> include eye and skin irritation and hepatotoxicity</w:t>
      </w:r>
      <w:r w:rsidR="006F37E5">
        <w:t xml:space="preserve"> (liver effects) at very high concentrations</w:t>
      </w:r>
      <w:r>
        <w:t>.</w:t>
      </w:r>
      <w:r w:rsidR="006F37E5">
        <w:t xml:space="preserve"> </w:t>
      </w:r>
      <w:r w:rsidR="00932870">
        <w:t xml:space="preserve">Limited data available in humans. </w:t>
      </w:r>
      <w:r w:rsidR="007C75BF">
        <w:t xml:space="preserve">A </w:t>
      </w:r>
      <w:r w:rsidR="007C75BF" w:rsidRPr="00483396">
        <w:t xml:space="preserve">NOAEC </w:t>
      </w:r>
      <w:r w:rsidR="007C75BF">
        <w:t>of</w:t>
      </w:r>
      <w:r w:rsidR="007C75BF" w:rsidRPr="00483396">
        <w:t xml:space="preserve"> </w:t>
      </w:r>
      <w:r w:rsidR="007C75BF">
        <w:t>4 ppm (10 mg/m</w:t>
      </w:r>
      <w:r w:rsidR="007C75BF">
        <w:rPr>
          <w:vertAlign w:val="superscript"/>
        </w:rPr>
        <w:t>3</w:t>
      </w:r>
      <w:r w:rsidR="007C75BF">
        <w:t>)</w:t>
      </w:r>
      <w:r w:rsidR="007C75BF" w:rsidRPr="00483396">
        <w:t xml:space="preserve"> </w:t>
      </w:r>
      <w:r w:rsidR="006F37E5">
        <w:t>i</w:t>
      </w:r>
      <w:r w:rsidR="007C75BF">
        <w:t>s identified in a 28</w:t>
      </w:r>
      <w:r w:rsidR="006F37E5">
        <w:t xml:space="preserve"> </w:t>
      </w:r>
      <w:r w:rsidR="007C75BF">
        <w:t xml:space="preserve">day study of rats for effects in the lining of </w:t>
      </w:r>
      <w:r w:rsidR="007C75BF">
        <w:rPr>
          <w:rFonts w:cs="Arial"/>
          <w:color w:val="1C1D1E"/>
          <w:shd w:val="clear" w:color="auto" w:fill="FFFFFF"/>
        </w:rPr>
        <w:t>the larynx, trachea an</w:t>
      </w:r>
      <w:r w:rsidR="006F37E5">
        <w:rPr>
          <w:rFonts w:cs="Arial"/>
          <w:color w:val="1C1D1E"/>
          <w:shd w:val="clear" w:color="auto" w:fill="FFFFFF"/>
        </w:rPr>
        <w:t>d lungs (DFG, 2016). Exposure at</w:t>
      </w:r>
      <w:r w:rsidR="007C75BF">
        <w:rPr>
          <w:rFonts w:cs="Arial"/>
          <w:color w:val="1C1D1E"/>
          <w:shd w:val="clear" w:color="auto" w:fill="FFFFFF"/>
        </w:rPr>
        <w:t xml:space="preserve"> 5 ppm </w:t>
      </w:r>
      <w:r w:rsidR="00B57A24">
        <w:rPr>
          <w:rFonts w:cs="Arial"/>
          <w:color w:val="1C1D1E"/>
          <w:shd w:val="clear" w:color="auto" w:fill="FFFFFF"/>
        </w:rPr>
        <w:t xml:space="preserve">for </w:t>
      </w:r>
      <w:r w:rsidR="00932870">
        <w:rPr>
          <w:rFonts w:cs="Arial"/>
          <w:color w:val="1C1D1E"/>
          <w:shd w:val="clear" w:color="auto" w:fill="FFFFFF"/>
        </w:rPr>
        <w:t>90</w:t>
      </w:r>
      <w:r w:rsidR="00C94B77">
        <w:rPr>
          <w:rFonts w:cs="Arial"/>
          <w:color w:val="1C1D1E"/>
          <w:shd w:val="clear" w:color="auto" w:fill="FFFFFF"/>
        </w:rPr>
        <w:t> </w:t>
      </w:r>
      <w:r w:rsidR="007C75BF">
        <w:rPr>
          <w:rFonts w:cs="Arial"/>
          <w:color w:val="1C1D1E"/>
          <w:shd w:val="clear" w:color="auto" w:fill="FFFFFF"/>
        </w:rPr>
        <w:t xml:space="preserve">days resulted in </w:t>
      </w:r>
      <w:r w:rsidR="00932870">
        <w:rPr>
          <w:rFonts w:cs="Arial"/>
          <w:color w:val="1C1D1E"/>
          <w:shd w:val="clear" w:color="auto" w:fill="FFFFFF"/>
        </w:rPr>
        <w:t>skin irritation</w:t>
      </w:r>
      <w:r w:rsidR="007C75BF">
        <w:rPr>
          <w:rFonts w:cs="Arial"/>
          <w:color w:val="1C1D1E"/>
          <w:shd w:val="clear" w:color="auto" w:fill="FFFFFF"/>
        </w:rPr>
        <w:t xml:space="preserve"> in </w:t>
      </w:r>
      <w:r w:rsidR="00932870">
        <w:rPr>
          <w:rFonts w:cs="Arial"/>
          <w:color w:val="1C1D1E"/>
          <w:shd w:val="clear" w:color="auto" w:fill="FFFFFF"/>
        </w:rPr>
        <w:t xml:space="preserve">rats and guinea pigs </w:t>
      </w:r>
      <w:r w:rsidR="007C75BF">
        <w:rPr>
          <w:rFonts w:cs="Arial"/>
          <w:color w:val="1C1D1E"/>
          <w:shd w:val="clear" w:color="auto" w:fill="FFFFFF"/>
        </w:rPr>
        <w:t xml:space="preserve">and slight </w:t>
      </w:r>
      <w:r w:rsidR="007C75BF">
        <w:t xml:space="preserve">apathy and poor appetite in dogs (ACGIH, 2018). A </w:t>
      </w:r>
      <w:r w:rsidR="008D5334">
        <w:t xml:space="preserve">LOAEC </w:t>
      </w:r>
      <w:r w:rsidR="007C75BF">
        <w:t>of 5 ppm (13 mg/m</w:t>
      </w:r>
      <w:r w:rsidR="007C75BF" w:rsidRPr="00257FF1">
        <w:rPr>
          <w:vertAlign w:val="superscript"/>
        </w:rPr>
        <w:t>3</w:t>
      </w:r>
      <w:r w:rsidR="006F37E5">
        <w:t>) i</w:t>
      </w:r>
      <w:r w:rsidR="007C75BF">
        <w:t xml:space="preserve">s identified in rats based on behavioural effects following </w:t>
      </w:r>
      <w:r w:rsidR="00B57A24">
        <w:t>two to three</w:t>
      </w:r>
      <w:r w:rsidR="007C75BF">
        <w:t xml:space="preserve"> weeks of exposure (SCOEL</w:t>
      </w:r>
      <w:r w:rsidR="008D5334">
        <w:t>, </w:t>
      </w:r>
      <w:r w:rsidR="007C75BF">
        <w:t>1996).</w:t>
      </w:r>
    </w:p>
    <w:p w14:paraId="3D0090C8" w14:textId="701CB31C" w:rsidR="007C75BF" w:rsidRDefault="00D26ED0" w:rsidP="00892BCE">
      <w:r w:rsidRPr="00D26ED0">
        <w:t xml:space="preserve">A TWA of 3 ppm and STEL of 6 ppm </w:t>
      </w:r>
      <w:r w:rsidR="006F37E5">
        <w:t xml:space="preserve">are </w:t>
      </w:r>
      <w:r w:rsidR="005E00E7">
        <w:t>recommended</w:t>
      </w:r>
      <w:r w:rsidRPr="00D26ED0">
        <w:t xml:space="preserve"> based on th</w:t>
      </w:r>
      <w:r w:rsidR="005E00E7">
        <w:t xml:space="preserve">e weight of evidence presented and </w:t>
      </w:r>
      <w:r w:rsidR="006F37E5">
        <w:t>are</w:t>
      </w:r>
      <w:r w:rsidRPr="00D26ED0">
        <w:t xml:space="preserve"> considered protective for irritation effects and potential systemic effects reported in animals</w:t>
      </w:r>
      <w:r w:rsidR="005E23ED">
        <w:t>.</w:t>
      </w:r>
    </w:p>
    <w:p w14:paraId="5F9BFFE5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426D6D48" w14:textId="4AB6D270" w:rsidR="00AD4926" w:rsidRPr="00A70823" w:rsidRDefault="00AD4926" w:rsidP="00AD4926">
      <w:pPr>
        <w:rPr>
          <w:rFonts w:cs="Arial"/>
        </w:rPr>
      </w:pPr>
      <w:r w:rsidRPr="00A70823">
        <w:rPr>
          <w:rFonts w:cs="Arial"/>
        </w:rPr>
        <w:t>Not classified as a carcinogen according to the Globally Harmonized System of Classification and Labelling o</w:t>
      </w:r>
      <w:r w:rsidR="00E80D1F">
        <w:rPr>
          <w:rFonts w:cs="Arial"/>
        </w:rPr>
        <w:t>f</w:t>
      </w:r>
      <w:r w:rsidRPr="00A70823">
        <w:rPr>
          <w:rFonts w:cs="Arial"/>
        </w:rPr>
        <w:t xml:space="preserve"> Chemicals (GHS). </w:t>
      </w:r>
    </w:p>
    <w:p w14:paraId="7B0639C5" w14:textId="40975F71" w:rsidR="00AD4926" w:rsidRPr="00A70823" w:rsidRDefault="00AD4926" w:rsidP="00AD4926">
      <w:pPr>
        <w:rPr>
          <w:rFonts w:cs="Arial"/>
        </w:rPr>
      </w:pPr>
      <w:r w:rsidRPr="00A70823">
        <w:rPr>
          <w:rFonts w:cs="Arial"/>
        </w:rPr>
        <w:t xml:space="preserve">Not classified as a skin </w:t>
      </w:r>
      <w:r w:rsidR="00E80D1F" w:rsidRPr="00A70823">
        <w:rPr>
          <w:rFonts w:cs="Arial"/>
        </w:rPr>
        <w:t xml:space="preserve">sensitiser </w:t>
      </w:r>
      <w:r w:rsidRPr="00A70823">
        <w:rPr>
          <w:rFonts w:cs="Arial"/>
        </w:rPr>
        <w:t>or respiratory sensitiser according to the GHS.</w:t>
      </w:r>
    </w:p>
    <w:p w14:paraId="38E339DF" w14:textId="616F2B77" w:rsidR="00AD4926" w:rsidRPr="004C23F4" w:rsidRDefault="00705184" w:rsidP="00AD4926">
      <w:pPr>
        <w:rPr>
          <w:rFonts w:cs="Arial"/>
        </w:rPr>
      </w:pPr>
      <w:r>
        <w:rPr>
          <w:rFonts w:cs="Arial"/>
        </w:rPr>
        <w:t>A skin notation is recommended based on evidence in animals for dermal absorption</w:t>
      </w:r>
      <w:r w:rsidR="00AD4926" w:rsidRPr="00A70823">
        <w:rPr>
          <w:rFonts w:cs="Arial"/>
        </w:rPr>
        <w:t>.</w:t>
      </w:r>
    </w:p>
    <w:p w14:paraId="4D80B0CF" w14:textId="42587541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5D0BCAC4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286EABAE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42683B3D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38BCE9F5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515D1398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3B567D5" w14:textId="1FE86DBF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B47556">
                  <w:rPr>
                    <w:lang w:val="en-US"/>
                  </w:rPr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AD4926">
                  <w:t>TWA: 3 ppm (7.6 mg/m</w:t>
                </w:r>
                <w:r w:rsidR="00AD4926" w:rsidRPr="00AD4926">
                  <w:rPr>
                    <w:vertAlign w:val="superscript"/>
                  </w:rPr>
                  <w:t>3</w:t>
                </w:r>
                <w:r w:rsidR="00AD4926">
                  <w:t>); STEL: 6 ppm (15 mg/m</w:t>
                </w:r>
                <w:r w:rsidR="00AD4926" w:rsidRPr="00AD4926">
                  <w:rPr>
                    <w:vertAlign w:val="superscript"/>
                  </w:rPr>
                  <w:t>3</w:t>
                </w:r>
                <w:r w:rsidR="00AD4926">
                  <w:t>)</w:t>
                </w:r>
              </w:sdtContent>
            </w:sdt>
          </w:p>
        </w:tc>
      </w:tr>
      <w:tr w:rsidR="00C978F0" w:rsidRPr="00DA352E" w14:paraId="094EBE9D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AC5976A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0AD0B556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2CF33F50" w14:textId="25DC9760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B47556">
                  <w:rPr>
                    <w:lang w:val="en-US"/>
                  </w:rPr>
                  <w:t>2001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AD4926">
                  <w:t>TLV-TWA: 3 ppm (8 mg/m</w:t>
                </w:r>
                <w:r w:rsidR="00AD4926" w:rsidRPr="00AD4926">
                  <w:rPr>
                    <w:vertAlign w:val="superscript"/>
                  </w:rPr>
                  <w:t>3</w:t>
                </w:r>
                <w:r w:rsidR="00AD4926">
                  <w:t>); TLV-STEL: 6 ppm (15 mg/m</w:t>
                </w:r>
                <w:r w:rsidR="00AD4926" w:rsidRPr="00AD4926">
                  <w:rPr>
                    <w:vertAlign w:val="superscript"/>
                  </w:rPr>
                  <w:t>3</w:t>
                </w:r>
                <w:r w:rsidR="00AD4926">
                  <w:t>)</w:t>
                </w:r>
              </w:sdtContent>
            </w:sdt>
          </w:p>
        </w:tc>
      </w:tr>
      <w:tr w:rsidR="00C978F0" w:rsidRPr="00DA352E" w14:paraId="5C87D2EA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2786769" w14:textId="12605CB8" w:rsidR="00E6400E" w:rsidRDefault="00E6400E" w:rsidP="00E6400E">
            <w:pPr>
              <w:pStyle w:val="Tabletextprimarysource"/>
            </w:pPr>
            <w:r>
              <w:t>TLV-TWA recommended to minimise the risk of eye and skin irritation in exposed workers.</w:t>
            </w:r>
          </w:p>
          <w:p w14:paraId="15D1AD61" w14:textId="01CA69DE" w:rsidR="00853223" w:rsidRDefault="00853223" w:rsidP="00853223">
            <w:pPr>
              <w:pStyle w:val="Tabletextprimarysource"/>
            </w:pPr>
            <w:r>
              <w:t>TLV-STEL recommended to provide a greater margin of safety from exposure for potential systemic effects for which data are lacking.</w:t>
            </w:r>
          </w:p>
          <w:p w14:paraId="2023F1ED" w14:textId="77777777" w:rsidR="00E6400E" w:rsidRDefault="00E6400E" w:rsidP="00E6400E">
            <w:pPr>
              <w:pStyle w:val="Tabletextprimarysource"/>
            </w:pPr>
            <w:r>
              <w:t>Summary of data:</w:t>
            </w:r>
          </w:p>
          <w:p w14:paraId="5E67661B" w14:textId="77777777" w:rsidR="00E6400E" w:rsidRDefault="00E6400E" w:rsidP="00E6400E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Animal data:</w:t>
            </w:r>
          </w:p>
          <w:p w14:paraId="67C718D4" w14:textId="6833E8B8" w:rsidR="003A2150" w:rsidRDefault="003A2150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 w:rsidRPr="003A2150">
              <w:rPr>
                <w:vertAlign w:val="subscript"/>
              </w:rPr>
              <w:t>50</w:t>
            </w:r>
            <w:r>
              <w:t>: 3,320 mg/kg (rat, oral)</w:t>
            </w:r>
          </w:p>
          <w:p w14:paraId="189B1EE3" w14:textId="1A63CE7D" w:rsidR="003A2150" w:rsidRDefault="003A2150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 w:rsidRPr="003A2150">
              <w:rPr>
                <w:vertAlign w:val="subscript"/>
              </w:rPr>
              <w:t>50</w:t>
            </w:r>
            <w:r>
              <w:t>: 1,000 mg/kg (rat, dermal)</w:t>
            </w:r>
          </w:p>
          <w:p w14:paraId="01F545CA" w14:textId="64A65646" w:rsidR="00853223" w:rsidRDefault="00853223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Irritant and necrotic to skin of rabbit; slightly less injurious to eye than ammonia</w:t>
            </w:r>
          </w:p>
          <w:p w14:paraId="1746B4CF" w14:textId="6F5A255B" w:rsidR="003A2150" w:rsidRDefault="00C254CE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P</w:t>
            </w:r>
            <w:r w:rsidR="00853223">
              <w:t>ulmonary</w:t>
            </w:r>
            <w:r>
              <w:t>,</w:t>
            </w:r>
            <w:r w:rsidR="00853223">
              <w:t xml:space="preserve"> hepatic and renal lesions </w:t>
            </w:r>
            <w:r>
              <w:t>observed in rats, mice, rabbits, and guinea pigs</w:t>
            </w:r>
            <w:r w:rsidR="00575019">
              <w:t xml:space="preserve"> </w:t>
            </w:r>
            <w:r w:rsidR="006F37E5">
              <w:t>at</w:t>
            </w:r>
            <w:r>
              <w:t xml:space="preserve"> </w:t>
            </w:r>
            <w:r w:rsidR="00575019">
              <w:t>1,250 ppm</w:t>
            </w:r>
            <w:r>
              <w:t xml:space="preserve"> (mist and vapour; 5 wk); no further information</w:t>
            </w:r>
          </w:p>
          <w:p w14:paraId="28EA2DE7" w14:textId="584B52A0" w:rsidR="006F37E5" w:rsidRDefault="00C254CE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Inhalation exposure </w:t>
            </w:r>
            <w:r w:rsidR="00FC18E0">
              <w:t xml:space="preserve">at </w:t>
            </w:r>
            <w:r>
              <w:t>5 ppm</w:t>
            </w:r>
            <w:r w:rsidR="0062352E">
              <w:t xml:space="preserve"> </w:t>
            </w:r>
            <w:r w:rsidR="00575019">
              <w:t xml:space="preserve">24 h/d, 7 d/wk, </w:t>
            </w:r>
            <w:r w:rsidR="003D0435">
              <w:t>90 d</w:t>
            </w:r>
            <w:r>
              <w:t xml:space="preserve"> </w:t>
            </w:r>
            <w:r w:rsidR="003D0435">
              <w:t xml:space="preserve">resulted in </w:t>
            </w:r>
            <w:r>
              <w:t>skin irritat</w:t>
            </w:r>
            <w:r w:rsidR="006F37E5">
              <w:t>ion in rats, guinea pigs, dogs</w:t>
            </w:r>
          </w:p>
          <w:p w14:paraId="355F61F5" w14:textId="77777777" w:rsidR="006F37E5" w:rsidRDefault="00C254CE" w:rsidP="006F37E5">
            <w:pPr>
              <w:pStyle w:val="ListBullet"/>
              <w:numPr>
                <w:ilvl w:val="0"/>
                <w:numId w:val="12"/>
              </w:numPr>
              <w:spacing w:before="60" w:after="60"/>
              <w:contextualSpacing w:val="0"/>
            </w:pPr>
            <w:r>
              <w:t>slight temporary weight loss and slight decrease in activity and alertness in dogs</w:t>
            </w:r>
          </w:p>
          <w:p w14:paraId="434A0CA8" w14:textId="0E497F1C" w:rsidR="00C254CE" w:rsidRDefault="00FC18E0" w:rsidP="006F37E5">
            <w:pPr>
              <w:pStyle w:val="ListBullet"/>
              <w:numPr>
                <w:ilvl w:val="0"/>
                <w:numId w:val="12"/>
              </w:numPr>
              <w:spacing w:before="60" w:after="60"/>
              <w:contextualSpacing w:val="0"/>
            </w:pPr>
            <w:r>
              <w:t xml:space="preserve">continuous exposure tends to </w:t>
            </w:r>
            <w:r w:rsidR="00C94B77">
              <w:t>result</w:t>
            </w:r>
            <w:r>
              <w:t xml:space="preserve"> </w:t>
            </w:r>
            <w:r w:rsidR="00C94B77">
              <w:t>in higher</w:t>
            </w:r>
            <w:r>
              <w:t xml:space="preserve"> </w:t>
            </w:r>
            <w:r w:rsidR="00C94B77">
              <w:t>i</w:t>
            </w:r>
            <w:r w:rsidR="00FA6C2A">
              <w:t xml:space="preserve">ncidence or severity of </w:t>
            </w:r>
            <w:r>
              <w:t>toxicity on laboratory animals than intermittent exposure</w:t>
            </w:r>
          </w:p>
          <w:p w14:paraId="7F1E9D35" w14:textId="349E0859" w:rsidR="0062352E" w:rsidRDefault="0062352E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Evidence suggests elimination is faster in rats than humans; indicating a percentage is retained in the </w:t>
            </w:r>
            <w:r w:rsidR="00495E52">
              <w:t xml:space="preserve">human </w:t>
            </w:r>
            <w:r>
              <w:t xml:space="preserve">body </w:t>
            </w:r>
            <w:r w:rsidR="00495E52">
              <w:t xml:space="preserve">and </w:t>
            </w:r>
            <w:r>
              <w:t>potential</w:t>
            </w:r>
            <w:r w:rsidR="007E40C3">
              <w:t>ly</w:t>
            </w:r>
            <w:r>
              <w:t xml:space="preserve"> </w:t>
            </w:r>
            <w:r w:rsidR="00495E52">
              <w:t xml:space="preserve">affect </w:t>
            </w:r>
            <w:r>
              <w:t>toxicity</w:t>
            </w:r>
            <w:r w:rsidR="00E80D1F">
              <w:t>.</w:t>
            </w:r>
          </w:p>
          <w:p w14:paraId="5E65EEF9" w14:textId="77777777" w:rsidR="00A33D54" w:rsidRDefault="00A33D54" w:rsidP="00C254CE">
            <w:pPr>
              <w:pStyle w:val="Tabletextprimarysource"/>
            </w:pPr>
          </w:p>
          <w:p w14:paraId="62DAB8BF" w14:textId="16FCADA2" w:rsidR="00FC18E0" w:rsidRDefault="004A0601" w:rsidP="00C254CE">
            <w:pPr>
              <w:pStyle w:val="Tabletextprimarysource"/>
            </w:pPr>
            <w:r>
              <w:t xml:space="preserve">TLV-TWA of 3 ppm </w:t>
            </w:r>
            <w:r w:rsidR="0062352E">
              <w:t>based on</w:t>
            </w:r>
            <w:r w:rsidR="00FC18E0">
              <w:t xml:space="preserve"> the reported</w:t>
            </w:r>
            <w:r w:rsidR="0062352E">
              <w:t xml:space="preserve"> 5 ppm</w:t>
            </w:r>
            <w:r w:rsidR="00FC18E0">
              <w:t xml:space="preserve"> exposure</w:t>
            </w:r>
            <w:r w:rsidR="0062352E">
              <w:t xml:space="preserve"> </w:t>
            </w:r>
            <w:r w:rsidR="00FC18E0">
              <w:t>from the 90 d study in animals</w:t>
            </w:r>
            <w:r w:rsidR="0062352E">
              <w:t xml:space="preserve"> </w:t>
            </w:r>
            <w:r w:rsidR="00FC18E0">
              <w:t>taking into consideration continuous exposure and rapid</w:t>
            </w:r>
            <w:r>
              <w:t xml:space="preserve"> elimination by rats</w:t>
            </w:r>
            <w:r w:rsidR="006F37E5">
              <w:t>.</w:t>
            </w:r>
          </w:p>
          <w:p w14:paraId="13D4DF4C" w14:textId="769DEBD3" w:rsidR="0062352E" w:rsidRDefault="0062352E" w:rsidP="00C254CE">
            <w:pPr>
              <w:pStyle w:val="Tabletextprimarysource"/>
            </w:pPr>
            <w:r>
              <w:t xml:space="preserve">TLV-STEL </w:t>
            </w:r>
            <w:r w:rsidR="003648ED">
              <w:t xml:space="preserve">of 6 ppm </w:t>
            </w:r>
            <w:r>
              <w:t>is recommended to reduce systemic effects from intermittent exposure fluctuations</w:t>
            </w:r>
            <w:r w:rsidR="00E80D1F">
              <w:t>.</w:t>
            </w:r>
          </w:p>
          <w:p w14:paraId="01B40E52" w14:textId="77777777" w:rsidR="0069366D" w:rsidRDefault="0069366D" w:rsidP="00C254CE">
            <w:pPr>
              <w:pStyle w:val="Tabletextprimarysource"/>
            </w:pPr>
            <w:r w:rsidRPr="0069366D">
              <w:t>Insufficient data to recommend a carcinogen, skin or sensitiser notation.</w:t>
            </w:r>
          </w:p>
          <w:p w14:paraId="03C94C7C" w14:textId="65442108" w:rsidR="003648ED" w:rsidRPr="00DA352E" w:rsidRDefault="003648ED" w:rsidP="00C254CE">
            <w:pPr>
              <w:pStyle w:val="Tabletextprimarysource"/>
            </w:pPr>
          </w:p>
        </w:tc>
      </w:tr>
      <w:tr w:rsidR="00C978F0" w:rsidRPr="00DA352E" w14:paraId="3394B3C8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1B338BE" w14:textId="11904688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FC18E0">
                  <w:rPr>
                    <w:lang w:val="en-US"/>
                  </w:rPr>
                  <w:t>2016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AD4926">
                  <w:t xml:space="preserve">MAK: </w:t>
                </w:r>
                <w:r w:rsidR="00257FF1">
                  <w:t>0.</w:t>
                </w:r>
                <w:r w:rsidR="00AD4926">
                  <w:t>2 ppm (</w:t>
                </w:r>
                <w:r w:rsidR="00257FF1">
                  <w:t>0.</w:t>
                </w:r>
                <w:r w:rsidR="00AD4926">
                  <w:t>5 mg/m</w:t>
                </w:r>
                <w:r w:rsidR="00AD4926" w:rsidRPr="00AD4926">
                  <w:rPr>
                    <w:vertAlign w:val="superscript"/>
                  </w:rPr>
                  <w:t>3</w:t>
                </w:r>
                <w:r w:rsidR="00AD4926">
                  <w:t>)</w:t>
                </w:r>
              </w:sdtContent>
            </w:sdt>
          </w:p>
        </w:tc>
      </w:tr>
      <w:tr w:rsidR="00C978F0" w:rsidRPr="00DA352E" w14:paraId="26521662" w14:textId="77777777" w:rsidTr="006F37E5">
        <w:trPr>
          <w:gridAfter w:val="1"/>
          <w:wAfter w:w="8" w:type="pct"/>
        </w:trPr>
        <w:tc>
          <w:tcPr>
            <w:tcW w:w="4992" w:type="pct"/>
          </w:tcPr>
          <w:p w14:paraId="40A5220B" w14:textId="77777777" w:rsidR="00411794" w:rsidRDefault="00411794" w:rsidP="00411794">
            <w:pPr>
              <w:pStyle w:val="Tabletextprimarysource"/>
            </w:pPr>
            <w:r>
              <w:t>Summary of additional data:</w:t>
            </w:r>
          </w:p>
          <w:p w14:paraId="1A17C622" w14:textId="77777777" w:rsidR="00411794" w:rsidRDefault="00411794" w:rsidP="00B57A24">
            <w:pPr>
              <w:pStyle w:val="Tabletextprimarysource"/>
            </w:pPr>
            <w:r>
              <w:t>Human data:</w:t>
            </w:r>
          </w:p>
          <w:p w14:paraId="644228BB" w14:textId="23B5F2D7" w:rsidR="00483396" w:rsidRDefault="00483396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Insufficient data in humans to derive MAK</w:t>
            </w:r>
          </w:p>
          <w:p w14:paraId="7FB81ABC" w14:textId="74B48273" w:rsidR="0084789D" w:rsidRDefault="0084789D" w:rsidP="0084789D">
            <w:pPr>
              <w:pStyle w:val="ListBullet"/>
              <w:spacing w:before="60" w:after="60"/>
              <w:ind w:left="714" w:hanging="357"/>
              <w:contextualSpacing w:val="0"/>
            </w:pPr>
            <w:r>
              <w:t>Acute li</w:t>
            </w:r>
            <w:r w:rsidRPr="00411794">
              <w:t>ver damage a</w:t>
            </w:r>
            <w:r>
              <w:t>nd subsequent chronic hepatitis reported after o</w:t>
            </w:r>
            <w:r w:rsidR="003648ED">
              <w:t>ne</w:t>
            </w:r>
            <w:r w:rsidR="00495E52">
              <w:t xml:space="preserve"> only</w:t>
            </w:r>
            <w:r w:rsidR="00411794">
              <w:t xml:space="preserve"> </w:t>
            </w:r>
            <w:r w:rsidR="00345AF9">
              <w:t xml:space="preserve">inhalation </w:t>
            </w:r>
            <w:r w:rsidR="00411794">
              <w:t>exposure</w:t>
            </w:r>
            <w:r w:rsidR="00345AF9">
              <w:t xml:space="preserve"> to</w:t>
            </w:r>
            <w:r>
              <w:t xml:space="preserve"> a</w:t>
            </w:r>
            <w:r w:rsidR="00345AF9">
              <w:t xml:space="preserve"> high concentrations </w:t>
            </w:r>
            <w:r w:rsidR="00495E52">
              <w:t>while</w:t>
            </w:r>
            <w:r w:rsidR="00411794">
              <w:t xml:space="preserve"> </w:t>
            </w:r>
            <w:r w:rsidR="00AD0434">
              <w:t>handling</w:t>
            </w:r>
            <w:r w:rsidR="00345AF9">
              <w:t xml:space="preserve"> </w:t>
            </w:r>
            <w:r w:rsidR="00411794">
              <w:t xml:space="preserve">an undiluted solution </w:t>
            </w:r>
            <w:r w:rsidR="00345AF9">
              <w:t>in an unventilated room</w:t>
            </w:r>
            <w:r w:rsidR="00FC18E0">
              <w:t>; no further details</w:t>
            </w:r>
            <w:r w:rsidR="00345AF9">
              <w:t xml:space="preserve"> </w:t>
            </w:r>
          </w:p>
          <w:p w14:paraId="0BB244AF" w14:textId="70A69FA2" w:rsidR="00411794" w:rsidRDefault="00411794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I</w:t>
            </w:r>
            <w:r w:rsidRPr="00411794">
              <w:t xml:space="preserve">nflammation of the upper respiratory passages, chronic bronchitis and chronic hepatitis in workers </w:t>
            </w:r>
            <w:r w:rsidR="006F37E5">
              <w:t>at</w:t>
            </w:r>
            <w:r w:rsidRPr="00411794">
              <w:t xml:space="preserve"> 1 mg/m</w:t>
            </w:r>
            <w:r w:rsidRPr="00411794">
              <w:rPr>
                <w:vertAlign w:val="superscript"/>
              </w:rPr>
              <w:t>3</w:t>
            </w:r>
            <w:r>
              <w:t>, exact concentrations or conditions unknown</w:t>
            </w:r>
            <w:r w:rsidR="00A10C29">
              <w:t xml:space="preserve">, inadequate, </w:t>
            </w:r>
            <w:r w:rsidR="00A10C29" w:rsidRPr="00A10C29">
              <w:t>not regarded as suitable for inclusion in the present evaluation</w:t>
            </w:r>
          </w:p>
          <w:p w14:paraId="01A1929C" w14:textId="62542348" w:rsidR="00A10C29" w:rsidRDefault="0084789D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E</w:t>
            </w:r>
            <w:r w:rsidRPr="00A10C29">
              <w:t>rythema and oedema</w:t>
            </w:r>
            <w:r>
              <w:t xml:space="preserve"> reported after</w:t>
            </w:r>
            <w:r w:rsidDel="0084789D">
              <w:t xml:space="preserve"> </w:t>
            </w:r>
            <w:r>
              <w:t>u</w:t>
            </w:r>
            <w:r w:rsidR="00A10C29">
              <w:t xml:space="preserve">ndiluted exposure to </w:t>
            </w:r>
            <w:r w:rsidR="00A10C29" w:rsidRPr="00A10C29">
              <w:t xml:space="preserve">skin for 1.5 </w:t>
            </w:r>
            <w:r w:rsidR="00E80D1F" w:rsidRPr="00A10C29">
              <w:t>h</w:t>
            </w:r>
            <w:r w:rsidR="00A10C29" w:rsidRPr="00A10C29">
              <w:t xml:space="preserve"> </w:t>
            </w:r>
          </w:p>
          <w:p w14:paraId="3072FBBA" w14:textId="494EB8F8" w:rsidR="00A10C29" w:rsidRDefault="00B57A24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Negative result in skin sensitis</w:t>
            </w:r>
            <w:r w:rsidR="00A10C29">
              <w:t>ation test</w:t>
            </w:r>
            <w:r>
              <w:t>.</w:t>
            </w:r>
          </w:p>
          <w:p w14:paraId="1AE649D9" w14:textId="2333282F" w:rsidR="00411794" w:rsidRDefault="00A10C29" w:rsidP="00B57A24">
            <w:pPr>
              <w:pStyle w:val="Tabletextprimarysource"/>
            </w:pPr>
            <w:r>
              <w:t>Animal data:</w:t>
            </w:r>
          </w:p>
          <w:p w14:paraId="070552E8" w14:textId="1EF79E78" w:rsidR="00257FF1" w:rsidRPr="00257FF1" w:rsidRDefault="00483396" w:rsidP="00854F78">
            <w:pPr>
              <w:pStyle w:val="ListBullet"/>
              <w:spacing w:before="60" w:after="60"/>
              <w:ind w:left="714" w:hanging="357"/>
              <w:contextualSpacing w:val="0"/>
            </w:pPr>
            <w:r w:rsidRPr="00483396">
              <w:t xml:space="preserve">NOAEC </w:t>
            </w:r>
            <w:r>
              <w:t>of</w:t>
            </w:r>
            <w:r w:rsidRPr="00483396">
              <w:t xml:space="preserve"> 10 mg/m</w:t>
            </w:r>
            <w:r w:rsidRPr="00483396">
              <w:rPr>
                <w:vertAlign w:val="superscript"/>
              </w:rPr>
              <w:t>3</w:t>
            </w:r>
            <w:r w:rsidR="007206E3">
              <w:t xml:space="preserve"> (4 ppm)</w:t>
            </w:r>
            <w:r w:rsidRPr="00483396">
              <w:t xml:space="preserve"> </w:t>
            </w:r>
            <w:r>
              <w:t>in rats, 28 d; c</w:t>
            </w:r>
            <w:r>
              <w:rPr>
                <w:rFonts w:cs="Arial"/>
                <w:color w:val="1C1D1E"/>
                <w:shd w:val="clear" w:color="auto" w:fill="FFFFFF"/>
              </w:rPr>
              <w:t xml:space="preserve">hanges to the epithelium of the larynx, trachea </w:t>
            </w:r>
            <w:r w:rsidR="00257FF1">
              <w:rPr>
                <w:rFonts w:cs="Arial"/>
                <w:color w:val="1C1D1E"/>
                <w:shd w:val="clear" w:color="auto" w:fill="FFFFFF"/>
              </w:rPr>
              <w:t>and lungs</w:t>
            </w:r>
            <w:r w:rsidR="00E80D1F">
              <w:rPr>
                <w:rFonts w:cs="Arial"/>
                <w:color w:val="1C1D1E"/>
                <w:shd w:val="clear" w:color="auto" w:fill="FFFFFF"/>
              </w:rPr>
              <w:t>.</w:t>
            </w:r>
          </w:p>
          <w:p w14:paraId="1141578B" w14:textId="77777777" w:rsidR="00A33D54" w:rsidRDefault="00A33D54" w:rsidP="003648ED">
            <w:pPr>
              <w:pStyle w:val="Tabletextprimarysource"/>
              <w:rPr>
                <w:shd w:val="clear" w:color="auto" w:fill="FFFFFF"/>
              </w:rPr>
            </w:pPr>
          </w:p>
          <w:p w14:paraId="506BD6CE" w14:textId="15B30E89" w:rsidR="00411794" w:rsidRDefault="00257FF1" w:rsidP="003648ED">
            <w:pPr>
              <w:pStyle w:val="Tabletextprimarysourc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TWA based on rat NOAEC of 10 mg/m</w:t>
            </w:r>
            <w:r>
              <w:rPr>
                <w:shd w:val="clear" w:color="auto" w:fill="FFFFFF"/>
                <w:vertAlign w:val="superscript"/>
              </w:rPr>
              <w:t>3</w:t>
            </w:r>
            <w:r>
              <w:rPr>
                <w:shd w:val="clear" w:color="auto" w:fill="FFFFFF"/>
              </w:rPr>
              <w:t xml:space="preserve">; </w:t>
            </w:r>
            <w:r w:rsidR="00483396">
              <w:rPr>
                <w:shd w:val="clear" w:color="auto" w:fill="FFFFFF"/>
              </w:rPr>
              <w:t>corresponds to NOAEC of 0.56 mg/m</w:t>
            </w:r>
            <w:r w:rsidR="00483396">
              <w:rPr>
                <w:shd w:val="clear" w:color="auto" w:fill="FFFFFF"/>
                <w:vertAlign w:val="superscript"/>
              </w:rPr>
              <w:t>3</w:t>
            </w:r>
            <w:r w:rsidR="00483396">
              <w:rPr>
                <w:shd w:val="clear" w:color="auto" w:fill="FFFFFF"/>
                <w:vertAlign w:val="subscript"/>
              </w:rPr>
              <w:t xml:space="preserve"> </w:t>
            </w:r>
            <w:r w:rsidR="00483396">
              <w:rPr>
                <w:shd w:val="clear" w:color="auto" w:fill="FFFFFF"/>
              </w:rPr>
              <w:t xml:space="preserve">(0.22 ppm) in humans (method not </w:t>
            </w:r>
            <w:r>
              <w:rPr>
                <w:shd w:val="clear" w:color="auto" w:fill="FFFFFF"/>
              </w:rPr>
              <w:t>described)</w:t>
            </w:r>
            <w:r w:rsidR="00E80D1F">
              <w:rPr>
                <w:shd w:val="clear" w:color="auto" w:fill="FFFFFF"/>
              </w:rPr>
              <w:t>.</w:t>
            </w:r>
          </w:p>
          <w:p w14:paraId="6AC1C291" w14:textId="17AFDADC" w:rsidR="003648ED" w:rsidRPr="00DA352E" w:rsidRDefault="003648ED" w:rsidP="003648ED">
            <w:pPr>
              <w:pStyle w:val="Tabletextprimarysource"/>
            </w:pPr>
          </w:p>
        </w:tc>
      </w:tr>
      <w:tr w:rsidR="00C978F0" w:rsidRPr="00DA352E" w14:paraId="2456D509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631820C" w14:textId="264D0703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lastRenderedPageBreak/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B47556">
                  <w:rPr>
                    <w:lang w:val="en-US"/>
                  </w:rPr>
                  <w:t>1996</w:t>
                </w:r>
              </w:sdtContent>
            </w:sdt>
            <w:r w:rsidR="00916EC0" w:rsidRPr="003365A5">
              <w:tab/>
            </w:r>
            <w:r w:rsidR="00E6400E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6E48EFD96D6048E99130825643CF1754"/>
                </w:placeholder>
              </w:sdtPr>
              <w:sdtEndPr/>
              <w:sdtContent>
                <w:r w:rsidR="00E6400E" w:rsidRPr="00E6400E">
                  <w:t>TWA: 1 ppm (2.5 mg/m</w:t>
                </w:r>
                <w:r w:rsidR="00E6400E" w:rsidRPr="00E6400E">
                  <w:rPr>
                    <w:vertAlign w:val="superscript"/>
                  </w:rPr>
                  <w:t>3</w:t>
                </w:r>
                <w:r w:rsidR="00B57A24">
                  <w:t xml:space="preserve">); </w:t>
                </w:r>
                <w:r w:rsidR="00E6400E" w:rsidRPr="00E6400E">
                  <w:t xml:space="preserve">(15 </w:t>
                </w:r>
                <w:proofErr w:type="spellStart"/>
                <w:r w:rsidR="00E6400E" w:rsidRPr="00E6400E">
                  <w:t>mins</w:t>
                </w:r>
                <w:proofErr w:type="spellEnd"/>
                <w:r w:rsidR="00E6400E" w:rsidRPr="00E6400E">
                  <w:t>): 3 ppm (7.6 mg/m</w:t>
                </w:r>
                <w:r w:rsidR="00E6400E" w:rsidRPr="00E6400E">
                  <w:rPr>
                    <w:vertAlign w:val="superscript"/>
                  </w:rPr>
                  <w:t>3</w:t>
                </w:r>
                <w:r w:rsidR="00E6400E" w:rsidRPr="00E6400E">
                  <w:t>)</w:t>
                </w:r>
              </w:sdtContent>
            </w:sdt>
          </w:p>
        </w:tc>
      </w:tr>
      <w:tr w:rsidR="00C978F0" w:rsidRPr="00DA352E" w14:paraId="17A19A3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E3ACA0B" w14:textId="77777777" w:rsidR="00C978F0" w:rsidRDefault="00257FF1" w:rsidP="003365A5">
            <w:pPr>
              <w:pStyle w:val="Tabletextprimarysource"/>
            </w:pPr>
            <w:r>
              <w:t>Summary of additional data:</w:t>
            </w:r>
          </w:p>
          <w:p w14:paraId="4F1686F0" w14:textId="2358E993" w:rsidR="00257FF1" w:rsidRDefault="00257FF1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LOAEL of 5 ppm (13 mg/m</w:t>
            </w:r>
            <w:r w:rsidRPr="00257FF1">
              <w:rPr>
                <w:vertAlign w:val="superscript"/>
              </w:rPr>
              <w:t>3</w:t>
            </w:r>
            <w:r>
              <w:t>) for behavioural effects in rats; 2</w:t>
            </w:r>
            <w:r w:rsidR="00E80D1F">
              <w:t>–</w:t>
            </w:r>
            <w:r>
              <w:t>3 wk exposure</w:t>
            </w:r>
          </w:p>
          <w:p w14:paraId="48822D78" w14:textId="77777777" w:rsidR="00257FF1" w:rsidRDefault="00257FF1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Uncertainty factor of 5 for extrapolation from animal to humans; TWA of 1 ppm</w:t>
            </w:r>
          </w:p>
          <w:p w14:paraId="235E92A0" w14:textId="77777777" w:rsidR="00257FF1" w:rsidRDefault="00257FF1" w:rsidP="00854F7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STEL of 3 ppm recommended to prevent exposure to irritating levels; no further information</w:t>
            </w:r>
            <w:r w:rsidR="00E80D1F">
              <w:t>.</w:t>
            </w:r>
          </w:p>
          <w:p w14:paraId="32378978" w14:textId="084A3EF9" w:rsidR="003648ED" w:rsidRPr="00DA352E" w:rsidRDefault="003648ED" w:rsidP="003648ED">
            <w:pPr>
              <w:pStyle w:val="ListBullet"/>
              <w:numPr>
                <w:ilvl w:val="0"/>
                <w:numId w:val="0"/>
              </w:numPr>
              <w:ind w:left="720"/>
            </w:pPr>
          </w:p>
        </w:tc>
      </w:tr>
      <w:tr w:rsidR="00DA352E" w:rsidRPr="00DA352E" w14:paraId="4BB8835B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2DA5C663" w14:textId="3FB034DE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B47556">
                  <w:rPr>
                    <w:lang w:val="en-US"/>
                  </w:rPr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r w:rsidR="00AD4926">
                  <w:t>NA</w:t>
                </w:r>
              </w:sdtContent>
            </w:sdt>
          </w:p>
        </w:tc>
      </w:tr>
      <w:tr w:rsidR="00DA352E" w:rsidRPr="00DA352E" w14:paraId="49E3863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0094072A" w14:textId="54EA9265" w:rsidR="00DA352E" w:rsidRPr="00DA352E" w:rsidRDefault="00AD4926" w:rsidP="003365A5">
            <w:pPr>
              <w:pStyle w:val="Tabletextprimarysource"/>
            </w:pPr>
            <w:r>
              <w:t>No report</w:t>
            </w:r>
            <w:r w:rsidR="00E80D1F">
              <w:t>.</w:t>
            </w:r>
          </w:p>
        </w:tc>
      </w:tr>
      <w:tr w:rsidR="00DA352E" w:rsidRPr="00DA352E" w14:paraId="06821817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8A0A90D" w14:textId="0C17D184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B47556">
                  <w:rPr>
                    <w:lang w:val="en-US"/>
                  </w:rPr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r w:rsidR="00AD4926">
                  <w:t>NA</w:t>
                </w:r>
              </w:sdtContent>
            </w:sdt>
          </w:p>
        </w:tc>
      </w:tr>
      <w:tr w:rsidR="00DA352E" w:rsidRPr="00DA352E" w14:paraId="6590241C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7E2DEF4" w14:textId="45FF1212" w:rsidR="00DA352E" w:rsidRPr="00DA352E" w:rsidRDefault="00AD4926" w:rsidP="003365A5">
            <w:pPr>
              <w:pStyle w:val="Tabletextprimarysource"/>
            </w:pPr>
            <w:r>
              <w:t>No report</w:t>
            </w:r>
            <w:r w:rsidR="00E80D1F">
              <w:t>.</w:t>
            </w:r>
          </w:p>
        </w:tc>
      </w:tr>
    </w:tbl>
    <w:p w14:paraId="65C62E78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7"/>
        <w:gridCol w:w="422"/>
        <w:gridCol w:w="661"/>
        <w:gridCol w:w="6446"/>
      </w:tblGrid>
      <w:tr w:rsidR="004966BF" w:rsidRPr="00263255" w14:paraId="0BF91083" w14:textId="77777777" w:rsidTr="007C52E0">
        <w:trPr>
          <w:cantSplit/>
          <w:trHeight w:val="393"/>
          <w:tblHeader/>
        </w:trPr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7EF1ABCC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1858BB21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1F0FAAF2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6" w:type="dxa"/>
            <w:shd w:val="clear" w:color="auto" w:fill="BFBFBF" w:themeFill="background1" w:themeFillShade="BF"/>
            <w:vAlign w:val="center"/>
          </w:tcPr>
          <w:p w14:paraId="371DC41B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00EC1246" w14:textId="77777777" w:rsidTr="007C52E0">
        <w:trPr>
          <w:cantSplit/>
        </w:trPr>
        <w:tc>
          <w:tcPr>
            <w:tcW w:w="1497" w:type="dxa"/>
          </w:tcPr>
          <w:p w14:paraId="4109CC5B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2" w:type="dxa"/>
          </w:tcPr>
          <w:p w14:paraId="2FF1A87C" w14:textId="77252F0B" w:rsidR="004966BF" w:rsidRPr="00CE617F" w:rsidRDefault="001378EB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257FF1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64D96653" w14:textId="1B237337" w:rsidR="004966BF" w:rsidRPr="004C23F4" w:rsidRDefault="00257FF1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2013</w:t>
            </w:r>
          </w:p>
        </w:tc>
        <w:tc>
          <w:tcPr>
            <w:tcW w:w="6446" w:type="dxa"/>
          </w:tcPr>
          <w:p w14:paraId="674C006D" w14:textId="1C25D5FD" w:rsidR="00257FF1" w:rsidRPr="00854F78" w:rsidRDefault="00257FF1" w:rsidP="00854F78">
            <w:pPr>
              <w:pStyle w:val="ListBullet"/>
              <w:spacing w:before="60" w:after="60"/>
              <w:ind w:left="714" w:hanging="357"/>
              <w:contextualSpacing w:val="0"/>
              <w:rPr>
                <w:rFonts w:cs="Arial"/>
              </w:rPr>
            </w:pPr>
            <w:r w:rsidRPr="00854F78">
              <w:rPr>
                <w:rFonts w:cs="Arial"/>
              </w:rPr>
              <w:t>NOAEL 320 mg/kg/d in rats; oral, 90 d; increased liver and kidney weights at</w:t>
            </w:r>
            <w:r w:rsidR="00E80D1F" w:rsidRPr="00854F78">
              <w:rPr>
                <w:rFonts w:cs="Arial"/>
              </w:rPr>
              <w:t xml:space="preserve"> </w:t>
            </w:r>
            <w:r w:rsidRPr="00854F78">
              <w:rPr>
                <w:rFonts w:ascii="Symbol" w:hAnsi="Symbol"/>
              </w:rPr>
              <w:t></w:t>
            </w:r>
            <w:r w:rsidRPr="00854F78">
              <w:rPr>
                <w:rFonts w:cs="Arial"/>
              </w:rPr>
              <w:t>640 mg/kg/d</w:t>
            </w:r>
          </w:p>
          <w:p w14:paraId="1C00D49C" w14:textId="259BC540" w:rsidR="00932870" w:rsidRPr="00854F78" w:rsidRDefault="00932870" w:rsidP="00854F78">
            <w:pPr>
              <w:pStyle w:val="ListBullet"/>
              <w:spacing w:before="60" w:after="60"/>
              <w:ind w:left="714" w:hanging="357"/>
              <w:contextualSpacing w:val="0"/>
              <w:rPr>
                <w:rFonts w:cs="Arial"/>
              </w:rPr>
            </w:pPr>
            <w:r>
              <w:t>28</w:t>
            </w:r>
            <w:r w:rsidR="005E23ED">
              <w:t xml:space="preserve"> </w:t>
            </w:r>
            <w:r>
              <w:t>d inhalation study in rats; exposed (nose only) at 10, 50, and 150 mg/m³; NOAEC of 10 mg/m³ for local effects, based on concentration-related lesions in the larynx, trachea and lung; adverse systemic effects not noted at the highest tested concentration; systemic NOAEC of 150 mg/m³ (cited by DFG,</w:t>
            </w:r>
            <w:r w:rsidR="00A33D54">
              <w:t> </w:t>
            </w:r>
            <w:r>
              <w:t>2016</w:t>
            </w:r>
            <w:r w:rsidR="00A33D54">
              <w:t>)</w:t>
            </w:r>
          </w:p>
          <w:p w14:paraId="033770B9" w14:textId="66776ED9" w:rsidR="00257FF1" w:rsidRPr="007C52E0" w:rsidRDefault="007C52E0" w:rsidP="00854F78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854F78">
              <w:rPr>
                <w:rFonts w:cs="Arial"/>
              </w:rPr>
              <w:t xml:space="preserve">Not </w:t>
            </w:r>
            <w:r w:rsidRPr="00854F78">
              <w:t>sensitising</w:t>
            </w:r>
            <w:r w:rsidRPr="00854F78">
              <w:rPr>
                <w:rFonts w:cs="Arial"/>
              </w:rPr>
              <w:t xml:space="preserve"> to the skin of guinea pigs</w:t>
            </w:r>
            <w:r w:rsidR="00E80D1F" w:rsidRPr="00854F78">
              <w:rPr>
                <w:rFonts w:cs="Arial"/>
              </w:rPr>
              <w:t>.</w:t>
            </w:r>
          </w:p>
        </w:tc>
      </w:tr>
    </w:tbl>
    <w:bookmarkEnd w:id="1"/>
    <w:p w14:paraId="0CCF27AF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13F9BB40" w14:textId="77777777" w:rsidTr="007C52E0">
        <w:trPr>
          <w:trHeight w:val="454"/>
          <w:tblHeader/>
        </w:trPr>
        <w:tc>
          <w:tcPr>
            <w:tcW w:w="6603" w:type="dxa"/>
            <w:vAlign w:val="center"/>
          </w:tcPr>
          <w:p w14:paraId="02322398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588C287A" w14:textId="38C60856" w:rsidR="002E0D61" w:rsidRDefault="007C52E0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7DE055D1" w14:textId="77777777" w:rsidTr="007C52E0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7002B78C" w14:textId="0100B619" w:rsidR="008A36CF" w:rsidRPr="006901A2" w:rsidRDefault="007C52E0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334875EA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2A3A9A3D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07AC4760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253BE8CF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065F0E17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53C00E0F" w14:textId="77777777" w:rsidTr="00812887">
        <w:trPr>
          <w:cantSplit/>
        </w:trPr>
        <w:tc>
          <w:tcPr>
            <w:tcW w:w="3227" w:type="dxa"/>
          </w:tcPr>
          <w:p w14:paraId="773AD822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27827B47" w14:textId="74A611D3" w:rsidR="00687890" w:rsidRPr="00DD2F9B" w:rsidRDefault="00AD4926" w:rsidP="00DD2F9B">
            <w:pPr>
              <w:pStyle w:val="Tablefont"/>
            </w:pPr>
            <w:r w:rsidRPr="00AD4926">
              <w:t>—</w:t>
            </w:r>
          </w:p>
        </w:tc>
      </w:tr>
      <w:tr w:rsidR="007925F0" w:rsidRPr="004C23F4" w14:paraId="3BB2D809" w14:textId="77777777" w:rsidTr="00812887">
        <w:trPr>
          <w:cantSplit/>
        </w:trPr>
        <w:tc>
          <w:tcPr>
            <w:tcW w:w="3227" w:type="dxa"/>
          </w:tcPr>
          <w:p w14:paraId="09E8494B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2F506EAE" w14:textId="2B9680ED" w:rsidR="007925F0" w:rsidRPr="00DD2F9B" w:rsidRDefault="009B6D55" w:rsidP="00DD2F9B">
            <w:pPr>
              <w:pStyle w:val="Tablefont"/>
            </w:pPr>
            <w:r>
              <w:t>—</w:t>
            </w:r>
          </w:p>
        </w:tc>
      </w:tr>
      <w:tr w:rsidR="00AF483F" w:rsidRPr="004C23F4" w14:paraId="1CF2C50D" w14:textId="77777777" w:rsidTr="00812887">
        <w:trPr>
          <w:cantSplit/>
        </w:trPr>
        <w:tc>
          <w:tcPr>
            <w:tcW w:w="3227" w:type="dxa"/>
          </w:tcPr>
          <w:p w14:paraId="5716AE68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1C2D9D28" w14:textId="7988F3B5" w:rsidR="00AF483F" w:rsidRPr="00DD2F9B" w:rsidRDefault="00AD4926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7D9C6DCE" w14:textId="77777777" w:rsidTr="00812887">
        <w:trPr>
          <w:cantSplit/>
        </w:trPr>
        <w:tc>
          <w:tcPr>
            <w:tcW w:w="3227" w:type="dxa"/>
          </w:tcPr>
          <w:p w14:paraId="287E3C12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0DD348CC" w14:textId="5A6A71C9" w:rsidR="00687890" w:rsidRPr="00DD2F9B" w:rsidRDefault="00AD4926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64626015" w14:textId="77777777" w:rsidTr="00812887">
        <w:trPr>
          <w:cantSplit/>
        </w:trPr>
        <w:tc>
          <w:tcPr>
            <w:tcW w:w="3227" w:type="dxa"/>
          </w:tcPr>
          <w:p w14:paraId="752D84C6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6E4B9364" w14:textId="41B9ABC1" w:rsidR="00E41A26" w:rsidRPr="00DD2F9B" w:rsidRDefault="009B6D55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69836DD1" w14:textId="77777777" w:rsidTr="00812887">
        <w:trPr>
          <w:cantSplit/>
        </w:trPr>
        <w:tc>
          <w:tcPr>
            <w:tcW w:w="3227" w:type="dxa"/>
          </w:tcPr>
          <w:p w14:paraId="2D0CF01A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6463F38E" w14:textId="47E51842" w:rsidR="002E0D61" w:rsidRPr="00DD2F9B" w:rsidRDefault="009B6D55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2AA0FC68" w14:textId="77777777" w:rsidTr="00812887">
        <w:trPr>
          <w:cantSplit/>
        </w:trPr>
        <w:tc>
          <w:tcPr>
            <w:tcW w:w="3227" w:type="dxa"/>
          </w:tcPr>
          <w:p w14:paraId="7218E5F5" w14:textId="77777777" w:rsidR="004079B4" w:rsidRPr="004C23F4" w:rsidRDefault="002E0D61" w:rsidP="00F4402E">
            <w:pPr>
              <w:pStyle w:val="Tablefont"/>
            </w:pPr>
            <w:r>
              <w:lastRenderedPageBreak/>
              <w:t>DFG</w:t>
            </w:r>
          </w:p>
        </w:tc>
        <w:tc>
          <w:tcPr>
            <w:tcW w:w="6015" w:type="dxa"/>
          </w:tcPr>
          <w:p w14:paraId="403ACB95" w14:textId="7ADA0072" w:rsidR="002E0D61" w:rsidRPr="00DD2F9B" w:rsidRDefault="009B6D55" w:rsidP="00DD2F9B">
            <w:pPr>
              <w:pStyle w:val="Tablefont"/>
            </w:pPr>
            <w:r w:rsidRPr="009B6D55">
              <w:t>H (skin)</w:t>
            </w:r>
          </w:p>
        </w:tc>
      </w:tr>
      <w:tr w:rsidR="002E0D61" w:rsidRPr="004C23F4" w14:paraId="7C442649" w14:textId="77777777" w:rsidTr="00812887">
        <w:trPr>
          <w:cantSplit/>
        </w:trPr>
        <w:tc>
          <w:tcPr>
            <w:tcW w:w="3227" w:type="dxa"/>
          </w:tcPr>
          <w:p w14:paraId="7CFFDD1F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7ED2E911" w14:textId="59551F89" w:rsidR="002E0D61" w:rsidRPr="00DD2F9B" w:rsidRDefault="009B6D55" w:rsidP="00DD2F9B">
            <w:pPr>
              <w:pStyle w:val="Tablefont"/>
            </w:pPr>
            <w:r>
              <w:t>Skin</w:t>
            </w:r>
          </w:p>
        </w:tc>
      </w:tr>
      <w:tr w:rsidR="002E0D61" w:rsidRPr="004C23F4" w14:paraId="4F33E63F" w14:textId="77777777" w:rsidTr="00812887">
        <w:trPr>
          <w:cantSplit/>
        </w:trPr>
        <w:tc>
          <w:tcPr>
            <w:tcW w:w="3227" w:type="dxa"/>
          </w:tcPr>
          <w:p w14:paraId="5D7DBB20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3B809729" w14:textId="30F583B8" w:rsidR="002E0D61" w:rsidRPr="00DD2F9B" w:rsidRDefault="009B6D55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5107AE22" w14:textId="77777777" w:rsidTr="00812887">
        <w:trPr>
          <w:cantSplit/>
        </w:trPr>
        <w:tc>
          <w:tcPr>
            <w:tcW w:w="3227" w:type="dxa"/>
          </w:tcPr>
          <w:p w14:paraId="1514DD60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5C7D6139" w14:textId="65E18EA2" w:rsidR="00386093" w:rsidRPr="00DD2F9B" w:rsidRDefault="009B6D55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42016566" w14:textId="77777777" w:rsidTr="00812887">
        <w:trPr>
          <w:cantSplit/>
        </w:trPr>
        <w:tc>
          <w:tcPr>
            <w:tcW w:w="3227" w:type="dxa"/>
          </w:tcPr>
          <w:p w14:paraId="2EB033CE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38C03D6E" w14:textId="7909A6E8" w:rsidR="00386093" w:rsidRPr="00DD2F9B" w:rsidRDefault="009B6D55" w:rsidP="00D87570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4A9BDBFC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58533BE5" w14:textId="77777777" w:rsidR="00474E33" w:rsidRDefault="00474E33" w:rsidP="00474E33">
      <w:pPr>
        <w:pStyle w:val="Heading3"/>
      </w:pPr>
      <w:r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4EB41CF9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C2DA8DF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150585E8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9034" w:type="dxa"/>
              <w:tblLook w:val="04A0" w:firstRow="1" w:lastRow="0" w:firstColumn="1" w:lastColumn="0" w:noHBand="0" w:noVBand="1"/>
            </w:tblPr>
            <w:tblGrid>
              <w:gridCol w:w="3583"/>
              <w:gridCol w:w="1059"/>
              <w:gridCol w:w="1059"/>
              <w:gridCol w:w="3109"/>
            </w:tblGrid>
            <w:tr w:rsidR="007C52E0" w:rsidRPr="007C52E0" w14:paraId="75C562FA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C776203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AF81A2F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B1131BF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DAE60D4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7C52E0" w:rsidRPr="007C52E0" w14:paraId="1434A10A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0731957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4A9FF6A5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5C60230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84EDB01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7C52E0" w:rsidRPr="007C52E0" w14:paraId="0398EBE2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212B0C8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14D2AE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3E337E0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EE35DF9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7C52E0" w:rsidRPr="007C52E0" w14:paraId="2EC00280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9DE916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03BC5E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5E5803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9633A4A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7C52E0" w:rsidRPr="007C52E0" w14:paraId="20A98D8F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72CA545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6CD0775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2A3E09B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3EC70A1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7C52E0" w:rsidRPr="007C52E0" w14:paraId="3337F8B3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3A85BDA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CD876D1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752E160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9D1B94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7C52E0" w:rsidRPr="007C52E0" w14:paraId="3D040FAB" w14:textId="77777777" w:rsidTr="007C52E0">
              <w:trPr>
                <w:trHeight w:val="326"/>
              </w:trPr>
              <w:tc>
                <w:tcPr>
                  <w:tcW w:w="3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54CAF4A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9ED6F90" w14:textId="77777777" w:rsidR="007C52E0" w:rsidRPr="007C52E0" w:rsidRDefault="007C52E0" w:rsidP="007C52E0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DDE4AB" w14:textId="77777777" w:rsidR="007C52E0" w:rsidRPr="007C52E0" w:rsidRDefault="007C52E0" w:rsidP="007C52E0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</w:tc>
              <w:tc>
                <w:tcPr>
                  <w:tcW w:w="3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F9A498A" w14:textId="77777777" w:rsidR="007C52E0" w:rsidRPr="007C52E0" w:rsidRDefault="007C52E0" w:rsidP="007C52E0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7C52E0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consider assigning a skin notation</w:t>
                  </w:r>
                </w:p>
              </w:tc>
            </w:tr>
          </w:tbl>
          <w:p w14:paraId="6EC84B81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0FEEDA71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4CEEA73E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593EEDA0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5E2F0564" w14:textId="4193B726" w:rsidR="00EB3D1B" w:rsidRDefault="00B47556" w:rsidP="00EB3D1B">
                <w:pPr>
                  <w:pStyle w:val="Tablefont"/>
                </w:pPr>
                <w:r>
                  <w:rPr>
                    <w:lang w:val="en-US"/>
                  </w:rPr>
                  <w:t>Yes</w:t>
                </w:r>
              </w:p>
            </w:tc>
          </w:sdtContent>
        </w:sdt>
      </w:tr>
    </w:tbl>
    <w:p w14:paraId="7A92CE29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7DF3ACFC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6CFBF686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192D67CC" w14:textId="0AECD9A5" w:rsidR="001B79E5" w:rsidRDefault="009B6D55" w:rsidP="001B79E5">
                <w:pPr>
                  <w:pStyle w:val="Tablefont"/>
                </w:pPr>
                <w:r w:rsidRPr="009B6D55">
                  <w:t>61.08</w:t>
                </w:r>
              </w:p>
            </w:tc>
          </w:sdtContent>
        </w:sdt>
      </w:tr>
      <w:tr w:rsidR="00A31D99" w:rsidRPr="004C23F4" w14:paraId="233D948A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8404260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kPa: </w:t>
            </w:r>
          </w:p>
        </w:tc>
        <w:tc>
          <w:tcPr>
            <w:tcW w:w="5165" w:type="dxa"/>
            <w:vAlign w:val="center"/>
          </w:tcPr>
          <w:p w14:paraId="243F160C" w14:textId="4EC0CC9E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9B6D55">
                  <w:t>2.5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r w:rsidR="009B6D55">
              <w:t xml:space="preserve">0.401 </w:t>
            </w:r>
            <w:r>
              <w:t>ppm</w:t>
            </w:r>
          </w:p>
        </w:tc>
      </w:tr>
      <w:tr w:rsidR="00687890" w:rsidRPr="004C23F4" w14:paraId="3764CE38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C78453B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7D04ACC4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17160AD7" w14:textId="77777777" w:rsidTr="00EA6243">
        <w:trPr>
          <w:cantSplit/>
        </w:trPr>
        <w:tc>
          <w:tcPr>
            <w:tcW w:w="4077" w:type="dxa"/>
            <w:vAlign w:val="center"/>
          </w:tcPr>
          <w:p w14:paraId="31480D4A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3432ACA5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0E1B1D21" w14:textId="77777777" w:rsidTr="00EA6243">
        <w:trPr>
          <w:cantSplit/>
        </w:trPr>
        <w:tc>
          <w:tcPr>
            <w:tcW w:w="4077" w:type="dxa"/>
            <w:vAlign w:val="center"/>
          </w:tcPr>
          <w:p w14:paraId="43AA85DD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7FDE4C1E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0DE85C5E" w14:textId="77777777" w:rsidTr="00EA6243">
        <w:trPr>
          <w:cantSplit/>
        </w:trPr>
        <w:tc>
          <w:tcPr>
            <w:tcW w:w="4077" w:type="dxa"/>
            <w:vAlign w:val="center"/>
          </w:tcPr>
          <w:p w14:paraId="413922C7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47F7F114" w14:textId="77777777" w:rsidR="00E06F40" w:rsidRPr="00A006A0" w:rsidRDefault="001378EB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262C3C4B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775729C5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0A11E14A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6AFC97C4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66565C60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65EA563D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69FB3CBF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1A22CBC8" w14:textId="77777777" w:rsidR="00F87D92" w:rsidRDefault="00F87D92" w:rsidP="00EF7F78">
      <w:pPr>
        <w:pStyle w:val="Heading2"/>
        <w:tabs>
          <w:tab w:val="right" w:pos="8505"/>
        </w:tabs>
      </w:pPr>
      <w:r>
        <w:lastRenderedPageBreak/>
        <w:t>References</w:t>
      </w:r>
      <w:r w:rsidR="00EF7F78">
        <w:tab/>
      </w:r>
    </w:p>
    <w:p w14:paraId="43F089A1" w14:textId="7CFA2007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216822ED" w14:textId="2623FD5C" w:rsidR="009B6D55" w:rsidRDefault="009B6D55" w:rsidP="00084859">
      <w:r>
        <w:t xml:space="preserve">Deutsche Forschungsgemeinschaft (DFG) (1999) </w:t>
      </w:r>
      <w:r w:rsidRPr="009B6D55">
        <w:t>2-Aminoethanol</w:t>
      </w:r>
      <w:r>
        <w:t xml:space="preserve"> – MAK value documentation.</w:t>
      </w:r>
    </w:p>
    <w:p w14:paraId="6036116D" w14:textId="1408C0CF" w:rsidR="009B6D55" w:rsidRDefault="009B6D55" w:rsidP="00084859">
      <w:r>
        <w:t xml:space="preserve">EU Scientific Committee on Occupational Exposure Limits (SCOEL) (1996) Recommendation from the Scientific Committee on Occupational Exposure Limits for </w:t>
      </w:r>
      <w:r w:rsidRPr="009B6D55">
        <w:t>Ethanolamine</w:t>
      </w:r>
      <w:r>
        <w:t>. SCOEL/</w:t>
      </w:r>
      <w:r w:rsidRPr="009B6D55">
        <w:t>SUM/24</w:t>
      </w:r>
      <w:r>
        <w:t>.</w:t>
      </w:r>
    </w:p>
    <w:p w14:paraId="71F52A68" w14:textId="265953F5" w:rsidR="00B57A24" w:rsidRDefault="00B57A24" w:rsidP="00B57A24">
      <w:r>
        <w:t xml:space="preserve">National Industrial Chemicals Notification and Assessment Scheme (NICNAS) (2013) Ethanol, 2-amino: Human health </w:t>
      </w:r>
      <w:sdt>
        <w:sdtPr>
          <w:id w:val="-1295753243"/>
          <w:temporary/>
          <w:showingPlcHdr/>
        </w:sdtPr>
        <w:sdtEndPr/>
        <w:sdtContent>
          <w:r>
            <w:t>tier II</w:t>
          </w:r>
        </w:sdtContent>
      </w:sdt>
      <w:r>
        <w:t xml:space="preserve"> assessment – IMAP report.</w:t>
      </w:r>
    </w:p>
    <w:bookmarkEnd w:id="0"/>
    <w:p w14:paraId="2ED98304" w14:textId="77777777" w:rsidR="00E80D1F" w:rsidRPr="00351FE0" w:rsidRDefault="00E80D1F" w:rsidP="00084859"/>
    <w:sectPr w:rsidR="00E80D1F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3F90A0" w16cid:durableId="21937C53"/>
  <w16cid:commentId w16cid:paraId="44D6B5E4" w16cid:durableId="217FEE53"/>
  <w16cid:commentId w16cid:paraId="4CA16F0F" w16cid:durableId="217FEE54"/>
  <w16cid:commentId w16cid:paraId="01B2972B" w16cid:durableId="217FEE57"/>
  <w16cid:commentId w16cid:paraId="65EBAED2" w16cid:durableId="217FF171"/>
  <w16cid:commentId w16cid:paraId="65ED2087" w16cid:durableId="217FF74D"/>
  <w16cid:commentId w16cid:paraId="27FC40D2" w16cid:durableId="217FF338"/>
  <w16cid:commentId w16cid:paraId="28D4BA30" w16cid:durableId="217FF553"/>
  <w16cid:commentId w16cid:paraId="6B20D5DE" w16cid:durableId="217FF4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B52F" w14:textId="77777777" w:rsidR="00957255" w:rsidRDefault="00957255" w:rsidP="00F43AD5">
      <w:pPr>
        <w:spacing w:after="0" w:line="240" w:lineRule="auto"/>
      </w:pPr>
      <w:r>
        <w:separator/>
      </w:r>
    </w:p>
  </w:endnote>
  <w:endnote w:type="continuationSeparator" w:id="0">
    <w:p w14:paraId="7773294B" w14:textId="77777777" w:rsidR="00957255" w:rsidRDefault="00957255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3F3C" w14:textId="77777777" w:rsidR="00797B73" w:rsidRDefault="0079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6DF773B" w14:textId="7EDDF3BA" w:rsidR="007028DD" w:rsidRDefault="007028DD" w:rsidP="0034744C">
        <w:pPr>
          <w:pStyle w:val="Footer"/>
          <w:rPr>
            <w:sz w:val="18"/>
            <w:szCs w:val="18"/>
          </w:rPr>
        </w:pPr>
        <w:r w:rsidRPr="00AD4926">
          <w:rPr>
            <w:b/>
            <w:sz w:val="18"/>
            <w:szCs w:val="18"/>
          </w:rPr>
          <w:t>Ethanolamine</w:t>
        </w:r>
        <w:r>
          <w:rPr>
            <w:b/>
            <w:sz w:val="18"/>
            <w:szCs w:val="18"/>
          </w:rPr>
          <w:t xml:space="preserve"> (</w:t>
        </w:r>
        <w:r w:rsidRPr="00AD4926">
          <w:rPr>
            <w:b/>
            <w:sz w:val="18"/>
            <w:szCs w:val="18"/>
          </w:rPr>
          <w:t>141-43-5</w:t>
        </w:r>
        <w:proofErr w:type="gramStart"/>
        <w:r>
          <w:rPr>
            <w:b/>
            <w:sz w:val="18"/>
            <w:szCs w:val="18"/>
          </w:rPr>
          <w:t>)</w:t>
        </w:r>
        <w:proofErr w:type="gramEnd"/>
        <w:r w:rsidRPr="00F43AD5">
          <w:rPr>
            <w:sz w:val="18"/>
            <w:szCs w:val="18"/>
          </w:rPr>
          <w:br/>
          <w:t xml:space="preserve">Safe Work Australia </w:t>
        </w:r>
        <w:r w:rsidRPr="00F43AD5">
          <w:rPr>
            <w:rFonts w:ascii="Courier New" w:hAnsi="Courier New" w:cs="Courier New"/>
            <w:sz w:val="18"/>
            <w:szCs w:val="18"/>
          </w:rPr>
          <w:t>—</w:t>
        </w:r>
        <w:r w:rsidRPr="00F43AD5">
          <w:rPr>
            <w:sz w:val="18"/>
            <w:szCs w:val="18"/>
          </w:rPr>
          <w:t xml:space="preserve"> 201</w:t>
        </w:r>
        <w:r>
          <w:rPr>
            <w:sz w:val="18"/>
            <w:szCs w:val="18"/>
          </w:rPr>
          <w:t>9</w:t>
        </w:r>
      </w:p>
      <w:p w14:paraId="45EDC3E3" w14:textId="6602CED0" w:rsidR="007028DD" w:rsidRPr="00F43AD5" w:rsidRDefault="007028DD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1378EB">
          <w:rPr>
            <w:noProof/>
            <w:sz w:val="18"/>
            <w:szCs w:val="18"/>
          </w:rPr>
          <w:t>5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81118" w14:textId="77777777" w:rsidR="00797B73" w:rsidRDefault="0079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5F003" w14:textId="77777777" w:rsidR="00957255" w:rsidRDefault="00957255" w:rsidP="00F43AD5">
      <w:pPr>
        <w:spacing w:after="0" w:line="240" w:lineRule="auto"/>
      </w:pPr>
      <w:r>
        <w:separator/>
      </w:r>
    </w:p>
  </w:footnote>
  <w:footnote w:type="continuationSeparator" w:id="0">
    <w:p w14:paraId="02F16A35" w14:textId="77777777" w:rsidR="00957255" w:rsidRDefault="00957255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C6C03" w14:textId="755B3193" w:rsidR="00797B73" w:rsidRDefault="001378EB">
    <w:pPr>
      <w:pStyle w:val="Header"/>
    </w:pPr>
    <w:r>
      <w:rPr>
        <w:noProof/>
      </w:rPr>
      <w:pict w14:anchorId="56CF9A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430329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E77A8" w14:textId="3603B01E" w:rsidR="007028DD" w:rsidRDefault="001378EB" w:rsidP="00F43AD5">
    <w:pPr>
      <w:pStyle w:val="Header"/>
      <w:jc w:val="right"/>
    </w:pPr>
    <w:r>
      <w:rPr>
        <w:noProof/>
      </w:rPr>
      <w:pict w14:anchorId="783220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430330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7028DD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0AB95" w14:textId="2D6F91C8" w:rsidR="00797B73" w:rsidRDefault="001378EB">
    <w:pPr>
      <w:pStyle w:val="Header"/>
    </w:pPr>
    <w:r>
      <w:rPr>
        <w:noProof/>
      </w:rPr>
      <w:pict w14:anchorId="5FFDFA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430328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5F1EF" w14:textId="1F515B70" w:rsidR="001378EB" w:rsidRDefault="001378EB">
    <w:pPr>
      <w:pStyle w:val="Header"/>
    </w:pPr>
    <w:r>
      <w:rPr>
        <w:noProof/>
      </w:rPr>
      <w:pict w14:anchorId="44698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430332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1E12" w14:textId="65638A11" w:rsidR="007028DD" w:rsidRDefault="001378EB" w:rsidP="00F43AD5">
    <w:pPr>
      <w:pStyle w:val="Header"/>
      <w:jc w:val="right"/>
    </w:pPr>
    <w:r>
      <w:rPr>
        <w:noProof/>
      </w:rPr>
      <w:pict w14:anchorId="6DF83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430333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F0AD9" w14:textId="758833D3" w:rsidR="001378EB" w:rsidRDefault="001378EB">
    <w:pPr>
      <w:pStyle w:val="Header"/>
    </w:pPr>
    <w:r>
      <w:rPr>
        <w:noProof/>
      </w:rPr>
      <w:pict w14:anchorId="035F2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430331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EAB5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C5382"/>
    <w:multiLevelType w:val="hybridMultilevel"/>
    <w:tmpl w:val="7C9CE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F6B9B"/>
    <w:multiLevelType w:val="hybridMultilevel"/>
    <w:tmpl w:val="CF00D0EE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A90"/>
    <w:rsid w:val="00017C82"/>
    <w:rsid w:val="00032B88"/>
    <w:rsid w:val="00046DF5"/>
    <w:rsid w:val="00052060"/>
    <w:rsid w:val="0005574A"/>
    <w:rsid w:val="00055FE1"/>
    <w:rsid w:val="00056EC2"/>
    <w:rsid w:val="00060B48"/>
    <w:rsid w:val="00067F32"/>
    <w:rsid w:val="00071807"/>
    <w:rsid w:val="00074BB7"/>
    <w:rsid w:val="00076829"/>
    <w:rsid w:val="000803E1"/>
    <w:rsid w:val="00084513"/>
    <w:rsid w:val="00084859"/>
    <w:rsid w:val="00092D94"/>
    <w:rsid w:val="000A04F4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10461E"/>
    <w:rsid w:val="00106FAA"/>
    <w:rsid w:val="00113443"/>
    <w:rsid w:val="001269A7"/>
    <w:rsid w:val="00131092"/>
    <w:rsid w:val="001378EB"/>
    <w:rsid w:val="00140E6A"/>
    <w:rsid w:val="00146545"/>
    <w:rsid w:val="00146B75"/>
    <w:rsid w:val="0015266D"/>
    <w:rsid w:val="0015288A"/>
    <w:rsid w:val="00160F47"/>
    <w:rsid w:val="00177CA1"/>
    <w:rsid w:val="00183823"/>
    <w:rsid w:val="00183942"/>
    <w:rsid w:val="001A009E"/>
    <w:rsid w:val="001A1287"/>
    <w:rsid w:val="001A3859"/>
    <w:rsid w:val="001A3C9D"/>
    <w:rsid w:val="001A43F8"/>
    <w:rsid w:val="001B79E5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734A"/>
    <w:rsid w:val="00257A20"/>
    <w:rsid w:val="00257FF1"/>
    <w:rsid w:val="00263255"/>
    <w:rsid w:val="00276494"/>
    <w:rsid w:val="00277B0C"/>
    <w:rsid w:val="002A3C47"/>
    <w:rsid w:val="002B1A2C"/>
    <w:rsid w:val="002B1ABF"/>
    <w:rsid w:val="002B3CD9"/>
    <w:rsid w:val="002C0317"/>
    <w:rsid w:val="002C34F2"/>
    <w:rsid w:val="002C58FF"/>
    <w:rsid w:val="002C7AFE"/>
    <w:rsid w:val="002D05D2"/>
    <w:rsid w:val="002E0D61"/>
    <w:rsid w:val="002E4C7B"/>
    <w:rsid w:val="0030740C"/>
    <w:rsid w:val="00315833"/>
    <w:rsid w:val="003215EE"/>
    <w:rsid w:val="003224BF"/>
    <w:rsid w:val="003241A8"/>
    <w:rsid w:val="003253F0"/>
    <w:rsid w:val="003337DA"/>
    <w:rsid w:val="00334EFB"/>
    <w:rsid w:val="00335CDE"/>
    <w:rsid w:val="003365A5"/>
    <w:rsid w:val="00345AF9"/>
    <w:rsid w:val="00347192"/>
    <w:rsid w:val="0034744C"/>
    <w:rsid w:val="00351FE0"/>
    <w:rsid w:val="00352615"/>
    <w:rsid w:val="0035412B"/>
    <w:rsid w:val="003567A8"/>
    <w:rsid w:val="00362895"/>
    <w:rsid w:val="003648ED"/>
    <w:rsid w:val="00370DBF"/>
    <w:rsid w:val="00386093"/>
    <w:rsid w:val="003904A4"/>
    <w:rsid w:val="003908AA"/>
    <w:rsid w:val="00391841"/>
    <w:rsid w:val="00391B6D"/>
    <w:rsid w:val="00394922"/>
    <w:rsid w:val="003A0E32"/>
    <w:rsid w:val="003A2150"/>
    <w:rsid w:val="003A2B94"/>
    <w:rsid w:val="003A418A"/>
    <w:rsid w:val="003B387D"/>
    <w:rsid w:val="003B7725"/>
    <w:rsid w:val="003C0D58"/>
    <w:rsid w:val="003D0435"/>
    <w:rsid w:val="003D4FA3"/>
    <w:rsid w:val="003E0807"/>
    <w:rsid w:val="003E51FB"/>
    <w:rsid w:val="003E6B39"/>
    <w:rsid w:val="003F07E1"/>
    <w:rsid w:val="004030BC"/>
    <w:rsid w:val="00403F7D"/>
    <w:rsid w:val="00406785"/>
    <w:rsid w:val="004079B4"/>
    <w:rsid w:val="00411794"/>
    <w:rsid w:val="00417A56"/>
    <w:rsid w:val="00420957"/>
    <w:rsid w:val="00422A10"/>
    <w:rsid w:val="00430179"/>
    <w:rsid w:val="004414B5"/>
    <w:rsid w:val="00444482"/>
    <w:rsid w:val="00444B42"/>
    <w:rsid w:val="00445E44"/>
    <w:rsid w:val="004509E2"/>
    <w:rsid w:val="004515EE"/>
    <w:rsid w:val="004529F0"/>
    <w:rsid w:val="00454884"/>
    <w:rsid w:val="00460A03"/>
    <w:rsid w:val="004649D2"/>
    <w:rsid w:val="00472A11"/>
    <w:rsid w:val="00472AAD"/>
    <w:rsid w:val="00474E33"/>
    <w:rsid w:val="00476803"/>
    <w:rsid w:val="00483396"/>
    <w:rsid w:val="00485BFD"/>
    <w:rsid w:val="004867A2"/>
    <w:rsid w:val="004873F2"/>
    <w:rsid w:val="00490D4C"/>
    <w:rsid w:val="00493A35"/>
    <w:rsid w:val="0049527A"/>
    <w:rsid w:val="00495E0F"/>
    <w:rsid w:val="00495E52"/>
    <w:rsid w:val="004966BF"/>
    <w:rsid w:val="00496FCA"/>
    <w:rsid w:val="00497984"/>
    <w:rsid w:val="004A0601"/>
    <w:rsid w:val="004A5088"/>
    <w:rsid w:val="004C1E3F"/>
    <w:rsid w:val="004C23F4"/>
    <w:rsid w:val="004C3475"/>
    <w:rsid w:val="004C58B6"/>
    <w:rsid w:val="004D16A3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1D3C"/>
    <w:rsid w:val="005272E2"/>
    <w:rsid w:val="0053108F"/>
    <w:rsid w:val="00532B56"/>
    <w:rsid w:val="00534B10"/>
    <w:rsid w:val="005446A2"/>
    <w:rsid w:val="00544D2F"/>
    <w:rsid w:val="00551BD8"/>
    <w:rsid w:val="00575019"/>
    <w:rsid w:val="00581055"/>
    <w:rsid w:val="0058749E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E00E7"/>
    <w:rsid w:val="005E23ED"/>
    <w:rsid w:val="005E6979"/>
    <w:rsid w:val="005E75CB"/>
    <w:rsid w:val="006013C1"/>
    <w:rsid w:val="0060669E"/>
    <w:rsid w:val="00610F2E"/>
    <w:rsid w:val="00611399"/>
    <w:rsid w:val="0062352E"/>
    <w:rsid w:val="00624C4E"/>
    <w:rsid w:val="00625200"/>
    <w:rsid w:val="006319AA"/>
    <w:rsid w:val="006363A8"/>
    <w:rsid w:val="00636DB7"/>
    <w:rsid w:val="00650905"/>
    <w:rsid w:val="006532ED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366D"/>
    <w:rsid w:val="00695B72"/>
    <w:rsid w:val="006A16A4"/>
    <w:rsid w:val="006B160A"/>
    <w:rsid w:val="006B4E6C"/>
    <w:rsid w:val="006B50B6"/>
    <w:rsid w:val="006D79EA"/>
    <w:rsid w:val="006E5D05"/>
    <w:rsid w:val="006F37E5"/>
    <w:rsid w:val="00701053"/>
    <w:rsid w:val="00701507"/>
    <w:rsid w:val="007028DD"/>
    <w:rsid w:val="00705184"/>
    <w:rsid w:val="00711D7B"/>
    <w:rsid w:val="00714021"/>
    <w:rsid w:val="00716A0F"/>
    <w:rsid w:val="00717D45"/>
    <w:rsid w:val="007206E3"/>
    <w:rsid w:val="007208F7"/>
    <w:rsid w:val="007218AF"/>
    <w:rsid w:val="007330A4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4D26"/>
    <w:rsid w:val="0079509C"/>
    <w:rsid w:val="00796708"/>
    <w:rsid w:val="00797B73"/>
    <w:rsid w:val="007B1B42"/>
    <w:rsid w:val="007C30EB"/>
    <w:rsid w:val="007C52E0"/>
    <w:rsid w:val="007C75BF"/>
    <w:rsid w:val="007E063C"/>
    <w:rsid w:val="007E2A4B"/>
    <w:rsid w:val="007E307D"/>
    <w:rsid w:val="007E40C3"/>
    <w:rsid w:val="007E6A4E"/>
    <w:rsid w:val="007E6C94"/>
    <w:rsid w:val="007F1005"/>
    <w:rsid w:val="007F25E0"/>
    <w:rsid w:val="007F5328"/>
    <w:rsid w:val="00804F5A"/>
    <w:rsid w:val="00810C6D"/>
    <w:rsid w:val="00812535"/>
    <w:rsid w:val="00812887"/>
    <w:rsid w:val="00826F21"/>
    <w:rsid w:val="00834CC8"/>
    <w:rsid w:val="00835E00"/>
    <w:rsid w:val="00837113"/>
    <w:rsid w:val="008414E4"/>
    <w:rsid w:val="00843E21"/>
    <w:rsid w:val="0084508E"/>
    <w:rsid w:val="0084789D"/>
    <w:rsid w:val="00853223"/>
    <w:rsid w:val="00854F78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92BCE"/>
    <w:rsid w:val="008A36CF"/>
    <w:rsid w:val="008A3BC4"/>
    <w:rsid w:val="008B403C"/>
    <w:rsid w:val="008B7983"/>
    <w:rsid w:val="008C2511"/>
    <w:rsid w:val="008D026D"/>
    <w:rsid w:val="008D23AB"/>
    <w:rsid w:val="008D4B8B"/>
    <w:rsid w:val="008D5334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870"/>
    <w:rsid w:val="00932DCE"/>
    <w:rsid w:val="0093327E"/>
    <w:rsid w:val="00934028"/>
    <w:rsid w:val="0093760E"/>
    <w:rsid w:val="00946044"/>
    <w:rsid w:val="0094660B"/>
    <w:rsid w:val="00946A33"/>
    <w:rsid w:val="0095260E"/>
    <w:rsid w:val="00957255"/>
    <w:rsid w:val="009578DD"/>
    <w:rsid w:val="00961124"/>
    <w:rsid w:val="009621B6"/>
    <w:rsid w:val="00974F2D"/>
    <w:rsid w:val="00977524"/>
    <w:rsid w:val="00977E88"/>
    <w:rsid w:val="00984920"/>
    <w:rsid w:val="009860F7"/>
    <w:rsid w:val="0099303A"/>
    <w:rsid w:val="00996103"/>
    <w:rsid w:val="009971C2"/>
    <w:rsid w:val="009A1254"/>
    <w:rsid w:val="009B2FF2"/>
    <w:rsid w:val="009B380C"/>
    <w:rsid w:val="009B4843"/>
    <w:rsid w:val="009B6543"/>
    <w:rsid w:val="009B6D55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C29"/>
    <w:rsid w:val="00A10FCE"/>
    <w:rsid w:val="00A16D91"/>
    <w:rsid w:val="00A174CC"/>
    <w:rsid w:val="00A2073D"/>
    <w:rsid w:val="00A20751"/>
    <w:rsid w:val="00A27E2D"/>
    <w:rsid w:val="00A31D99"/>
    <w:rsid w:val="00A33D54"/>
    <w:rsid w:val="00A357BA"/>
    <w:rsid w:val="00A35ADC"/>
    <w:rsid w:val="00A402A3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43C4"/>
    <w:rsid w:val="00AC32E7"/>
    <w:rsid w:val="00AC3A9F"/>
    <w:rsid w:val="00AC6D2F"/>
    <w:rsid w:val="00AD0434"/>
    <w:rsid w:val="00AD4926"/>
    <w:rsid w:val="00AE2745"/>
    <w:rsid w:val="00AE2F64"/>
    <w:rsid w:val="00AF42CB"/>
    <w:rsid w:val="00AF483F"/>
    <w:rsid w:val="00AF4D29"/>
    <w:rsid w:val="00AF5E07"/>
    <w:rsid w:val="00AF5F06"/>
    <w:rsid w:val="00B00A25"/>
    <w:rsid w:val="00B1422A"/>
    <w:rsid w:val="00B1765C"/>
    <w:rsid w:val="00B213C4"/>
    <w:rsid w:val="00B40C60"/>
    <w:rsid w:val="00B47556"/>
    <w:rsid w:val="00B479A9"/>
    <w:rsid w:val="00B52EDF"/>
    <w:rsid w:val="00B57A24"/>
    <w:rsid w:val="00B64767"/>
    <w:rsid w:val="00B71188"/>
    <w:rsid w:val="00B76A41"/>
    <w:rsid w:val="00B87D4C"/>
    <w:rsid w:val="00B93646"/>
    <w:rsid w:val="00BA0B38"/>
    <w:rsid w:val="00BA1DBB"/>
    <w:rsid w:val="00BA4510"/>
    <w:rsid w:val="00BA529A"/>
    <w:rsid w:val="00BB612A"/>
    <w:rsid w:val="00BD499F"/>
    <w:rsid w:val="00BD56DE"/>
    <w:rsid w:val="00BF2406"/>
    <w:rsid w:val="00C06E43"/>
    <w:rsid w:val="00C16315"/>
    <w:rsid w:val="00C254CE"/>
    <w:rsid w:val="00C25E77"/>
    <w:rsid w:val="00C3091E"/>
    <w:rsid w:val="00C40FF1"/>
    <w:rsid w:val="00C419E2"/>
    <w:rsid w:val="00C443CF"/>
    <w:rsid w:val="00C5020E"/>
    <w:rsid w:val="00C57452"/>
    <w:rsid w:val="00C614DA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4B77"/>
    <w:rsid w:val="00C978F0"/>
    <w:rsid w:val="00CA58FE"/>
    <w:rsid w:val="00CB1CB1"/>
    <w:rsid w:val="00CB6BC1"/>
    <w:rsid w:val="00CB6CB8"/>
    <w:rsid w:val="00CC1A68"/>
    <w:rsid w:val="00CC2123"/>
    <w:rsid w:val="00CD2BFD"/>
    <w:rsid w:val="00CD53D7"/>
    <w:rsid w:val="00CE5AD6"/>
    <w:rsid w:val="00CE617F"/>
    <w:rsid w:val="00CE78EF"/>
    <w:rsid w:val="00D048F7"/>
    <w:rsid w:val="00D0517E"/>
    <w:rsid w:val="00D140FC"/>
    <w:rsid w:val="00D21D8C"/>
    <w:rsid w:val="00D26ED0"/>
    <w:rsid w:val="00D31357"/>
    <w:rsid w:val="00D31BB4"/>
    <w:rsid w:val="00D33220"/>
    <w:rsid w:val="00D334D1"/>
    <w:rsid w:val="00D44C89"/>
    <w:rsid w:val="00D516CD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C4E36"/>
    <w:rsid w:val="00DC7694"/>
    <w:rsid w:val="00DD1BF6"/>
    <w:rsid w:val="00DD2F9B"/>
    <w:rsid w:val="00DE2513"/>
    <w:rsid w:val="00DE26E8"/>
    <w:rsid w:val="00DF6F36"/>
    <w:rsid w:val="00E0084C"/>
    <w:rsid w:val="00E025AB"/>
    <w:rsid w:val="00E02B23"/>
    <w:rsid w:val="00E06F40"/>
    <w:rsid w:val="00E07CE8"/>
    <w:rsid w:val="00E26A07"/>
    <w:rsid w:val="00E32595"/>
    <w:rsid w:val="00E37CFD"/>
    <w:rsid w:val="00E41A26"/>
    <w:rsid w:val="00E46BCB"/>
    <w:rsid w:val="00E51CAF"/>
    <w:rsid w:val="00E60F04"/>
    <w:rsid w:val="00E62AAC"/>
    <w:rsid w:val="00E6400E"/>
    <w:rsid w:val="00E655E8"/>
    <w:rsid w:val="00E66953"/>
    <w:rsid w:val="00E67C2F"/>
    <w:rsid w:val="00E67EF5"/>
    <w:rsid w:val="00E804EA"/>
    <w:rsid w:val="00E80A71"/>
    <w:rsid w:val="00E80D1F"/>
    <w:rsid w:val="00E82337"/>
    <w:rsid w:val="00E92499"/>
    <w:rsid w:val="00E949AF"/>
    <w:rsid w:val="00E96077"/>
    <w:rsid w:val="00EA0A06"/>
    <w:rsid w:val="00EA6243"/>
    <w:rsid w:val="00EA74AB"/>
    <w:rsid w:val="00EA776D"/>
    <w:rsid w:val="00EB3D1B"/>
    <w:rsid w:val="00ED1D89"/>
    <w:rsid w:val="00ED66BC"/>
    <w:rsid w:val="00EF233A"/>
    <w:rsid w:val="00EF303E"/>
    <w:rsid w:val="00EF3A40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55258"/>
    <w:rsid w:val="00F56DD0"/>
    <w:rsid w:val="00F6491C"/>
    <w:rsid w:val="00F67BBB"/>
    <w:rsid w:val="00F87D92"/>
    <w:rsid w:val="00F90AA7"/>
    <w:rsid w:val="00F92498"/>
    <w:rsid w:val="00F9496B"/>
    <w:rsid w:val="00F970C9"/>
    <w:rsid w:val="00FA06A8"/>
    <w:rsid w:val="00FA3DF5"/>
    <w:rsid w:val="00FA6C2A"/>
    <w:rsid w:val="00FA741F"/>
    <w:rsid w:val="00FB4141"/>
    <w:rsid w:val="00FB4E07"/>
    <w:rsid w:val="00FB755A"/>
    <w:rsid w:val="00FC18E0"/>
    <w:rsid w:val="00FC221D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E6400E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5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E7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E7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E77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46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6E48EFD96D6048E99130825643CF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374F-15A1-40AB-928A-E0170532D0CE}"/>
      </w:docPartPr>
      <w:docPartBody>
        <w:p w:rsidR="001965F8" w:rsidRDefault="00CF6FB7" w:rsidP="00CF6FB7">
          <w:pPr>
            <w:pStyle w:val="6E48EFD96D6048E99130825643CF1754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2071064F5DF144C3AC9F70C60D10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2729B-1E11-4F50-96E6-5A8A51056FAB}"/>
      </w:docPartPr>
      <w:docPartBody>
        <w:p w:rsidR="00EB416C" w:rsidRDefault="001C26B4" w:rsidP="001C26B4">
          <w:pPr>
            <w:pStyle w:val="2071064F5DF144C3AC9F70C60D108362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072DE5"/>
    <w:rsid w:val="001829FE"/>
    <w:rsid w:val="001965F8"/>
    <w:rsid w:val="001C26B4"/>
    <w:rsid w:val="002C5C93"/>
    <w:rsid w:val="009B0681"/>
    <w:rsid w:val="00C41930"/>
    <w:rsid w:val="00C823EB"/>
    <w:rsid w:val="00CF6FB7"/>
    <w:rsid w:val="00D21A9F"/>
    <w:rsid w:val="00E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6B4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9F27A05699224A72A0C94144A9F75963">
    <w:name w:val="9F27A05699224A72A0C94144A9F75963"/>
    <w:rsid w:val="002C5C93"/>
  </w:style>
  <w:style w:type="paragraph" w:customStyle="1" w:styleId="3C9A4F46392140ACA3B68797EA773AFD">
    <w:name w:val="3C9A4F46392140ACA3B68797EA773AFD"/>
    <w:rsid w:val="002C5C93"/>
  </w:style>
  <w:style w:type="paragraph" w:customStyle="1" w:styleId="8329E9B6B1974A4FB8B6DDB626D34CFA">
    <w:name w:val="8329E9B6B1974A4FB8B6DDB626D34CFA"/>
    <w:rsid w:val="002C5C93"/>
  </w:style>
  <w:style w:type="paragraph" w:customStyle="1" w:styleId="BDA98131A1F54D289D896C2C9469864D">
    <w:name w:val="BDA98131A1F54D289D896C2C9469864D"/>
    <w:rsid w:val="002C5C93"/>
  </w:style>
  <w:style w:type="paragraph" w:customStyle="1" w:styleId="D0B38EE779CF4FE8A4F3C5D1783FBB33">
    <w:name w:val="D0B38EE779CF4FE8A4F3C5D1783FBB33"/>
    <w:rsid w:val="002C5C93"/>
  </w:style>
  <w:style w:type="paragraph" w:customStyle="1" w:styleId="5C65728D12274536B1A0269CAD2F4E53">
    <w:name w:val="5C65728D12274536B1A0269CAD2F4E53"/>
    <w:rsid w:val="002C5C93"/>
  </w:style>
  <w:style w:type="paragraph" w:customStyle="1" w:styleId="DAF9AC789FC448E788968B8393C610BF">
    <w:name w:val="DAF9AC789FC448E788968B8393C610BF"/>
    <w:rsid w:val="002C5C93"/>
  </w:style>
  <w:style w:type="paragraph" w:customStyle="1" w:styleId="6E48EFD96D6048E99130825643CF1754">
    <w:name w:val="6E48EFD96D6048E99130825643CF1754"/>
    <w:rsid w:val="00CF6FB7"/>
    <w:rPr>
      <w:lang w:val="en-US" w:eastAsia="en-US"/>
    </w:rPr>
  </w:style>
  <w:style w:type="paragraph" w:customStyle="1" w:styleId="2071064F5DF144C3AC9F70C60D108362">
    <w:name w:val="2071064F5DF144C3AC9F70C60D108362"/>
    <w:rsid w:val="001C2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200-76A0-45BF-A636-6817DD5E83BA}">
  <ds:schemaRefs>
    <ds:schemaRef ds:uri="http://schemas.microsoft.com/office/2006/documentManagement/types"/>
    <ds:schemaRef ds:uri="http://purl.org/dc/dcmitype/"/>
    <ds:schemaRef ds:uri="bf54d604-3e62-4e70-ba33-9e9084b96a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7715D-4EA8-4443-8BF6-9E4A8C0EB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B92BC-DCA7-4F09-A6B7-B6CD749C4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49577-A939-48A0-AE03-B6F8964C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2019-11-28T00:49:00Z</dcterms:created>
  <dcterms:modified xsi:type="dcterms:W3CDTF">2019-12-05T23:15:00Z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