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sdt>
      <w:sdtPr>
        <w:rPr>
          <w:rFonts w:ascii="Arial" w:hAnsi="Arial" w:cs="Arial"/>
        </w:rPr>
        <w:alias w:val="NameofChemical"/>
        <w:tag w:val="NameofChemical"/>
        <w:id w:val="1425919599"/>
        <w:lock w:val="sdtLocked"/>
        <w:placeholder>
          <w:docPart w:val="CE1736E50B02464986D1BEC8B7ACDE96"/>
        </w:placeholder>
        <w:text/>
      </w:sdtPr>
      <w:sdtEndPr/>
      <w:sdtContent>
        <w:p w14:paraId="3821EDDD" w14:textId="38C1FCFA" w:rsidR="00BD499F" w:rsidRPr="004C23F4" w:rsidRDefault="0006464C" w:rsidP="00B40C60">
          <w:pPr>
            <w:pStyle w:val="Heading1"/>
            <w:jc w:val="center"/>
            <w:rPr>
              <w:rFonts w:ascii="Arial" w:hAnsi="Arial" w:cs="Arial"/>
            </w:rPr>
          </w:pPr>
          <w:r w:rsidRPr="0006464C">
            <w:rPr>
              <w:rFonts w:ascii="Arial" w:hAnsi="Arial" w:cs="Arial"/>
            </w:rPr>
            <w:t>Ethyl acrylate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3989"/>
        <w:gridCol w:w="5037"/>
      </w:tblGrid>
      <w:tr w:rsidR="00F43AD5" w:rsidRPr="004C23F4" w14:paraId="7BBC2864" w14:textId="77777777" w:rsidTr="00B76A41">
        <w:trPr>
          <w:cantSplit/>
          <w:tblHeader/>
        </w:trPr>
        <w:tc>
          <w:tcPr>
            <w:tcW w:w="4077" w:type="dxa"/>
          </w:tcPr>
          <w:p w14:paraId="08AEF781" w14:textId="77777777" w:rsidR="00F43AD5" w:rsidRPr="00921DE7" w:rsidRDefault="00CB1CB1" w:rsidP="00B76A41">
            <w:pPr>
              <w:pStyle w:val="Tablerowright"/>
            </w:pPr>
            <w:r w:rsidRPr="00921DE7">
              <w:t>CAS number:</w:t>
            </w:r>
          </w:p>
        </w:tc>
        <w:tc>
          <w:tcPr>
            <w:tcW w:w="5165" w:type="dxa"/>
          </w:tcPr>
          <w:p w14:paraId="3B59B687" w14:textId="4B375FCE" w:rsidR="00F43AD5" w:rsidRPr="00717D45" w:rsidRDefault="004C4971" w:rsidP="00B76A41">
            <w:pPr>
              <w:pStyle w:val="Tablefont"/>
            </w:pPr>
            <w:r w:rsidRPr="004C4971">
              <w:t>140-88-5</w:t>
            </w:r>
          </w:p>
        </w:tc>
      </w:tr>
      <w:tr w:rsidR="00F43AD5" w:rsidRPr="004C23F4" w14:paraId="032AAD72" w14:textId="77777777" w:rsidTr="00B76A41">
        <w:trPr>
          <w:cantSplit/>
        </w:trPr>
        <w:tc>
          <w:tcPr>
            <w:tcW w:w="4077" w:type="dxa"/>
          </w:tcPr>
          <w:p w14:paraId="7C666BE0" w14:textId="77777777" w:rsidR="00F43AD5" w:rsidRPr="00921DE7" w:rsidRDefault="00CB1CB1" w:rsidP="00B76A41">
            <w:pPr>
              <w:pStyle w:val="Tablerowright"/>
            </w:pPr>
            <w:r w:rsidRPr="00921DE7">
              <w:t>Synonyms:</w:t>
            </w:r>
          </w:p>
        </w:tc>
        <w:tc>
          <w:tcPr>
            <w:tcW w:w="5165" w:type="dxa"/>
          </w:tcPr>
          <w:p w14:paraId="004571C8" w14:textId="372121AC" w:rsidR="00F43AD5" w:rsidRPr="00717D45" w:rsidRDefault="004C4971" w:rsidP="00B76A41">
            <w:pPr>
              <w:pStyle w:val="Tablefont"/>
            </w:pPr>
            <w:r>
              <w:t>Acrylic acid e</w:t>
            </w:r>
            <w:r w:rsidRPr="004C4971">
              <w:t>thyl ester</w:t>
            </w:r>
            <w:r w:rsidR="00DE6F02">
              <w:t>, 2-p</w:t>
            </w:r>
            <w:r>
              <w:t>ropanoic acid ethyl ester</w:t>
            </w:r>
          </w:p>
        </w:tc>
      </w:tr>
      <w:tr w:rsidR="00F43AD5" w:rsidRPr="004C23F4" w14:paraId="7551FDD2" w14:textId="77777777" w:rsidTr="00B76A41">
        <w:trPr>
          <w:cantSplit/>
        </w:trPr>
        <w:tc>
          <w:tcPr>
            <w:tcW w:w="4077" w:type="dxa"/>
          </w:tcPr>
          <w:p w14:paraId="174CB334" w14:textId="77777777" w:rsidR="00F43AD5" w:rsidRPr="00921DE7" w:rsidRDefault="00CB1CB1" w:rsidP="00B76A41">
            <w:pPr>
              <w:pStyle w:val="Tablerowright"/>
            </w:pPr>
            <w:r w:rsidRPr="00921DE7">
              <w:t>Chemical formula:</w:t>
            </w:r>
          </w:p>
        </w:tc>
        <w:tc>
          <w:tcPr>
            <w:tcW w:w="5165" w:type="dxa"/>
          </w:tcPr>
          <w:p w14:paraId="748389FF" w14:textId="362AE191" w:rsidR="00F43AD5" w:rsidRPr="00717D45" w:rsidRDefault="004C4971" w:rsidP="00B76A41">
            <w:pPr>
              <w:pStyle w:val="Tablefont"/>
            </w:pPr>
            <w:r>
              <w:t>C</w:t>
            </w:r>
            <w:r w:rsidRPr="004C4971">
              <w:rPr>
                <w:vertAlign w:val="subscript"/>
              </w:rPr>
              <w:t>5</w:t>
            </w:r>
            <w:r>
              <w:t>H</w:t>
            </w:r>
            <w:r w:rsidRPr="004C4971">
              <w:rPr>
                <w:vertAlign w:val="subscript"/>
              </w:rPr>
              <w:t>8</w:t>
            </w:r>
            <w:r>
              <w:t>O</w:t>
            </w:r>
            <w:r w:rsidRPr="004C4971">
              <w:rPr>
                <w:vertAlign w:val="subscript"/>
              </w:rPr>
              <w:t>2</w:t>
            </w:r>
          </w:p>
        </w:tc>
      </w:tr>
      <w:tr w:rsidR="00F43AD5" w:rsidRPr="004C23F4" w14:paraId="224880FE" w14:textId="77777777" w:rsidTr="00B76A41">
        <w:trPr>
          <w:cantSplit/>
        </w:trPr>
        <w:tc>
          <w:tcPr>
            <w:tcW w:w="4077" w:type="dxa"/>
          </w:tcPr>
          <w:p w14:paraId="65836563" w14:textId="77777777" w:rsidR="00F43AD5" w:rsidRPr="00921DE7" w:rsidRDefault="00CB1CB1" w:rsidP="00B76A41">
            <w:pPr>
              <w:pStyle w:val="Tablerowright"/>
            </w:pPr>
            <w:r w:rsidRPr="00921DE7">
              <w:t>Structural formula:</w:t>
            </w:r>
          </w:p>
        </w:tc>
        <w:tc>
          <w:tcPr>
            <w:tcW w:w="5165" w:type="dxa"/>
          </w:tcPr>
          <w:p w14:paraId="7CD569CB" w14:textId="23BAA5E1" w:rsidR="00F43AD5" w:rsidRPr="00C14A41" w:rsidRDefault="004C4971" w:rsidP="00B76A41">
            <w:pPr>
              <w:pStyle w:val="Tablerowheading"/>
              <w:rPr>
                <w:b w:val="0"/>
              </w:rPr>
            </w:pPr>
            <w:r w:rsidRPr="00847763">
              <w:rPr>
                <w:b w:val="0"/>
              </w:rPr>
              <w:t>—</w:t>
            </w:r>
          </w:p>
        </w:tc>
      </w:tr>
    </w:tbl>
    <w:p w14:paraId="528947A5" w14:textId="445576EC" w:rsidR="00AE2745" w:rsidRDefault="00AE2745" w:rsidP="00AE2745">
      <w:pPr>
        <w:pStyle w:val="WES"/>
        <w:tabs>
          <w:tab w:val="left" w:pos="2041"/>
        </w:tabs>
      </w:pPr>
      <w:r>
        <w:tab/>
      </w:r>
      <w:r w:rsidRPr="002C58FF">
        <w:t xml:space="preserve">Workplace </w:t>
      </w:r>
      <w:r>
        <w:t>exposure s</w:t>
      </w:r>
      <w:r w:rsidRPr="002C58FF">
        <w:t xml:space="preserve">tandard </w:t>
      </w:r>
      <w:sdt>
        <w:sdtPr>
          <w:rPr>
            <w:rStyle w:val="WESstatus"/>
          </w:rPr>
          <w:id w:val="-1336530191"/>
          <w:placeholder>
            <w:docPart w:val="E23B83A762C94EBA8097A4DA3FB4D503"/>
          </w:placeholder>
          <w:comboBox>
            <w:listItem w:displayText="(amended)" w:value="(amended)"/>
            <w:listItem w:displayText="(interim)" w:value="(interim)"/>
            <w:listItem w:displayText="(new)" w:value="(new)"/>
            <w:listItem w:displayText="(retained)" w:value="(retained)"/>
          </w:comboBox>
        </w:sdtPr>
        <w:sdtEndPr>
          <w:rPr>
            <w:rStyle w:val="WESstatus"/>
          </w:rPr>
        </w:sdtEndPr>
        <w:sdtContent>
          <w:r w:rsidR="00B728D6">
            <w:rPr>
              <w:rStyle w:val="WESstatus"/>
            </w:rPr>
            <w:t>(amended)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Chemical description details form"/>
      </w:tblPr>
      <w:tblGrid>
        <w:gridCol w:w="4005"/>
        <w:gridCol w:w="5021"/>
      </w:tblGrid>
      <w:tr w:rsidR="002C7AFE" w:rsidRPr="004C23F4" w14:paraId="3289D8F8" w14:textId="77777777" w:rsidTr="00007FBC">
        <w:trPr>
          <w:cantSplit/>
          <w:tblHeader/>
        </w:trPr>
        <w:tc>
          <w:tcPr>
            <w:tcW w:w="4005" w:type="dxa"/>
            <w:vAlign w:val="center"/>
          </w:tcPr>
          <w:p w14:paraId="778E67B2" w14:textId="77777777" w:rsidR="002C7AFE" w:rsidRPr="002C58FF" w:rsidRDefault="00921DE7" w:rsidP="00921DE7">
            <w:pPr>
              <w:pStyle w:val="Tablerowright"/>
            </w:pPr>
            <w:r>
              <w:t>TWA:</w:t>
            </w:r>
          </w:p>
        </w:tc>
        <w:tc>
          <w:tcPr>
            <w:tcW w:w="5021" w:type="dxa"/>
          </w:tcPr>
          <w:p w14:paraId="2D2D00F1" w14:textId="4E116F25" w:rsidR="002C7AFE" w:rsidRPr="00B728D6" w:rsidRDefault="00B728D6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2 ppm (8.31 mg/m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)</w:t>
            </w:r>
          </w:p>
        </w:tc>
      </w:tr>
      <w:tr w:rsidR="002C7AFE" w:rsidRPr="004C23F4" w14:paraId="7889FE4D" w14:textId="77777777" w:rsidTr="00007FBC">
        <w:trPr>
          <w:cantSplit/>
        </w:trPr>
        <w:tc>
          <w:tcPr>
            <w:tcW w:w="4005" w:type="dxa"/>
            <w:vAlign w:val="center"/>
          </w:tcPr>
          <w:p w14:paraId="6D557D81" w14:textId="77777777" w:rsidR="002C7AFE" w:rsidRPr="002C58FF" w:rsidRDefault="002C7AFE" w:rsidP="00921DE7">
            <w:pPr>
              <w:pStyle w:val="Tablerowright"/>
            </w:pPr>
            <w:r w:rsidRPr="002C58FF">
              <w:t>STEL</w:t>
            </w:r>
            <w:r w:rsidR="00921DE7">
              <w:t>:</w:t>
            </w:r>
          </w:p>
        </w:tc>
        <w:tc>
          <w:tcPr>
            <w:tcW w:w="5021" w:type="dxa"/>
          </w:tcPr>
          <w:p w14:paraId="03BCAEC9" w14:textId="05D1F770" w:rsidR="002C7AFE" w:rsidRPr="00FF43C2" w:rsidRDefault="00E30941" w:rsidP="00017C82">
            <w:pPr>
              <w:pStyle w:val="Tablefont"/>
              <w:rPr>
                <w:b/>
              </w:rPr>
            </w:pPr>
            <w:r>
              <w:rPr>
                <w:b/>
              </w:rPr>
              <w:t xml:space="preserve">5 </w:t>
            </w:r>
            <w:r w:rsidR="00FF43C2">
              <w:rPr>
                <w:b/>
              </w:rPr>
              <w:t>ppm (</w:t>
            </w:r>
            <w:r>
              <w:rPr>
                <w:b/>
              </w:rPr>
              <w:t xml:space="preserve">20 </w:t>
            </w:r>
            <w:r w:rsidR="00FF43C2">
              <w:rPr>
                <w:b/>
              </w:rPr>
              <w:t>mg/m</w:t>
            </w:r>
            <w:r w:rsidR="00FF43C2">
              <w:rPr>
                <w:b/>
                <w:vertAlign w:val="superscript"/>
              </w:rPr>
              <w:t>3</w:t>
            </w:r>
            <w:r w:rsidR="00FF43C2">
              <w:rPr>
                <w:b/>
              </w:rPr>
              <w:t>)</w:t>
            </w:r>
          </w:p>
        </w:tc>
      </w:tr>
      <w:tr w:rsidR="002C7AFE" w:rsidRPr="004C23F4" w14:paraId="3BAAC23F" w14:textId="77777777" w:rsidTr="00007FBC">
        <w:trPr>
          <w:cantSplit/>
        </w:trPr>
        <w:tc>
          <w:tcPr>
            <w:tcW w:w="4005" w:type="dxa"/>
            <w:vAlign w:val="center"/>
          </w:tcPr>
          <w:p w14:paraId="60EDD365" w14:textId="77777777" w:rsidR="002C7AFE" w:rsidRPr="002C58FF" w:rsidRDefault="00921DE7" w:rsidP="00921DE7">
            <w:pPr>
              <w:pStyle w:val="Tablerowright"/>
            </w:pPr>
            <w:r>
              <w:t>Peak limitation:</w:t>
            </w:r>
          </w:p>
        </w:tc>
        <w:tc>
          <w:tcPr>
            <w:tcW w:w="5021" w:type="dxa"/>
          </w:tcPr>
          <w:p w14:paraId="1ED3BA9C" w14:textId="65FBDD21" w:rsidR="002C7AFE" w:rsidRPr="00EB3D1B" w:rsidRDefault="00C14A41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—</w:t>
            </w:r>
          </w:p>
        </w:tc>
      </w:tr>
      <w:tr w:rsidR="002C7AFE" w:rsidRPr="004C23F4" w14:paraId="606BA661" w14:textId="77777777" w:rsidTr="00007FBC">
        <w:trPr>
          <w:cantSplit/>
        </w:trPr>
        <w:tc>
          <w:tcPr>
            <w:tcW w:w="4005" w:type="dxa"/>
          </w:tcPr>
          <w:p w14:paraId="20EAC0FB" w14:textId="77777777" w:rsidR="002C7AFE" w:rsidRPr="002C58FF" w:rsidRDefault="00A2073D" w:rsidP="003241A8">
            <w:pPr>
              <w:pStyle w:val="Tablerowright"/>
            </w:pPr>
            <w:r>
              <w:rPr>
                <w:b w:val="0"/>
                <w:bCs/>
                <w:color w:val="000000" w:themeColor="text1"/>
              </w:rPr>
              <w:tab/>
            </w:r>
            <w:r w:rsidR="00921DE7" w:rsidRPr="003241A8">
              <w:t>Notations</w:t>
            </w:r>
            <w:r w:rsidR="00921DE7">
              <w:t>:</w:t>
            </w:r>
          </w:p>
        </w:tc>
        <w:tc>
          <w:tcPr>
            <w:tcW w:w="5021" w:type="dxa"/>
          </w:tcPr>
          <w:p w14:paraId="68FA2BB5" w14:textId="20DD0851" w:rsidR="002C7AFE" w:rsidRPr="00EB3D1B" w:rsidRDefault="00B728D6" w:rsidP="008A36CF">
            <w:pPr>
              <w:pStyle w:val="Tablefont"/>
              <w:rPr>
                <w:b/>
              </w:rPr>
            </w:pPr>
            <w:r>
              <w:rPr>
                <w:b/>
              </w:rPr>
              <w:t>DSEN</w:t>
            </w:r>
          </w:p>
        </w:tc>
      </w:tr>
      <w:tr w:rsidR="002C7AFE" w:rsidRPr="004C23F4" w14:paraId="0B9F9BE2" w14:textId="77777777" w:rsidTr="00007FBC">
        <w:trPr>
          <w:cantSplit/>
        </w:trPr>
        <w:tc>
          <w:tcPr>
            <w:tcW w:w="4005" w:type="dxa"/>
            <w:vAlign w:val="center"/>
          </w:tcPr>
          <w:p w14:paraId="1CDAB919" w14:textId="77777777" w:rsidR="00F10C97" w:rsidRPr="002C58FF" w:rsidRDefault="00921DE7" w:rsidP="009F04D2">
            <w:pPr>
              <w:pStyle w:val="Tablerowright"/>
            </w:pPr>
            <w:r>
              <w:t>IDLH:</w:t>
            </w:r>
          </w:p>
        </w:tc>
        <w:tc>
          <w:tcPr>
            <w:tcW w:w="5021" w:type="dxa"/>
          </w:tcPr>
          <w:p w14:paraId="0DFBB01A" w14:textId="6C1DDA71" w:rsidR="002C7AFE" w:rsidRPr="00EB3D1B" w:rsidRDefault="004C4971" w:rsidP="00017C82">
            <w:pPr>
              <w:pStyle w:val="Tablefont"/>
              <w:rPr>
                <w:b/>
              </w:rPr>
            </w:pPr>
            <w:r>
              <w:rPr>
                <w:b/>
              </w:rPr>
              <w:t>300 ppm</w:t>
            </w:r>
          </w:p>
        </w:tc>
      </w:tr>
      <w:tr w:rsidR="00007FBC" w:rsidRPr="004C23F4" w14:paraId="60328B82" w14:textId="77777777" w:rsidTr="00F85BCE">
        <w:trPr>
          <w:cantSplit/>
        </w:trPr>
        <w:tc>
          <w:tcPr>
            <w:tcW w:w="9026" w:type="dxa"/>
            <w:gridSpan w:val="2"/>
            <w:vAlign w:val="center"/>
          </w:tcPr>
          <w:p w14:paraId="7DD7F081" w14:textId="44717431" w:rsidR="00007FBC" w:rsidRPr="00EB3D1B" w:rsidRDefault="00007FBC" w:rsidP="00007FBC">
            <w:pPr>
              <w:pStyle w:val="Tablefont"/>
              <w:rPr>
                <w:b/>
              </w:rPr>
            </w:pPr>
            <w:r w:rsidRPr="00DE6F02">
              <w:rPr>
                <w:b/>
              </w:rPr>
              <w:t>Sampling and analysis:</w:t>
            </w:r>
            <w:r w:rsidRPr="00EC521E">
              <w:rPr>
                <w:rStyle w:val="WESstatus"/>
                <w:color w:val="auto"/>
              </w:rPr>
              <w:t xml:space="preserve"> </w:t>
            </w:r>
            <w:sdt>
              <w:sdtPr>
                <w:rPr>
                  <w:rStyle w:val="WESstatus"/>
                  <w:color w:val="auto"/>
                </w:rPr>
                <w:id w:val="-2105258949"/>
                <w:placeholder>
                  <w:docPart w:val="ECFE69B569D14800A5DC51EA4634AE42"/>
                </w:placeholder>
                <w:comboBox>
                  <w:listItem w:displayText="(Click here to enter)" w:value="(Click here to enter)"/>
                  <w:listItem w:displayText="The recommended value is likely to be below the current limit of detection for standard sampling and analysis techniques." w:value="The recommended value is likely to be below the current limit of detection for standard sampling and analysis techniques."/>
                  <w:listItem w:displayText="The recommended value is quantifiable through available sampling and analysis techniques. " w:value="The recommended value is quantifiable through available sampling and analysis techniques. "/>
                  <w:listItem w:displayText="There is uncertainty regarding quantification of the recommended value with available sampling and/or analysis techniques." w:value="There is uncertainty regarding quantification of the recommended value with available sampling and/or analysis techniques."/>
                </w:comboBox>
              </w:sdtPr>
              <w:sdtEndPr>
                <w:rPr>
                  <w:rStyle w:val="WESstatus"/>
                </w:rPr>
              </w:sdtEndPr>
              <w:sdtContent>
                <w:r w:rsidRPr="00DE6F02">
                  <w:rPr>
                    <w:rStyle w:val="WESstatus"/>
                    <w:color w:val="auto"/>
                  </w:rPr>
                  <w:t xml:space="preserve">The recommended value is quantifiable through available sampling and analysis techniques. </w:t>
                </w:r>
              </w:sdtContent>
            </w:sdt>
          </w:p>
        </w:tc>
      </w:tr>
    </w:tbl>
    <w:p w14:paraId="0E1EE3CE" w14:textId="77777777" w:rsidR="00CB1CB1" w:rsidRPr="003365A5" w:rsidRDefault="00F10C97" w:rsidP="003365A5">
      <w:pPr>
        <w:pStyle w:val="Heading2"/>
      </w:pPr>
      <w:r>
        <w:t>Recommendation and basis for workplace exposure standard</w:t>
      </w:r>
    </w:p>
    <w:p w14:paraId="777F4DED" w14:textId="0EF65005" w:rsidR="00FF43C2" w:rsidRDefault="00FF43C2" w:rsidP="00FF43C2">
      <w:pPr>
        <w:rPr>
          <w:rFonts w:cs="Arial"/>
        </w:rPr>
      </w:pPr>
      <w:r>
        <w:rPr>
          <w:rFonts w:cs="Arial"/>
        </w:rPr>
        <w:t>The TWA of 2 ppm (8.31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) is recommended </w:t>
      </w:r>
      <w:r>
        <w:t>to protect for irritation of the eyes, nose and upper airways in exposed workers</w:t>
      </w:r>
      <w:r w:rsidR="00C14A41">
        <w:t>.</w:t>
      </w:r>
    </w:p>
    <w:p w14:paraId="69DD6B3D" w14:textId="5A342244" w:rsidR="00FF43C2" w:rsidRPr="004C23F4" w:rsidRDefault="00FF43C2" w:rsidP="00FF43C2">
      <w:pPr>
        <w:rPr>
          <w:rFonts w:cs="Arial"/>
        </w:rPr>
      </w:pPr>
      <w:r>
        <w:rPr>
          <w:rFonts w:cs="Arial"/>
        </w:rPr>
        <w:t xml:space="preserve">The STEL of </w:t>
      </w:r>
      <w:r w:rsidR="00E30941">
        <w:rPr>
          <w:rFonts w:cs="Arial"/>
        </w:rPr>
        <w:t xml:space="preserve">5 </w:t>
      </w:r>
      <w:r>
        <w:rPr>
          <w:rFonts w:cs="Arial"/>
        </w:rPr>
        <w:t>ppm (</w:t>
      </w:r>
      <w:r w:rsidR="00E30941">
        <w:rPr>
          <w:rFonts w:cs="Arial"/>
        </w:rPr>
        <w:t>20</w:t>
      </w:r>
      <w:r>
        <w:rPr>
          <w:rFonts w:cs="Arial"/>
        </w:rPr>
        <w:t xml:space="preserve"> mg/m</w:t>
      </w:r>
      <w:r>
        <w:rPr>
          <w:rFonts w:cs="Arial"/>
          <w:vertAlign w:val="superscript"/>
        </w:rPr>
        <w:t>3</w:t>
      </w:r>
      <w:r>
        <w:rPr>
          <w:rFonts w:cs="Arial"/>
        </w:rPr>
        <w:t xml:space="preserve">) is recommended </w:t>
      </w:r>
      <w:r>
        <w:t>to protect for</w:t>
      </w:r>
      <w:r w:rsidR="00330FB8">
        <w:t xml:space="preserve"> acute</w:t>
      </w:r>
      <w:r>
        <w:t xml:space="preserve"> irritation of the eyes, nose and upper airways in exposed workers.</w:t>
      </w:r>
    </w:p>
    <w:p w14:paraId="320B7843" w14:textId="77777777" w:rsidR="00C7155E" w:rsidRPr="004C23F4" w:rsidRDefault="00F10C97" w:rsidP="003365A5">
      <w:pPr>
        <w:pStyle w:val="Heading2"/>
      </w:pPr>
      <w:r>
        <w:t>Discussion and conclusions</w:t>
      </w:r>
    </w:p>
    <w:p w14:paraId="39EBF7FE" w14:textId="77777777" w:rsidR="00240342" w:rsidRDefault="00240342" w:rsidP="00240342">
      <w:pPr>
        <w:pStyle w:val="Tabletextprimarysource"/>
      </w:pPr>
      <w:r>
        <w:t>Ethyl acrylate is used to make acrylic resins and as emulsion and solution polymers for surface</w:t>
      </w:r>
    </w:p>
    <w:p w14:paraId="24E78BB7" w14:textId="478FB148" w:rsidR="00330FB8" w:rsidRDefault="00240342" w:rsidP="00240342">
      <w:proofErr w:type="gramStart"/>
      <w:r>
        <w:t>coating</w:t>
      </w:r>
      <w:proofErr w:type="gramEnd"/>
      <w:r>
        <w:t xml:space="preserve"> textiles, paper and leather. It is also used in the production of acrylic fibres, adhesives and binders. </w:t>
      </w:r>
    </w:p>
    <w:p w14:paraId="61E0F009" w14:textId="24D59031" w:rsidR="002C165A" w:rsidRDefault="00DE6F02" w:rsidP="002C165A">
      <w:r>
        <w:t>Critical effects include strong irrita</w:t>
      </w:r>
      <w:r w:rsidR="00330FB8">
        <w:t>tion</w:t>
      </w:r>
      <w:r>
        <w:t xml:space="preserve"> of</w:t>
      </w:r>
      <w:r w:rsidR="002168C8">
        <w:t xml:space="preserve"> the</w:t>
      </w:r>
      <w:r w:rsidR="00240342">
        <w:t xml:space="preserve"> eyes, skin and nose </w:t>
      </w:r>
      <w:r w:rsidR="002168C8">
        <w:t>as well as</w:t>
      </w:r>
      <w:r w:rsidR="00240342">
        <w:t xml:space="preserve"> skin </w:t>
      </w:r>
      <w:r>
        <w:t xml:space="preserve">sensitisation </w:t>
      </w:r>
      <w:r w:rsidR="00240342">
        <w:t>(ACGIH, 2018).</w:t>
      </w:r>
      <w:r w:rsidR="00330FB8">
        <w:t xml:space="preserve"> </w:t>
      </w:r>
      <w:r w:rsidR="00240342">
        <w:t xml:space="preserve">A </w:t>
      </w:r>
      <w:r w:rsidR="00344C58">
        <w:t xml:space="preserve">NOAEC of 2.5 ppm and LOAEC of 5 ppm for eye and nose irritation were reported in a </w:t>
      </w:r>
      <w:r w:rsidR="00240342">
        <w:t xml:space="preserve">study in volunteers involving five single </w:t>
      </w:r>
      <w:r w:rsidR="00C77CEB">
        <w:t>four</w:t>
      </w:r>
      <w:r w:rsidR="00E63843">
        <w:t>-</w:t>
      </w:r>
      <w:r w:rsidR="00240342">
        <w:t>h</w:t>
      </w:r>
      <w:r w:rsidR="00C77CEB">
        <w:t>ou</w:t>
      </w:r>
      <w:r w:rsidR="00240342">
        <w:t>r exposures</w:t>
      </w:r>
      <w:r w:rsidR="002C165A">
        <w:t xml:space="preserve">, with peaks of 10 ppm. Extended inhalation exposure </w:t>
      </w:r>
      <w:r w:rsidR="00330FB8">
        <w:t>at</w:t>
      </w:r>
      <w:r w:rsidR="002C165A">
        <w:t xml:space="preserve"> 50 to 75 ppm </w:t>
      </w:r>
      <w:r w:rsidR="00344C58">
        <w:t xml:space="preserve">caused </w:t>
      </w:r>
      <w:r w:rsidR="002C165A">
        <w:t>drowsiness, headache and nausea in workers. Positive results for skin sensitisation</w:t>
      </w:r>
      <w:r w:rsidR="002168C8">
        <w:t xml:space="preserve"> are seen</w:t>
      </w:r>
      <w:r w:rsidR="002C165A">
        <w:t xml:space="preserve"> in humans following dermal application (ACGIH, 2018; DFG, 2015).</w:t>
      </w:r>
      <w:r w:rsidR="00FC32C9">
        <w:t xml:space="preserve"> </w:t>
      </w:r>
      <w:r w:rsidR="002168C8">
        <w:t xml:space="preserve">Reported studies note that </w:t>
      </w:r>
      <w:r w:rsidR="002168C8">
        <w:rPr>
          <w:rStyle w:val="checkbox"/>
          <w:rFonts w:ascii="Arial" w:hAnsi="Arial" w:cs="Arial"/>
        </w:rPr>
        <w:t>v</w:t>
      </w:r>
      <w:r w:rsidR="00FC32C9">
        <w:rPr>
          <w:rStyle w:val="checkbox"/>
          <w:rFonts w:ascii="Arial" w:hAnsi="Arial" w:cs="Arial"/>
        </w:rPr>
        <w:t xml:space="preserve">apour </w:t>
      </w:r>
      <w:r w:rsidR="00FC32C9" w:rsidRPr="0016712C">
        <w:rPr>
          <w:rStyle w:val="checkbox"/>
          <w:rFonts w:ascii="Arial" w:hAnsi="Arial" w:cs="Arial"/>
        </w:rPr>
        <w:t xml:space="preserve">can be </w:t>
      </w:r>
      <w:r w:rsidR="002168C8">
        <w:rPr>
          <w:rStyle w:val="checkbox"/>
          <w:rFonts w:ascii="Arial" w:hAnsi="Arial" w:cs="Arial"/>
        </w:rPr>
        <w:t>‘</w:t>
      </w:r>
      <w:r w:rsidR="00FC32C9" w:rsidRPr="0016712C">
        <w:rPr>
          <w:rStyle w:val="checkbox"/>
          <w:rFonts w:ascii="Arial" w:hAnsi="Arial" w:cs="Arial"/>
        </w:rPr>
        <w:t>very irritating' at concentrations of 4</w:t>
      </w:r>
      <w:r w:rsidR="002168C8">
        <w:rPr>
          <w:rStyle w:val="checkbox"/>
          <w:rFonts w:ascii="Arial" w:hAnsi="Arial" w:cs="Arial"/>
        </w:rPr>
        <w:t xml:space="preserve"> to </w:t>
      </w:r>
      <w:r w:rsidR="00FC32C9" w:rsidRPr="0016712C">
        <w:rPr>
          <w:rStyle w:val="checkbox"/>
          <w:rFonts w:ascii="Arial" w:hAnsi="Arial" w:cs="Arial"/>
        </w:rPr>
        <w:t>5</w:t>
      </w:r>
      <w:r w:rsidR="002168C8">
        <w:rPr>
          <w:rStyle w:val="checkbox"/>
          <w:rFonts w:ascii="Arial" w:hAnsi="Arial" w:cs="Arial"/>
        </w:rPr>
        <w:t> </w:t>
      </w:r>
      <w:r w:rsidR="00FC32C9" w:rsidRPr="0016712C">
        <w:rPr>
          <w:rStyle w:val="checkbox"/>
          <w:rFonts w:ascii="Arial" w:hAnsi="Arial" w:cs="Arial"/>
        </w:rPr>
        <w:t>ppm</w:t>
      </w:r>
      <w:r w:rsidR="00FC32C9">
        <w:rPr>
          <w:rStyle w:val="checkbox"/>
          <w:rFonts w:ascii="Arial" w:hAnsi="Arial" w:cs="Arial"/>
        </w:rPr>
        <w:t xml:space="preserve"> (NICNAS, 2015)</w:t>
      </w:r>
      <w:r w:rsidR="00B2091C">
        <w:rPr>
          <w:rStyle w:val="checkbox"/>
          <w:rFonts w:ascii="Arial" w:hAnsi="Arial" w:cs="Arial"/>
        </w:rPr>
        <w:t>.</w:t>
      </w:r>
    </w:p>
    <w:p w14:paraId="7D117282" w14:textId="3980B980" w:rsidR="006639B4" w:rsidRPr="004C23F4" w:rsidRDefault="00FC32C9" w:rsidP="006639B4">
      <w:pPr>
        <w:rPr>
          <w:rFonts w:cs="Arial"/>
        </w:rPr>
      </w:pPr>
      <w:r>
        <w:t xml:space="preserve">Based on the reported NOAEC of 2.5 ppm </w:t>
      </w:r>
      <w:r w:rsidR="00E63843">
        <w:t>in volunteers</w:t>
      </w:r>
      <w:r w:rsidR="002B2E1D">
        <w:t xml:space="preserve"> (DFG, 2015)</w:t>
      </w:r>
      <w:r w:rsidR="00737E13">
        <w:t>,</w:t>
      </w:r>
      <w:r w:rsidR="00E63843">
        <w:t xml:space="preserve"> </w:t>
      </w:r>
      <w:r>
        <w:t xml:space="preserve">a TWA of 2 ppm is recommended. </w:t>
      </w:r>
      <w:r w:rsidR="00344C58">
        <w:t>A STEL of 5 ppm is recommended based on e</w:t>
      </w:r>
      <w:r>
        <w:t>vidence of</w:t>
      </w:r>
      <w:r w:rsidR="00E30941">
        <w:t xml:space="preserve"> irritation effects associated with peaks in exposure at 10 ppm.</w:t>
      </w:r>
      <w:r>
        <w:t xml:space="preserve"> </w:t>
      </w:r>
    </w:p>
    <w:p w14:paraId="2162F311" w14:textId="77777777" w:rsidR="004529F0" w:rsidRPr="004C23F4" w:rsidRDefault="004529F0" w:rsidP="004529F0">
      <w:pPr>
        <w:pStyle w:val="Heading2"/>
      </w:pPr>
      <w:r>
        <w:t>Recommendation for notations</w:t>
      </w:r>
    </w:p>
    <w:p w14:paraId="0FC3F2A6" w14:textId="1B7EBAEC" w:rsidR="0006464C" w:rsidRPr="00A70823" w:rsidRDefault="0006464C" w:rsidP="0006464C">
      <w:pPr>
        <w:rPr>
          <w:rFonts w:cs="Arial"/>
        </w:rPr>
      </w:pPr>
      <w:r w:rsidRPr="00A70823">
        <w:rPr>
          <w:rFonts w:cs="Arial"/>
        </w:rPr>
        <w:t xml:space="preserve">Not classified as a carcinogen according to the Globally Harmonized System of Classification and Labelling </w:t>
      </w:r>
      <w:r w:rsidR="00394CFF" w:rsidRPr="00A70823">
        <w:rPr>
          <w:rFonts w:cs="Arial"/>
        </w:rPr>
        <w:t>o</w:t>
      </w:r>
      <w:r w:rsidR="00394CFF">
        <w:rPr>
          <w:rFonts w:cs="Arial"/>
        </w:rPr>
        <w:t>f</w:t>
      </w:r>
      <w:r w:rsidR="00394CFF" w:rsidRPr="00A70823">
        <w:rPr>
          <w:rFonts w:cs="Arial"/>
        </w:rPr>
        <w:t xml:space="preserve"> </w:t>
      </w:r>
      <w:r w:rsidRPr="00A70823">
        <w:rPr>
          <w:rFonts w:cs="Arial"/>
        </w:rPr>
        <w:t xml:space="preserve">Chemicals (GHS). </w:t>
      </w:r>
    </w:p>
    <w:p w14:paraId="6B40777C" w14:textId="3911E690" w:rsidR="0006464C" w:rsidRPr="00A70823" w:rsidRDefault="00B728D6" w:rsidP="0006464C">
      <w:pPr>
        <w:rPr>
          <w:rFonts w:cs="Arial"/>
        </w:rPr>
      </w:pPr>
      <w:r>
        <w:rPr>
          <w:rFonts w:cs="Arial"/>
        </w:rPr>
        <w:lastRenderedPageBreak/>
        <w:t>C</w:t>
      </w:r>
      <w:r w:rsidR="0006464C" w:rsidRPr="00A70823">
        <w:rPr>
          <w:rFonts w:cs="Arial"/>
        </w:rPr>
        <w:t>lassified as a skin</w:t>
      </w:r>
      <w:r>
        <w:rPr>
          <w:rFonts w:cs="Arial"/>
        </w:rPr>
        <w:t xml:space="preserve"> sensitiser </w:t>
      </w:r>
      <w:r w:rsidR="00330FB8">
        <w:rPr>
          <w:rFonts w:cs="Arial"/>
        </w:rPr>
        <w:t>and</w:t>
      </w:r>
      <w:r>
        <w:rPr>
          <w:rFonts w:cs="Arial"/>
        </w:rPr>
        <w:t xml:space="preserve"> not a</w:t>
      </w:r>
      <w:r w:rsidR="0006464C" w:rsidRPr="00A70823">
        <w:rPr>
          <w:rFonts w:cs="Arial"/>
        </w:rPr>
        <w:t xml:space="preserve"> respiratory sensitiser according to the GHS.</w:t>
      </w:r>
    </w:p>
    <w:p w14:paraId="2334BE32" w14:textId="01925A66" w:rsidR="0006464C" w:rsidRPr="004C23F4" w:rsidRDefault="00B728D6" w:rsidP="0006464C">
      <w:pPr>
        <w:rPr>
          <w:rFonts w:cs="Arial"/>
        </w:rPr>
      </w:pPr>
      <w:r>
        <w:rPr>
          <w:rFonts w:cs="Arial"/>
        </w:rPr>
        <w:t xml:space="preserve">A skin notation is not </w:t>
      </w:r>
      <w:r w:rsidR="00330FB8">
        <w:rPr>
          <w:rFonts w:cs="Arial"/>
        </w:rPr>
        <w:t>recommended</w:t>
      </w:r>
      <w:r>
        <w:rPr>
          <w:rFonts w:cs="Arial"/>
        </w:rPr>
        <w:t xml:space="preserve"> based on information in animals.</w:t>
      </w:r>
    </w:p>
    <w:p w14:paraId="49010E36" w14:textId="77777777" w:rsidR="0025734A" w:rsidRPr="004C23F4" w:rsidRDefault="0025734A">
      <w:pPr>
        <w:rPr>
          <w:rFonts w:cs="Arial"/>
        </w:rPr>
      </w:pPr>
    </w:p>
    <w:p w14:paraId="112AEACF" w14:textId="77777777" w:rsidR="005E6979" w:rsidRPr="004C23F4" w:rsidRDefault="005E6979">
      <w:pPr>
        <w:rPr>
          <w:rFonts w:cs="Arial"/>
        </w:rPr>
        <w:sectPr w:rsidR="005E6979" w:rsidRPr="004C23F4" w:rsidSect="00B479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985" w:right="1440" w:bottom="1440" w:left="1440" w:header="708" w:footer="283" w:gutter="0"/>
          <w:cols w:space="708"/>
          <w:docGrid w:linePitch="360"/>
        </w:sectPr>
      </w:pPr>
    </w:p>
    <w:p w14:paraId="367ECF95" w14:textId="77777777" w:rsidR="0034744C" w:rsidRPr="004C23F4" w:rsidRDefault="005E6979" w:rsidP="005E6979">
      <w:pPr>
        <w:pStyle w:val="Heading1"/>
        <w:rPr>
          <w:rFonts w:ascii="Arial" w:hAnsi="Arial" w:cs="Arial"/>
        </w:rPr>
      </w:pPr>
      <w:r w:rsidRPr="004C23F4">
        <w:rPr>
          <w:rFonts w:ascii="Arial" w:hAnsi="Arial" w:cs="Arial"/>
        </w:rPr>
        <w:lastRenderedPageBreak/>
        <w:t>Appendix</w:t>
      </w:r>
    </w:p>
    <w:p w14:paraId="39EE4C70" w14:textId="77777777" w:rsidR="008D026D" w:rsidRPr="003365A5" w:rsidRDefault="00B479A9" w:rsidP="003365A5">
      <w:pPr>
        <w:pStyle w:val="Heading3"/>
      </w:pPr>
      <w:r w:rsidRPr="003365A5">
        <w:t>Primary sources with reports</w:t>
      </w:r>
    </w:p>
    <w:tbl>
      <w:tblPr>
        <w:tblStyle w:val="LightList"/>
        <w:tblW w:w="5008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none" w:sz="0" w:space="0" w:color="auto"/>
        </w:tblBorders>
        <w:tblLayout w:type="fixed"/>
        <w:tblLook w:val="0600" w:firstRow="0" w:lastRow="0" w:firstColumn="0" w:lastColumn="0" w:noHBand="1" w:noVBand="1"/>
        <w:tblCaption w:val="Table"/>
        <w:tblDescription w:val="Listing primary sources with reports"/>
      </w:tblPr>
      <w:tblGrid>
        <w:gridCol w:w="9006"/>
        <w:gridCol w:w="14"/>
      </w:tblGrid>
      <w:tr w:rsidR="00C978F0" w:rsidRPr="00DA352E" w14:paraId="7940718C" w14:textId="77777777" w:rsidTr="00DE26E8">
        <w:trPr>
          <w:gridAfter w:val="1"/>
          <w:wAfter w:w="8" w:type="pct"/>
          <w:cantSplit/>
          <w:trHeight w:val="393"/>
          <w:tblHeader/>
        </w:trPr>
        <w:tc>
          <w:tcPr>
            <w:tcW w:w="4992" w:type="pct"/>
            <w:shd w:val="clear" w:color="auto" w:fill="BFBFBF" w:themeFill="background1" w:themeFillShade="BF"/>
            <w:vAlign w:val="center"/>
          </w:tcPr>
          <w:p w14:paraId="05F73F34" w14:textId="77777777" w:rsidR="00C978F0" w:rsidRPr="00DA352E" w:rsidRDefault="00C978F0" w:rsidP="00C67FFB">
            <w:pPr>
              <w:pStyle w:val="Tableheader"/>
              <w:tabs>
                <w:tab w:val="left" w:pos="1418"/>
                <w:tab w:val="left" w:pos="2552"/>
                <w:tab w:val="right" w:pos="8489"/>
              </w:tabs>
            </w:pPr>
            <w:r w:rsidRPr="00DA352E">
              <w:t>Source</w:t>
            </w:r>
            <w:r w:rsidR="00DA352E">
              <w:tab/>
              <w:t>Year set</w:t>
            </w:r>
            <w:r w:rsidR="00DA352E">
              <w:tab/>
              <w:t>Standard</w:t>
            </w:r>
            <w:r w:rsidR="00974F2D">
              <w:tab/>
            </w:r>
          </w:p>
        </w:tc>
      </w:tr>
      <w:tr w:rsidR="00DE26E8" w:rsidRPr="003365A5" w14:paraId="17CEBE37" w14:textId="77777777" w:rsidTr="00DE26E8">
        <w:trPr>
          <w:cantSplit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14:paraId="385108E3" w14:textId="539A73B2" w:rsidR="00DE26E8" w:rsidRPr="003365A5" w:rsidRDefault="00DE26E8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3365A5">
              <w:t>SWA</w:t>
            </w:r>
            <w:r w:rsidRPr="003365A5">
              <w:tab/>
            </w:r>
            <w:sdt>
              <w:sdtPr>
                <w:id w:val="-2034099983"/>
                <w:placeholder>
                  <w:docPart w:val="0A35AF4547E94E219E26BC12DBC33282"/>
                </w:placeholder>
                <w:text/>
              </w:sdtPr>
              <w:sdtEndPr/>
              <w:sdtContent>
                <w:r w:rsidR="004C4971">
                  <w:t>1991</w:t>
                </w:r>
              </w:sdtContent>
            </w:sdt>
            <w:r w:rsidRPr="003365A5">
              <w:tab/>
            </w:r>
            <w:r>
              <w:tab/>
            </w:r>
            <w:sdt>
              <w:sdtPr>
                <w:alias w:val="SWA WES"/>
                <w:tag w:val="SWA WES"/>
                <w:id w:val="857077202"/>
                <w:placeholder>
                  <w:docPart w:val="81CFEC2FDBC5451289F394E66D92D1A0"/>
                </w:placeholder>
              </w:sdtPr>
              <w:sdtEndPr/>
              <w:sdtContent>
                <w:r w:rsidR="004C4971">
                  <w:t>TWA Peak limitation: 5 ppm (20 mg/m</w:t>
                </w:r>
                <w:r w:rsidR="004C4971" w:rsidRPr="004C4971">
                  <w:rPr>
                    <w:vertAlign w:val="superscript"/>
                  </w:rPr>
                  <w:t>3</w:t>
                </w:r>
                <w:r w:rsidR="004C4971">
                  <w:t>)</w:t>
                </w:r>
              </w:sdtContent>
            </w:sdt>
          </w:p>
        </w:tc>
      </w:tr>
      <w:tr w:rsidR="00C978F0" w:rsidRPr="00DA352E" w14:paraId="241329ED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7163FDF9" w14:textId="77777777" w:rsidR="00C978F0" w:rsidRPr="00DA352E" w:rsidRDefault="00C978F0" w:rsidP="003365A5">
            <w:pPr>
              <w:pStyle w:val="Tabletextprimarysource"/>
            </w:pPr>
          </w:p>
        </w:tc>
      </w:tr>
      <w:tr w:rsidR="00C978F0" w:rsidRPr="00DA352E" w14:paraId="36D59A66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0E3C354E" w14:textId="391D6A90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ACGIH</w:t>
            </w:r>
            <w:r w:rsidR="00916EC0">
              <w:t xml:space="preserve"> </w:t>
            </w:r>
            <w:r w:rsidR="00916EC0" w:rsidRPr="003365A5">
              <w:tab/>
            </w:r>
            <w:sdt>
              <w:sdtPr>
                <w:id w:val="444816450"/>
                <w:placeholder>
                  <w:docPart w:val="C8FBF9621EB94FE084F687C8955AF85F"/>
                </w:placeholder>
                <w:text/>
              </w:sdtPr>
              <w:sdtEndPr/>
              <w:sdtContent>
                <w:r w:rsidR="004C4971">
                  <w:t>2001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ACGIH WES equivalent"/>
                <w:tag w:val="ACGIH WES equivalent"/>
                <w:id w:val="-1676410403"/>
                <w:placeholder>
                  <w:docPart w:val="522022AAE76B4622AC0DF750489702EB"/>
                </w:placeholder>
              </w:sdtPr>
              <w:sdtEndPr/>
              <w:sdtContent>
                <w:r w:rsidR="004C4971">
                  <w:t>TLV-TWA: 5 ppm (21 mg/m</w:t>
                </w:r>
                <w:r w:rsidR="004C4971" w:rsidRPr="004C4971">
                  <w:rPr>
                    <w:vertAlign w:val="superscript"/>
                  </w:rPr>
                  <w:t>3</w:t>
                </w:r>
                <w:r w:rsidR="004C4971">
                  <w:t>); TLV-STEL: 15 ppm (61 mg/m</w:t>
                </w:r>
                <w:r w:rsidR="004C4971" w:rsidRPr="004C4971">
                  <w:rPr>
                    <w:vertAlign w:val="superscript"/>
                  </w:rPr>
                  <w:t>3</w:t>
                </w:r>
                <w:r w:rsidR="004C4971">
                  <w:t>)</w:t>
                </w:r>
              </w:sdtContent>
            </w:sdt>
          </w:p>
        </w:tc>
      </w:tr>
      <w:tr w:rsidR="00C978F0" w:rsidRPr="00DA352E" w14:paraId="45350562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B7FCBED" w14:textId="367726A0" w:rsidR="00C978F0" w:rsidRDefault="00EC0AB3" w:rsidP="003365A5">
            <w:pPr>
              <w:pStyle w:val="Tabletextprimarysource"/>
            </w:pPr>
            <w:r>
              <w:t>TLV-TWA recommended to minimise the potential for eye, skin, muc</w:t>
            </w:r>
            <w:r w:rsidR="00330FB8">
              <w:t>ous membrane, respiratory tract</w:t>
            </w:r>
            <w:r>
              <w:t xml:space="preserve"> and </w:t>
            </w:r>
            <w:r w:rsidR="00330FB8">
              <w:t>GIT</w:t>
            </w:r>
            <w:r>
              <w:t xml:space="preserve"> irritation.</w:t>
            </w:r>
          </w:p>
          <w:p w14:paraId="432E2374" w14:textId="23A08E89" w:rsidR="00EC0AB3" w:rsidRDefault="00EC0AB3" w:rsidP="003365A5">
            <w:pPr>
              <w:pStyle w:val="Tabletextprimarysource"/>
            </w:pPr>
            <w:r>
              <w:t>TLV-STEL recommended to provide an additional measure of protection against irritant effects and possible sensitisation</w:t>
            </w:r>
            <w:r w:rsidR="004F6F06">
              <w:t xml:space="preserve"> (no further explanation of derivation of TLV-TWA and TLV-STEL).</w:t>
            </w:r>
          </w:p>
          <w:p w14:paraId="660D420C" w14:textId="77777777" w:rsidR="00EC0AB3" w:rsidRDefault="00EC0AB3" w:rsidP="003365A5">
            <w:pPr>
              <w:pStyle w:val="Tabletextprimarysource"/>
            </w:pPr>
            <w:r>
              <w:t>Summary of data:</w:t>
            </w:r>
          </w:p>
          <w:p w14:paraId="7169792B" w14:textId="77777777" w:rsidR="00355E00" w:rsidRDefault="00355E00" w:rsidP="00355E00">
            <w:pPr>
              <w:pStyle w:val="Tabletextprimarysource"/>
            </w:pPr>
            <w:r>
              <w:t>Human data:</w:t>
            </w:r>
          </w:p>
          <w:p w14:paraId="66A26509" w14:textId="2E291B8A" w:rsidR="00355E00" w:rsidRDefault="00DC0F84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</w:t>
            </w:r>
            <w:r w:rsidR="00355E00">
              <w:t xml:space="preserve">trong skin, mucous membrane, eye, </w:t>
            </w:r>
            <w:r w:rsidR="00330FB8">
              <w:t>GIT</w:t>
            </w:r>
            <w:r w:rsidR="00355E00">
              <w:t xml:space="preserve"> and respiratory tract irritant</w:t>
            </w:r>
          </w:p>
          <w:p w14:paraId="4B1E9ADC" w14:textId="2F277DF5" w:rsidR="00355E00" w:rsidRDefault="00355E00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Ext</w:t>
            </w:r>
            <w:r w:rsidR="00DC0F84">
              <w:t>ended inhalation exposure to 50</w:t>
            </w:r>
            <w:r w:rsidR="00E63843">
              <w:t>–</w:t>
            </w:r>
            <w:r>
              <w:t>75 ppm produced drowsiness, headache and nausea</w:t>
            </w:r>
            <w:r w:rsidR="00E455FA">
              <w:t>; no further information</w:t>
            </w:r>
          </w:p>
          <w:p w14:paraId="30E589CF" w14:textId="3C8C76C8" w:rsidR="00E455FA" w:rsidRDefault="00E455FA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Skin sensitisation reactions in 10 of 24 volunteers after application of 4% in petroleum jelly</w:t>
            </w:r>
            <w:r w:rsidR="00C63FA1">
              <w:t>.</w:t>
            </w:r>
          </w:p>
          <w:p w14:paraId="4B638D02" w14:textId="77777777" w:rsidR="00E455FA" w:rsidRDefault="00E455FA" w:rsidP="00E455FA">
            <w:pPr>
              <w:pStyle w:val="Tabletextprimarysource"/>
            </w:pPr>
            <w:r>
              <w:t>Animal data:</w:t>
            </w:r>
          </w:p>
          <w:p w14:paraId="4F6205E4" w14:textId="42C0AB37" w:rsidR="00E455FA" w:rsidRDefault="00E455FA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LC</w:t>
            </w:r>
            <w:r>
              <w:rPr>
                <w:vertAlign w:val="subscript"/>
              </w:rPr>
              <w:t>50</w:t>
            </w:r>
            <w:r w:rsidR="00847763">
              <w:rPr>
                <w:vertAlign w:val="subscript"/>
              </w:rPr>
              <w:t xml:space="preserve">: </w:t>
            </w:r>
            <w:r>
              <w:t xml:space="preserve">1,000 </w:t>
            </w:r>
            <w:r w:rsidR="00847763">
              <w:t>ppm (</w:t>
            </w:r>
            <w:r>
              <w:t>rats</w:t>
            </w:r>
            <w:r w:rsidR="00847763">
              <w:t>, 4 h)</w:t>
            </w:r>
          </w:p>
          <w:p w14:paraId="2CAB82F3" w14:textId="32230DA6" w:rsidR="00E455FA" w:rsidRDefault="00E455FA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LD</w:t>
            </w:r>
            <w:r w:rsidR="00DC0F84">
              <w:rPr>
                <w:vertAlign w:val="subscript"/>
              </w:rPr>
              <w:t xml:space="preserve">50: </w:t>
            </w:r>
            <w:r w:rsidR="00DC0F84">
              <w:t>1,790 mg/kg (</w:t>
            </w:r>
            <w:r>
              <w:t>rabbits</w:t>
            </w:r>
            <w:r w:rsidR="00DC0F84">
              <w:t>, dermal)</w:t>
            </w:r>
          </w:p>
          <w:p w14:paraId="1FCC7028" w14:textId="1917F340" w:rsidR="00E455FA" w:rsidRDefault="00330FB8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Rats exposed at</w:t>
            </w:r>
            <w:r w:rsidR="00E455FA">
              <w:t xml:space="preserve"> 300 or 540 ppm died </w:t>
            </w:r>
            <w:r w:rsidR="00DC0F84">
              <w:t>&lt;</w:t>
            </w:r>
            <w:r w:rsidR="00E455FA">
              <w:t>30 d; demonstrated histopathologic changes consisting of pulmonary congestion, cloudy swelling and congestion of the liver, cloudy swelling of the renal tubules and excessive pigmentation of the spleen</w:t>
            </w:r>
          </w:p>
          <w:p w14:paraId="1584D4EB" w14:textId="58E83A4E" w:rsidR="00330FB8" w:rsidRDefault="00330FB8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Mice exposed at</w:t>
            </w:r>
            <w:r w:rsidR="00D00426">
              <w:t xml:space="preserve"> 75 ppm or 225 ppm for 6 h/d for 30</w:t>
            </w:r>
            <w:r w:rsidR="00C77CEB">
              <w:t xml:space="preserve"> </w:t>
            </w:r>
            <w:r w:rsidR="00D00426">
              <w:t xml:space="preserve">d displayed depression in </w:t>
            </w:r>
            <w:r w:rsidR="00344C58">
              <w:t xml:space="preserve">body weight </w:t>
            </w:r>
            <w:r w:rsidR="00D00426">
              <w:t>gain</w:t>
            </w:r>
            <w:r>
              <w:t xml:space="preserve"> and degenerative, inflammatory</w:t>
            </w:r>
            <w:r w:rsidR="00D00426">
              <w:t xml:space="preserve"> and metaplastic histopathologic c</w:t>
            </w:r>
            <w:r>
              <w:t>hanges in the nasal turbinates</w:t>
            </w:r>
          </w:p>
          <w:p w14:paraId="450AE652" w14:textId="33DA28BA" w:rsidR="00D00426" w:rsidRDefault="00D00426" w:rsidP="004F6F06">
            <w:pPr>
              <w:pStyle w:val="ListBullet"/>
              <w:numPr>
                <w:ilvl w:val="0"/>
                <w:numId w:val="4"/>
              </w:numPr>
              <w:spacing w:before="60" w:after="60"/>
              <w:ind w:right="1400"/>
              <w:contextualSpacing w:val="0"/>
            </w:pPr>
            <w:proofErr w:type="gramStart"/>
            <w:r>
              <w:t>exposure</w:t>
            </w:r>
            <w:proofErr w:type="gramEnd"/>
            <w:r>
              <w:t xml:space="preserve"> at 25 ppm did not produce any observed pathologic effects</w:t>
            </w:r>
            <w:r w:rsidR="00344C58">
              <w:t xml:space="preserve">, i.e. </w:t>
            </w:r>
            <w:r w:rsidR="00D45DA0">
              <w:t>a</w:t>
            </w:r>
            <w:r w:rsidR="00FA64E7">
              <w:t xml:space="preserve"> NOA</w:t>
            </w:r>
            <w:r w:rsidR="00D45DA0">
              <w:t>E</w:t>
            </w:r>
            <w:r w:rsidR="00FA64E7">
              <w:t>C = 25 ppm</w:t>
            </w:r>
            <w:r w:rsidR="00C77CEB">
              <w:t>.</w:t>
            </w:r>
          </w:p>
          <w:p w14:paraId="3B910336" w14:textId="5439B613" w:rsidR="00330FB8" w:rsidRPr="00DA352E" w:rsidRDefault="00330FB8" w:rsidP="00330FB8">
            <w:pPr>
              <w:pStyle w:val="ListBullet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</w:p>
        </w:tc>
      </w:tr>
      <w:tr w:rsidR="00C978F0" w:rsidRPr="00DA352E" w14:paraId="42BA9C38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1E1C677B" w14:textId="471A5DB8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DFG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272751712"/>
                <w:placeholder>
                  <w:docPart w:val="6918C77959FE4E2CB3B6BD78ABC69E19"/>
                </w:placeholder>
                <w:text/>
              </w:sdtPr>
              <w:sdtEndPr/>
              <w:sdtContent>
                <w:r w:rsidR="0043345D">
                  <w:t>2015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DFG WES equivalent"/>
                <w:tag w:val="DFG WES equivalent"/>
                <w:id w:val="-736175395"/>
                <w:placeholder>
                  <w:docPart w:val="1ED9AEC91FDC4528B51A567B2B19EB9F"/>
                </w:placeholder>
              </w:sdtPr>
              <w:sdtEndPr/>
              <w:sdtContent>
                <w:r w:rsidR="0043345D">
                  <w:t>MAK: 2 ppm (8.31 mg/m</w:t>
                </w:r>
                <w:r w:rsidR="0043345D" w:rsidRPr="0043345D">
                  <w:rPr>
                    <w:vertAlign w:val="superscript"/>
                  </w:rPr>
                  <w:t>3</w:t>
                </w:r>
                <w:r w:rsidR="0043345D">
                  <w:t>)</w:t>
                </w:r>
              </w:sdtContent>
            </w:sdt>
          </w:p>
        </w:tc>
      </w:tr>
      <w:tr w:rsidR="00C978F0" w:rsidRPr="00DA352E" w14:paraId="2864CB17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234AA808" w14:textId="77777777" w:rsidR="00C978F0" w:rsidRDefault="000226B8" w:rsidP="003365A5">
            <w:pPr>
              <w:pStyle w:val="Tabletextprimarysource"/>
            </w:pPr>
            <w:r>
              <w:t>Summary of additional data:</w:t>
            </w:r>
          </w:p>
          <w:p w14:paraId="0D39573A" w14:textId="13D92751" w:rsidR="000226B8" w:rsidRDefault="000226B8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Study in volunteers; 5 x single 4 h exposures; </w:t>
            </w:r>
            <w:r w:rsidRPr="000226B8">
              <w:t xml:space="preserve">constant concentrations of 0; 2.5 or 5 </w:t>
            </w:r>
            <w:r>
              <w:t xml:space="preserve">ppm </w:t>
            </w:r>
            <w:r w:rsidRPr="000226B8">
              <w:t>or alternating concentration</w:t>
            </w:r>
            <w:r>
              <w:t xml:space="preserve">s with peaks of 10 ppm; </w:t>
            </w:r>
            <w:r>
              <w:rPr>
                <w:rFonts w:cs="Arial"/>
                <w:color w:val="1C1D1E"/>
                <w:shd w:val="clear" w:color="auto" w:fill="FFFFFF"/>
              </w:rPr>
              <w:t>chemosensory irritant effect</w:t>
            </w:r>
            <w:r w:rsidR="00E63843">
              <w:rPr>
                <w:rFonts w:cs="Arial"/>
                <w:color w:val="1C1D1E"/>
                <w:shd w:val="clear" w:color="auto" w:fill="FFFFFF"/>
              </w:rPr>
              <w:t>:</w:t>
            </w:r>
          </w:p>
          <w:p w14:paraId="665020CF" w14:textId="5214E1B4" w:rsidR="000226B8" w:rsidRDefault="000226B8" w:rsidP="00330FB8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 xml:space="preserve">LOAEC of 5 ppm in humans for </w:t>
            </w:r>
            <w:r>
              <w:rPr>
                <w:rFonts w:cs="Arial"/>
                <w:color w:val="1C1D1E"/>
                <w:shd w:val="clear" w:color="auto" w:fill="FFFFFF"/>
              </w:rPr>
              <w:t xml:space="preserve">eye and </w:t>
            </w:r>
            <w:r w:rsidR="00C77CEB">
              <w:rPr>
                <w:rFonts w:cs="Arial"/>
                <w:color w:val="1C1D1E"/>
                <w:shd w:val="clear" w:color="auto" w:fill="FFFFFF"/>
              </w:rPr>
              <w:t xml:space="preserve">nose </w:t>
            </w:r>
            <w:r>
              <w:rPr>
                <w:rFonts w:cs="Arial"/>
                <w:color w:val="1C1D1E"/>
                <w:shd w:val="clear" w:color="auto" w:fill="FFFFFF"/>
              </w:rPr>
              <w:t>irritation</w:t>
            </w:r>
            <w:r>
              <w:t>;</w:t>
            </w:r>
          </w:p>
          <w:p w14:paraId="6491875B" w14:textId="6936B907" w:rsidR="000226B8" w:rsidRDefault="000226B8" w:rsidP="00330FB8">
            <w:pPr>
              <w:pStyle w:val="ListBullet"/>
              <w:numPr>
                <w:ilvl w:val="0"/>
                <w:numId w:val="4"/>
              </w:numPr>
              <w:spacing w:before="60" w:after="60"/>
              <w:contextualSpacing w:val="0"/>
            </w:pPr>
            <w:r>
              <w:t xml:space="preserve">NOAEC of 2.5 ppm </w:t>
            </w:r>
          </w:p>
          <w:p w14:paraId="73651E14" w14:textId="2640D7A9" w:rsidR="0016712C" w:rsidRDefault="0016712C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>No systemic accumulation detected</w:t>
            </w:r>
          </w:p>
          <w:p w14:paraId="219FC989" w14:textId="4907F5D1" w:rsidR="000226B8" w:rsidRDefault="0016712C" w:rsidP="00330FB8">
            <w:pPr>
              <w:pStyle w:val="ListBullet"/>
              <w:spacing w:before="60" w:after="60"/>
              <w:ind w:left="714" w:hanging="357"/>
              <w:contextualSpacing w:val="0"/>
            </w:pPr>
            <w:r>
              <w:t xml:space="preserve">MAK based on identified NOAEC </w:t>
            </w:r>
            <w:r w:rsidR="00031D6C">
              <w:t xml:space="preserve">of 2.5 ppm </w:t>
            </w:r>
            <w:r>
              <w:t xml:space="preserve">in humans </w:t>
            </w:r>
            <w:r w:rsidR="00031D6C">
              <w:t xml:space="preserve">and </w:t>
            </w:r>
            <w:r>
              <w:t>rounded</w:t>
            </w:r>
            <w:r w:rsidR="00031D6C">
              <w:t xml:space="preserve"> to get 2 ppm</w:t>
            </w:r>
            <w:r>
              <w:t>.</w:t>
            </w:r>
          </w:p>
          <w:p w14:paraId="0C07F593" w14:textId="6FEE3CCF" w:rsidR="00330FB8" w:rsidRPr="00DA352E" w:rsidRDefault="00330FB8" w:rsidP="00330FB8">
            <w:pPr>
              <w:pStyle w:val="ListBullet"/>
              <w:numPr>
                <w:ilvl w:val="0"/>
                <w:numId w:val="0"/>
              </w:numPr>
              <w:spacing w:before="60" w:after="60"/>
              <w:ind w:left="360" w:hanging="360"/>
              <w:contextualSpacing w:val="0"/>
            </w:pPr>
          </w:p>
        </w:tc>
      </w:tr>
      <w:tr w:rsidR="00C978F0" w:rsidRPr="00DA352E" w14:paraId="6F562556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3DCFFE28" w14:textId="511861E2" w:rsidR="00C978F0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SCOEL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768699850"/>
                <w:placeholder>
                  <w:docPart w:val="FDC2A24E7D2549238DA6EE03BD0A6AE0"/>
                </w:placeholder>
                <w:text/>
              </w:sdtPr>
              <w:sdtEndPr/>
              <w:sdtContent>
                <w:r w:rsidR="0043345D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SCOEL WES equivalent"/>
                <w:tag w:val="SCOEL WES equivalent"/>
                <w:id w:val="-1474213062"/>
                <w:placeholder>
                  <w:docPart w:val="9E827C9D0DA949E385F2E9AB4264125E"/>
                </w:placeholder>
              </w:sdtPr>
              <w:sdtEndPr/>
              <w:sdtContent>
                <w:proofErr w:type="spellStart"/>
                <w:r w:rsidR="0043345D">
                  <w:t>NA</w:t>
                </w:r>
                <w:proofErr w:type="spellEnd"/>
              </w:sdtContent>
            </w:sdt>
          </w:p>
        </w:tc>
      </w:tr>
      <w:tr w:rsidR="00C978F0" w:rsidRPr="00DA352E" w14:paraId="6854005E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56E34828" w14:textId="67071DC2" w:rsidR="00C978F0" w:rsidRPr="00DA352E" w:rsidRDefault="0043345D" w:rsidP="003365A5">
            <w:pPr>
              <w:pStyle w:val="Tabletextprimarysource"/>
            </w:pPr>
            <w:r>
              <w:t>No report</w:t>
            </w:r>
            <w:r w:rsidR="00DC0F84">
              <w:t>.</w:t>
            </w:r>
          </w:p>
        </w:tc>
      </w:tr>
      <w:tr w:rsidR="00DA352E" w:rsidRPr="00DA352E" w14:paraId="65EFFA76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799F0E2E" w14:textId="39F27E22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OARS/AIHA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-936748013"/>
                <w:placeholder>
                  <w:docPart w:val="47E4EC2DB10B4B8E8A66F7A5C13653CB"/>
                </w:placeholder>
                <w:text/>
              </w:sdtPr>
              <w:sdtEndPr/>
              <w:sdtContent>
                <w:r w:rsidR="0043345D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OARS/AIHA WES equivalent"/>
                <w:tag w:val="OARS/AIHA WES equivalent"/>
                <w:id w:val="-1320338798"/>
                <w:placeholder>
                  <w:docPart w:val="5E4DD00C3A334F93BF5CC79754EBC5EA"/>
                </w:placeholder>
              </w:sdtPr>
              <w:sdtEndPr/>
              <w:sdtContent>
                <w:proofErr w:type="spellStart"/>
                <w:r w:rsidR="0043345D">
                  <w:t>NA</w:t>
                </w:r>
                <w:proofErr w:type="spellEnd"/>
              </w:sdtContent>
            </w:sdt>
          </w:p>
        </w:tc>
      </w:tr>
      <w:tr w:rsidR="00DA352E" w:rsidRPr="00DA352E" w14:paraId="3C71B521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2687588" w14:textId="4ECA3BDA" w:rsidR="00DA352E" w:rsidRPr="00DA352E" w:rsidRDefault="0043345D" w:rsidP="003365A5">
            <w:pPr>
              <w:pStyle w:val="Tabletextprimarysource"/>
            </w:pPr>
            <w:r>
              <w:t>No report</w:t>
            </w:r>
            <w:r w:rsidR="00DC0F84">
              <w:t>.</w:t>
            </w:r>
          </w:p>
        </w:tc>
      </w:tr>
      <w:tr w:rsidR="00DA352E" w:rsidRPr="00DA352E" w14:paraId="04FB91BB" w14:textId="77777777" w:rsidTr="00DE26E8">
        <w:trPr>
          <w:gridAfter w:val="1"/>
          <w:wAfter w:w="8" w:type="pct"/>
          <w:cantSplit/>
        </w:trPr>
        <w:tc>
          <w:tcPr>
            <w:tcW w:w="4992" w:type="pct"/>
            <w:shd w:val="clear" w:color="auto" w:fill="F2F2F2" w:themeFill="background1" w:themeFillShade="F2"/>
          </w:tcPr>
          <w:p w14:paraId="713E7AD8" w14:textId="39DAEA89" w:rsidR="00DA352E" w:rsidRPr="00DA352E" w:rsidRDefault="00DA352E" w:rsidP="0051509C">
            <w:pPr>
              <w:pStyle w:val="Tablerowheadingitalic"/>
              <w:tabs>
                <w:tab w:val="clear" w:pos="2268"/>
                <w:tab w:val="clear" w:pos="5670"/>
                <w:tab w:val="left" w:pos="1418"/>
                <w:tab w:val="left" w:pos="2552"/>
              </w:tabs>
            </w:pPr>
            <w:r w:rsidRPr="00DA352E">
              <w:t>HCOTN</w:t>
            </w:r>
            <w:r w:rsidR="00916EC0" w:rsidRPr="003365A5">
              <w:t xml:space="preserve"> </w:t>
            </w:r>
            <w:r w:rsidR="00916EC0" w:rsidRPr="003365A5">
              <w:tab/>
            </w:r>
            <w:sdt>
              <w:sdtPr>
                <w:id w:val="1543090908"/>
                <w:placeholder>
                  <w:docPart w:val="EA1708404F1C4A3BB080A0D8EEB67D1D"/>
                </w:placeholder>
                <w:text/>
              </w:sdtPr>
              <w:sdtEndPr/>
              <w:sdtContent>
                <w:r w:rsidR="0043345D">
                  <w:t>NA</w:t>
                </w:r>
              </w:sdtContent>
            </w:sdt>
            <w:r w:rsidR="00916EC0" w:rsidRPr="003365A5">
              <w:tab/>
            </w:r>
            <w:r w:rsidR="0051509C">
              <w:tab/>
            </w:r>
            <w:sdt>
              <w:sdtPr>
                <w:alias w:val="HCOTN WES equivalent"/>
                <w:tag w:val="HCOTN WES equivalent"/>
                <w:id w:val="1471562734"/>
                <w:placeholder>
                  <w:docPart w:val="F3D4204BA37A4A21A656C76DA4274412"/>
                </w:placeholder>
              </w:sdtPr>
              <w:sdtEndPr/>
              <w:sdtContent>
                <w:proofErr w:type="spellStart"/>
                <w:r w:rsidR="0043345D">
                  <w:t>NA</w:t>
                </w:r>
                <w:proofErr w:type="spellEnd"/>
              </w:sdtContent>
            </w:sdt>
          </w:p>
        </w:tc>
      </w:tr>
      <w:tr w:rsidR="00DA352E" w:rsidRPr="00DA352E" w14:paraId="55A22AD1" w14:textId="77777777" w:rsidTr="00DE26E8">
        <w:trPr>
          <w:gridAfter w:val="1"/>
          <w:wAfter w:w="8" w:type="pct"/>
          <w:cantSplit/>
        </w:trPr>
        <w:tc>
          <w:tcPr>
            <w:tcW w:w="4992" w:type="pct"/>
          </w:tcPr>
          <w:p w14:paraId="42125DB8" w14:textId="3230C1DC" w:rsidR="00DA352E" w:rsidRPr="00DA352E" w:rsidRDefault="0043345D" w:rsidP="003365A5">
            <w:pPr>
              <w:pStyle w:val="Tabletextprimarysource"/>
            </w:pPr>
            <w:r>
              <w:t>No report</w:t>
            </w:r>
            <w:r w:rsidR="00DC0F84">
              <w:t>.</w:t>
            </w:r>
          </w:p>
        </w:tc>
      </w:tr>
    </w:tbl>
    <w:p w14:paraId="49517F00" w14:textId="77777777" w:rsidR="00A20751" w:rsidRPr="004C23F4" w:rsidRDefault="00A20751" w:rsidP="003365A5">
      <w:pPr>
        <w:pStyle w:val="Heading3"/>
      </w:pPr>
      <w:bookmarkStart w:id="1" w:name="SecondSource"/>
      <w:r w:rsidRPr="004C23F4">
        <w:lastRenderedPageBreak/>
        <w:t xml:space="preserve">Secondary </w:t>
      </w:r>
      <w:r w:rsidR="0088798F">
        <w:t xml:space="preserve">source reports relied upon </w:t>
      </w:r>
    </w:p>
    <w:tbl>
      <w:tblPr>
        <w:tblStyle w:val="LightList"/>
        <w:tblW w:w="0" w:type="auto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ook w:val="0600" w:firstRow="0" w:lastRow="0" w:firstColumn="0" w:lastColumn="0" w:noHBand="1" w:noVBand="1"/>
        <w:tblCaption w:val="Table"/>
        <w:tblDescription w:val="Listing secondary sources with reports"/>
      </w:tblPr>
      <w:tblGrid>
        <w:gridCol w:w="1495"/>
        <w:gridCol w:w="423"/>
        <w:gridCol w:w="661"/>
        <w:gridCol w:w="6447"/>
      </w:tblGrid>
      <w:tr w:rsidR="004966BF" w:rsidRPr="00263255" w14:paraId="75729FF0" w14:textId="77777777" w:rsidTr="0016712C">
        <w:trPr>
          <w:cantSplit/>
          <w:trHeight w:val="393"/>
          <w:tblHeader/>
        </w:trPr>
        <w:tc>
          <w:tcPr>
            <w:tcW w:w="1495" w:type="dxa"/>
            <w:shd w:val="clear" w:color="auto" w:fill="BFBFBF" w:themeFill="background1" w:themeFillShade="BF"/>
            <w:vAlign w:val="center"/>
          </w:tcPr>
          <w:p w14:paraId="5681EC21" w14:textId="77777777" w:rsidR="004966BF" w:rsidRPr="00263255" w:rsidRDefault="004966BF" w:rsidP="00263255">
            <w:pPr>
              <w:pStyle w:val="Tableheader"/>
            </w:pPr>
            <w:r w:rsidRPr="00263255">
              <w:t>Source</w:t>
            </w:r>
          </w:p>
        </w:tc>
        <w:tc>
          <w:tcPr>
            <w:tcW w:w="423" w:type="dxa"/>
            <w:shd w:val="clear" w:color="auto" w:fill="BFBFBF" w:themeFill="background1" w:themeFillShade="BF"/>
            <w:vAlign w:val="center"/>
          </w:tcPr>
          <w:p w14:paraId="514C929E" w14:textId="77777777" w:rsidR="004966BF" w:rsidRPr="00263255" w:rsidRDefault="004966BF" w:rsidP="00263255">
            <w:pPr>
              <w:pStyle w:val="Tableheader"/>
            </w:pPr>
          </w:p>
        </w:tc>
        <w:tc>
          <w:tcPr>
            <w:tcW w:w="661" w:type="dxa"/>
            <w:shd w:val="clear" w:color="auto" w:fill="BFBFBF" w:themeFill="background1" w:themeFillShade="BF"/>
            <w:vAlign w:val="center"/>
          </w:tcPr>
          <w:p w14:paraId="01A18F12" w14:textId="77777777" w:rsidR="004966BF" w:rsidRPr="00263255" w:rsidRDefault="004966BF" w:rsidP="00263255">
            <w:pPr>
              <w:pStyle w:val="Tableheader"/>
            </w:pPr>
            <w:r>
              <w:t>Year</w:t>
            </w:r>
          </w:p>
        </w:tc>
        <w:tc>
          <w:tcPr>
            <w:tcW w:w="6447" w:type="dxa"/>
            <w:shd w:val="clear" w:color="auto" w:fill="BFBFBF" w:themeFill="background1" w:themeFillShade="BF"/>
            <w:vAlign w:val="center"/>
          </w:tcPr>
          <w:p w14:paraId="2DFA4695" w14:textId="77777777" w:rsidR="004966BF" w:rsidRPr="00263255" w:rsidRDefault="004966BF" w:rsidP="00263255">
            <w:pPr>
              <w:pStyle w:val="Tableheader"/>
            </w:pPr>
            <w:r>
              <w:t>Additional information</w:t>
            </w:r>
          </w:p>
        </w:tc>
      </w:tr>
      <w:tr w:rsidR="004966BF" w:rsidRPr="004C23F4" w14:paraId="7D544647" w14:textId="77777777" w:rsidTr="0016712C">
        <w:trPr>
          <w:cantSplit/>
        </w:trPr>
        <w:tc>
          <w:tcPr>
            <w:tcW w:w="1495" w:type="dxa"/>
          </w:tcPr>
          <w:p w14:paraId="4AE2C489" w14:textId="77777777" w:rsidR="004966BF" w:rsidRPr="004C23F4" w:rsidRDefault="004966BF" w:rsidP="00224EE2">
            <w:pPr>
              <w:pStyle w:val="Tablefont"/>
            </w:pPr>
            <w:r>
              <w:t>NICNAS</w:t>
            </w:r>
          </w:p>
        </w:tc>
        <w:tc>
          <w:tcPr>
            <w:tcW w:w="423" w:type="dxa"/>
          </w:tcPr>
          <w:p w14:paraId="789A8F3D" w14:textId="687AA2A2" w:rsidR="004966BF" w:rsidRPr="00CE617F" w:rsidRDefault="00A42C7B" w:rsidP="00AB43C4">
            <w:pPr>
              <w:spacing w:before="40"/>
              <w:jc w:val="center"/>
              <w:rPr>
                <w:rStyle w:val="checkbox"/>
              </w:rPr>
            </w:pPr>
            <w:sdt>
              <w:sdtPr>
                <w:rPr>
                  <w:rStyle w:val="checkbox"/>
                </w:rPr>
                <w:id w:val="1234131032"/>
                <w:placeholder>
                  <w:docPart w:val="C2B44F29000D47BD8588D2D5E8DFA6C8"/>
                </w:placeholder>
                <w:dropDownList>
                  <w:listItem w:displayText="" w:value=""/>
                  <w:listItem w:displayText="" w:value=""/>
                  <w:listItem w:displayText="" w:value=""/>
                </w:dropDownList>
              </w:sdtPr>
              <w:sdtEndPr>
                <w:rPr>
                  <w:rStyle w:val="checkbox"/>
                </w:rPr>
              </w:sdtEndPr>
              <w:sdtContent>
                <w:r w:rsidR="0016712C">
                  <w:rPr>
                    <w:rStyle w:val="checkbox"/>
                  </w:rPr>
                  <w:t></w:t>
                </w:r>
              </w:sdtContent>
            </w:sdt>
          </w:p>
        </w:tc>
        <w:tc>
          <w:tcPr>
            <w:tcW w:w="661" w:type="dxa"/>
          </w:tcPr>
          <w:p w14:paraId="5C75FE56" w14:textId="343E7094" w:rsidR="004966BF" w:rsidRPr="004C23F4" w:rsidRDefault="0016712C" w:rsidP="00717D45">
            <w:pPr>
              <w:pStyle w:val="Tablefont"/>
              <w:rPr>
                <w:rStyle w:val="checkbox"/>
                <w:rFonts w:ascii="Arial" w:hAnsi="Arial" w:cs="Arial"/>
              </w:rPr>
            </w:pPr>
            <w:r>
              <w:rPr>
                <w:rStyle w:val="checkbox"/>
                <w:rFonts w:ascii="Arial" w:hAnsi="Arial" w:cs="Arial"/>
              </w:rPr>
              <w:t>2015</w:t>
            </w:r>
          </w:p>
        </w:tc>
        <w:tc>
          <w:tcPr>
            <w:tcW w:w="6447" w:type="dxa"/>
          </w:tcPr>
          <w:p w14:paraId="106BC127" w14:textId="6E20ED45" w:rsidR="006D36D4" w:rsidRPr="00031D6C" w:rsidRDefault="006D36D4" w:rsidP="00847763">
            <w:pPr>
              <w:pStyle w:val="ListBullet"/>
              <w:ind w:left="720"/>
              <w:rPr>
                <w:rStyle w:val="checkbox"/>
                <w:rFonts w:ascii="Arial" w:hAnsi="Arial" w:cs="Arial"/>
                <w:lang w:eastAsia="en-AU"/>
              </w:rPr>
            </w:pPr>
            <w:r w:rsidRPr="00031D6C">
              <w:rPr>
                <w:rStyle w:val="checkbox"/>
                <w:rFonts w:ascii="Arial" w:hAnsi="Arial" w:cs="Arial"/>
              </w:rPr>
              <w:t>The critical health effects include:</w:t>
            </w:r>
          </w:p>
          <w:p w14:paraId="10DDAA12" w14:textId="77777777" w:rsidR="006D36D4" w:rsidRPr="00031D6C" w:rsidRDefault="006D36D4" w:rsidP="00847763">
            <w:pPr>
              <w:pStyle w:val="ListBullet"/>
              <w:numPr>
                <w:ilvl w:val="0"/>
                <w:numId w:val="3"/>
              </w:numPr>
              <w:ind w:left="1080"/>
              <w:rPr>
                <w:rStyle w:val="checkbox"/>
                <w:rFonts w:ascii="Arial" w:hAnsi="Arial" w:cs="Arial"/>
              </w:rPr>
            </w:pPr>
            <w:r w:rsidRPr="00031D6C">
              <w:rPr>
                <w:rStyle w:val="checkbox"/>
                <w:rFonts w:ascii="Arial" w:hAnsi="Arial" w:cs="Arial"/>
              </w:rPr>
              <w:t>local effects (skin sensitisation; eye, skin and respiratory irritation); and</w:t>
            </w:r>
          </w:p>
          <w:p w14:paraId="22D23128" w14:textId="77777777" w:rsidR="006D36D4" w:rsidRPr="00031D6C" w:rsidRDefault="006D36D4" w:rsidP="00847763">
            <w:pPr>
              <w:pStyle w:val="ListBullet"/>
              <w:numPr>
                <w:ilvl w:val="0"/>
                <w:numId w:val="3"/>
              </w:numPr>
              <w:ind w:left="1080"/>
              <w:rPr>
                <w:rStyle w:val="checkbox"/>
                <w:rFonts w:ascii="Arial" w:hAnsi="Arial" w:cs="Arial"/>
              </w:rPr>
            </w:pPr>
            <w:r w:rsidRPr="00031D6C">
              <w:rPr>
                <w:rStyle w:val="checkbox"/>
                <w:rFonts w:ascii="Arial" w:hAnsi="Arial" w:cs="Arial"/>
              </w:rPr>
              <w:t>systemic acute effects through oral, dermal and inhalation exposure</w:t>
            </w:r>
          </w:p>
          <w:p w14:paraId="7F9FE0C9" w14:textId="547DDBE4" w:rsidR="0016712C" w:rsidRPr="00031D6C" w:rsidRDefault="0016712C" w:rsidP="00847763">
            <w:pPr>
              <w:pStyle w:val="ListBullet"/>
              <w:ind w:left="720"/>
              <w:rPr>
                <w:rStyle w:val="checkbox"/>
                <w:rFonts w:ascii="Arial" w:hAnsi="Arial" w:cs="Arial"/>
              </w:rPr>
            </w:pPr>
            <w:r w:rsidRPr="00031D6C">
              <w:rPr>
                <w:rStyle w:val="checkbox"/>
                <w:rFonts w:ascii="Arial" w:hAnsi="Arial" w:cs="Arial"/>
              </w:rPr>
              <w:t>Workers exposed to the dust reported itching of the skin in the facial creases, ears and nose; no exposure information provided</w:t>
            </w:r>
          </w:p>
          <w:p w14:paraId="35AB07BA" w14:textId="30EA9C4E" w:rsidR="004966BF" w:rsidRPr="004C23F4" w:rsidRDefault="0016712C" w:rsidP="00847763">
            <w:pPr>
              <w:pStyle w:val="ListBullet"/>
              <w:ind w:left="720"/>
              <w:rPr>
                <w:rStyle w:val="checkbox"/>
                <w:rFonts w:ascii="Arial" w:hAnsi="Arial" w:cs="Arial"/>
              </w:rPr>
            </w:pPr>
            <w:r w:rsidRPr="00031D6C">
              <w:rPr>
                <w:rStyle w:val="checkbox"/>
                <w:rFonts w:ascii="Arial" w:hAnsi="Arial" w:cs="Arial"/>
              </w:rPr>
              <w:t>Vapour reported as 'can be very irritating' at moderate concentrations of 4–5 ppm</w:t>
            </w:r>
            <w:r w:rsidR="00C77CEB" w:rsidRPr="00031D6C">
              <w:rPr>
                <w:rStyle w:val="checkbox"/>
                <w:rFonts w:ascii="Arial" w:hAnsi="Arial" w:cs="Arial"/>
              </w:rPr>
              <w:t>.</w:t>
            </w:r>
          </w:p>
        </w:tc>
      </w:tr>
    </w:tbl>
    <w:bookmarkEnd w:id="1"/>
    <w:p w14:paraId="11624BC2" w14:textId="77777777" w:rsidR="007E2A4B" w:rsidRDefault="007E2A4B" w:rsidP="007E2A4B">
      <w:pPr>
        <w:pStyle w:val="Heading3"/>
      </w:pPr>
      <w:r>
        <w:t>Carcinogenicity — non-threshold based genotoxic carcinogens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Listing secondary sources with reports"/>
      </w:tblPr>
      <w:tblGrid>
        <w:gridCol w:w="6603"/>
        <w:gridCol w:w="2423"/>
      </w:tblGrid>
      <w:tr w:rsidR="002E0D61" w14:paraId="4EA316C5" w14:textId="77777777" w:rsidTr="006D36D4">
        <w:trPr>
          <w:trHeight w:val="454"/>
          <w:tblHeader/>
        </w:trPr>
        <w:tc>
          <w:tcPr>
            <w:tcW w:w="6603" w:type="dxa"/>
            <w:vAlign w:val="center"/>
          </w:tcPr>
          <w:p w14:paraId="030108DA" w14:textId="77777777" w:rsidR="002E0D61" w:rsidRDefault="00B1422A" w:rsidP="00C3091E">
            <w:pPr>
              <w:pStyle w:val="Tablefont"/>
              <w:keepNext/>
              <w:keepLines/>
              <w:spacing w:before="40" w:after="40"/>
            </w:pPr>
            <w:bookmarkStart w:id="2" w:name="GCQuest"/>
            <w:r>
              <w:t>Is the chemical mutagenic</w:t>
            </w:r>
            <w:r w:rsidR="002E0D61">
              <w:t>?</w:t>
            </w:r>
          </w:p>
        </w:tc>
        <w:sdt>
          <w:sdtPr>
            <w:id w:val="319705052"/>
            <w:placeholder>
              <w:docPart w:val="0168237C60E6479CAFA3D9A1A8409B78"/>
            </w:placeholder>
            <w:comboBox>
              <w:listItem w:value="Choose an item."/>
              <w:listItem w:displayText="Yes" w:value="Yes"/>
              <w:listItem w:displayText="No" w:value="No"/>
              <w:listItem w:displayText="Insufficient data" w:value="Insufficient data"/>
            </w:comboBox>
          </w:sdtPr>
          <w:sdtEndPr/>
          <w:sdtContent>
            <w:tc>
              <w:tcPr>
                <w:tcW w:w="2423" w:type="dxa"/>
                <w:vAlign w:val="center"/>
              </w:tcPr>
              <w:p w14:paraId="59BD4F96" w14:textId="4DF06CF7" w:rsidR="002E0D61" w:rsidRDefault="006D36D4" w:rsidP="00C3091E">
                <w:pPr>
                  <w:pStyle w:val="Tablefont"/>
                  <w:keepNext/>
                  <w:keepLines/>
                  <w:spacing w:before="40" w:after="40"/>
                </w:pPr>
                <w:r>
                  <w:t>No</w:t>
                </w:r>
              </w:p>
            </w:tc>
          </w:sdtContent>
        </w:sdt>
      </w:tr>
      <w:tr w:rsidR="008A36CF" w14:paraId="3831ABA5" w14:textId="77777777" w:rsidTr="006D36D4">
        <w:trPr>
          <w:trHeight w:val="454"/>
        </w:trPr>
        <w:sdt>
          <w:sdtPr>
            <w:rPr>
              <w:b/>
            </w:rPr>
            <w:id w:val="1830936485"/>
            <w:placeholder>
              <w:docPart w:val="CAD2D506A5824AB88D896BC2795BCEDE"/>
            </w:placeholder>
            <w:dropDownList>
              <w:listItem w:value="Choose an item."/>
              <w:listItem w:displayText="The chemical is a non-threshold based genotoxic carcinogen." w:value="The chemical is a non-threshold based genotoxic carcinogen."/>
              <w:listItem w:displayText="The chemical is not a non-threshold based genotoxic carcinogen." w:value="The chemical is not a non-threshold based genotoxic carcinogen."/>
              <w:listItem w:displayText="Insufficient data are available to determine if the chemical is a non-threshold based genotoxic carcinogen." w:value="Insufficient data are available to determine if the chemical is a non-threshold based genotoxic carcinogen."/>
            </w:dropDownList>
          </w:sdtPr>
          <w:sdtEndPr/>
          <w:sdtContent>
            <w:tc>
              <w:tcPr>
                <w:tcW w:w="6603" w:type="dxa"/>
                <w:vAlign w:val="center"/>
              </w:tcPr>
              <w:p w14:paraId="4271FA5B" w14:textId="234C8933" w:rsidR="008A36CF" w:rsidRPr="006901A2" w:rsidRDefault="006D36D4" w:rsidP="008A36CF">
                <w:pPr>
                  <w:pStyle w:val="Tablefont"/>
                  <w:keepNext/>
                  <w:keepLines/>
                  <w:spacing w:before="40" w:after="40"/>
                  <w:rPr>
                    <w:b/>
                  </w:rPr>
                </w:pPr>
                <w:r>
                  <w:rPr>
                    <w:b/>
                  </w:rPr>
                  <w:t>The chemical is not a non-threshold based genotoxic carcinogen.</w:t>
                </w:r>
              </w:p>
            </w:tc>
          </w:sdtContent>
        </w:sdt>
        <w:tc>
          <w:tcPr>
            <w:tcW w:w="2423" w:type="dxa"/>
            <w:vAlign w:val="center"/>
          </w:tcPr>
          <w:p w14:paraId="299E47B5" w14:textId="77777777" w:rsidR="008A36CF" w:rsidRDefault="008A36CF" w:rsidP="008A36CF">
            <w:pPr>
              <w:pStyle w:val="Tablefont"/>
              <w:keepNext/>
              <w:keepLines/>
              <w:spacing w:before="40" w:after="40"/>
            </w:pPr>
          </w:p>
        </w:tc>
      </w:tr>
    </w:tbl>
    <w:bookmarkEnd w:id="2"/>
    <w:p w14:paraId="0B1E6E23" w14:textId="77777777" w:rsidR="00687890" w:rsidRPr="004C23F4" w:rsidRDefault="00B479A9" w:rsidP="00474E33">
      <w:pPr>
        <w:pStyle w:val="Heading2"/>
      </w:pPr>
      <w:r w:rsidRPr="004C23F4">
        <w:t>Notations</w:t>
      </w:r>
    </w:p>
    <w:tbl>
      <w:tblPr>
        <w:tblStyle w:val="LightList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</w:tblBorders>
        <w:tblLayout w:type="fixed"/>
        <w:tblLook w:val="0600" w:firstRow="0" w:lastRow="0" w:firstColumn="0" w:lastColumn="0" w:noHBand="1" w:noVBand="1"/>
        <w:tblCaption w:val="Table"/>
        <w:tblDescription w:val="Listing notations"/>
      </w:tblPr>
      <w:tblGrid>
        <w:gridCol w:w="3153"/>
        <w:gridCol w:w="5873"/>
      </w:tblGrid>
      <w:tr w:rsidR="00687890" w:rsidRPr="004C23F4" w14:paraId="60551F8B" w14:textId="77777777" w:rsidTr="00812887">
        <w:trPr>
          <w:cantSplit/>
          <w:tblHeader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14:paraId="2973FEAC" w14:textId="77777777" w:rsidR="00687890" w:rsidRPr="004C23F4" w:rsidRDefault="00687890" w:rsidP="00263255">
            <w:pPr>
              <w:pStyle w:val="Tableheader"/>
            </w:pPr>
            <w:bookmarkStart w:id="3" w:name="Notations"/>
            <w:r w:rsidRPr="004C23F4">
              <w:t>Source</w:t>
            </w:r>
          </w:p>
        </w:tc>
        <w:tc>
          <w:tcPr>
            <w:tcW w:w="6015" w:type="dxa"/>
            <w:shd w:val="clear" w:color="auto" w:fill="BFBFBF" w:themeFill="background1" w:themeFillShade="BF"/>
            <w:vAlign w:val="center"/>
          </w:tcPr>
          <w:p w14:paraId="61FDCAAC" w14:textId="77777777" w:rsidR="00687890" w:rsidRPr="004C23F4" w:rsidRDefault="00687890" w:rsidP="00F4402E">
            <w:pPr>
              <w:pStyle w:val="Tableheader"/>
              <w:tabs>
                <w:tab w:val="right" w:pos="5272"/>
              </w:tabs>
            </w:pPr>
            <w:r w:rsidRPr="004C23F4">
              <w:t>Notations</w:t>
            </w:r>
            <w:r w:rsidR="003A2B94">
              <w:tab/>
            </w:r>
          </w:p>
        </w:tc>
      </w:tr>
      <w:tr w:rsidR="00687890" w:rsidRPr="004C23F4" w14:paraId="76524E4C" w14:textId="77777777" w:rsidTr="00812887">
        <w:trPr>
          <w:cantSplit/>
        </w:trPr>
        <w:tc>
          <w:tcPr>
            <w:tcW w:w="3227" w:type="dxa"/>
          </w:tcPr>
          <w:p w14:paraId="3CA80963" w14:textId="77777777" w:rsidR="004079B4" w:rsidRPr="004C23F4" w:rsidRDefault="00084513" w:rsidP="00F4402E">
            <w:pPr>
              <w:pStyle w:val="Tablefont"/>
            </w:pPr>
            <w:r w:rsidRPr="004C23F4">
              <w:t>SWA</w:t>
            </w:r>
          </w:p>
        </w:tc>
        <w:tc>
          <w:tcPr>
            <w:tcW w:w="6015" w:type="dxa"/>
          </w:tcPr>
          <w:p w14:paraId="157CF867" w14:textId="422A0C63" w:rsidR="00687890" w:rsidRPr="00DD2F9B" w:rsidRDefault="0043345D" w:rsidP="00DD2F9B">
            <w:pPr>
              <w:pStyle w:val="Tablefont"/>
            </w:pPr>
            <w:r w:rsidRPr="0043345D">
              <w:t>Sen</w:t>
            </w:r>
          </w:p>
        </w:tc>
      </w:tr>
      <w:tr w:rsidR="007925F0" w:rsidRPr="004C23F4" w14:paraId="00C24E77" w14:textId="77777777" w:rsidTr="00812887">
        <w:trPr>
          <w:cantSplit/>
        </w:trPr>
        <w:tc>
          <w:tcPr>
            <w:tcW w:w="3227" w:type="dxa"/>
          </w:tcPr>
          <w:p w14:paraId="4E92B35E" w14:textId="77777777" w:rsidR="004079B4" w:rsidRPr="004C23F4" w:rsidRDefault="007925F0" w:rsidP="00F4402E">
            <w:pPr>
              <w:pStyle w:val="Tablefont"/>
            </w:pPr>
            <w:r>
              <w:t>HCIS</w:t>
            </w:r>
          </w:p>
        </w:tc>
        <w:tc>
          <w:tcPr>
            <w:tcW w:w="6015" w:type="dxa"/>
          </w:tcPr>
          <w:p w14:paraId="6CF7FD6E" w14:textId="7DAF409D" w:rsidR="007925F0" w:rsidRPr="00DD2F9B" w:rsidRDefault="0043345D" w:rsidP="00DD2F9B">
            <w:pPr>
              <w:pStyle w:val="Tablefont"/>
            </w:pPr>
            <w:r w:rsidRPr="0043345D">
              <w:t>Skin sensitisation – category 1</w:t>
            </w:r>
          </w:p>
        </w:tc>
      </w:tr>
      <w:tr w:rsidR="00AF483F" w:rsidRPr="004C23F4" w14:paraId="2B4D2373" w14:textId="77777777" w:rsidTr="00812887">
        <w:trPr>
          <w:cantSplit/>
        </w:trPr>
        <w:tc>
          <w:tcPr>
            <w:tcW w:w="3227" w:type="dxa"/>
          </w:tcPr>
          <w:p w14:paraId="3948D51E" w14:textId="77777777" w:rsidR="00AF483F" w:rsidRPr="004C23F4" w:rsidRDefault="00AF483F" w:rsidP="00F4402E">
            <w:pPr>
              <w:pStyle w:val="Tablefont"/>
            </w:pPr>
            <w:r>
              <w:t>NICNAS</w:t>
            </w:r>
          </w:p>
        </w:tc>
        <w:tc>
          <w:tcPr>
            <w:tcW w:w="6015" w:type="dxa"/>
          </w:tcPr>
          <w:p w14:paraId="3A24A7FB" w14:textId="09B01DB3" w:rsidR="00AF483F" w:rsidRPr="00DD2F9B" w:rsidRDefault="0043345D" w:rsidP="00DD2F9B">
            <w:pPr>
              <w:pStyle w:val="Tablefont"/>
            </w:pPr>
            <w:r w:rsidRPr="0043345D">
              <w:t>Skin sensitisation</w:t>
            </w:r>
          </w:p>
        </w:tc>
      </w:tr>
      <w:tr w:rsidR="00687890" w:rsidRPr="004C23F4" w14:paraId="02DF8993" w14:textId="77777777" w:rsidTr="00812887">
        <w:trPr>
          <w:cantSplit/>
        </w:trPr>
        <w:tc>
          <w:tcPr>
            <w:tcW w:w="3227" w:type="dxa"/>
          </w:tcPr>
          <w:p w14:paraId="4955AF65" w14:textId="77777777" w:rsidR="004079B4" w:rsidRPr="004C23F4" w:rsidRDefault="00687890" w:rsidP="00F4402E">
            <w:pPr>
              <w:pStyle w:val="Tablefont"/>
            </w:pPr>
            <w:r w:rsidRPr="004C23F4">
              <w:t>EU Annex</w:t>
            </w:r>
          </w:p>
        </w:tc>
        <w:tc>
          <w:tcPr>
            <w:tcW w:w="6015" w:type="dxa"/>
          </w:tcPr>
          <w:p w14:paraId="77368D81" w14:textId="1FBF4442" w:rsidR="00687890" w:rsidRPr="00DD2F9B" w:rsidRDefault="0043345D" w:rsidP="00DD2F9B">
            <w:pPr>
              <w:pStyle w:val="Tablefont"/>
            </w:pPr>
            <w:r>
              <w:t>NA</w:t>
            </w:r>
          </w:p>
        </w:tc>
      </w:tr>
      <w:tr w:rsidR="00E41A26" w:rsidRPr="004C23F4" w14:paraId="17EEFEAA" w14:textId="77777777" w:rsidTr="00812887">
        <w:trPr>
          <w:cantSplit/>
        </w:trPr>
        <w:tc>
          <w:tcPr>
            <w:tcW w:w="3227" w:type="dxa"/>
          </w:tcPr>
          <w:p w14:paraId="54AD7BAE" w14:textId="77777777" w:rsidR="00E41A26" w:rsidRDefault="00E41A26" w:rsidP="00F4402E">
            <w:pPr>
              <w:pStyle w:val="Tablefont"/>
            </w:pPr>
            <w:r>
              <w:t>ECHA</w:t>
            </w:r>
          </w:p>
        </w:tc>
        <w:tc>
          <w:tcPr>
            <w:tcW w:w="6015" w:type="dxa"/>
          </w:tcPr>
          <w:p w14:paraId="1E6EB3A8" w14:textId="5F36022F" w:rsidR="00E41A26" w:rsidRPr="00DD2F9B" w:rsidRDefault="0043345D" w:rsidP="00DD2F9B">
            <w:pPr>
              <w:pStyle w:val="Tablefont"/>
            </w:pPr>
            <w:r w:rsidRPr="0043345D">
              <w:t>Skin Sens. 1</w:t>
            </w:r>
          </w:p>
        </w:tc>
      </w:tr>
      <w:tr w:rsidR="002E0D61" w:rsidRPr="004C23F4" w14:paraId="55F81FCB" w14:textId="77777777" w:rsidTr="00812887">
        <w:trPr>
          <w:cantSplit/>
        </w:trPr>
        <w:tc>
          <w:tcPr>
            <w:tcW w:w="3227" w:type="dxa"/>
          </w:tcPr>
          <w:p w14:paraId="46AC6FF0" w14:textId="77777777" w:rsidR="004079B4" w:rsidRPr="004C23F4" w:rsidRDefault="002E0D61" w:rsidP="00F4402E">
            <w:pPr>
              <w:pStyle w:val="Tablefont"/>
            </w:pPr>
            <w:r>
              <w:t>ACGIH</w:t>
            </w:r>
          </w:p>
        </w:tc>
        <w:tc>
          <w:tcPr>
            <w:tcW w:w="6015" w:type="dxa"/>
          </w:tcPr>
          <w:p w14:paraId="604F1C28" w14:textId="663BA6D4" w:rsidR="002E0D61" w:rsidRPr="00DD2F9B" w:rsidRDefault="0043345D" w:rsidP="00DD2F9B">
            <w:pPr>
              <w:pStyle w:val="Tablefont"/>
            </w:pPr>
            <w:r w:rsidRPr="0043345D">
              <w:t>Carcinogenicity – A4</w:t>
            </w:r>
          </w:p>
        </w:tc>
      </w:tr>
      <w:tr w:rsidR="002E0D61" w:rsidRPr="004C23F4" w14:paraId="0CD733AC" w14:textId="77777777" w:rsidTr="00812887">
        <w:trPr>
          <w:cantSplit/>
        </w:trPr>
        <w:tc>
          <w:tcPr>
            <w:tcW w:w="3227" w:type="dxa"/>
          </w:tcPr>
          <w:p w14:paraId="2AE892DA" w14:textId="77777777" w:rsidR="004079B4" w:rsidRPr="004C23F4" w:rsidRDefault="002E0D61" w:rsidP="00F4402E">
            <w:pPr>
              <w:pStyle w:val="Tablefont"/>
            </w:pPr>
            <w:r>
              <w:t>DFG</w:t>
            </w:r>
          </w:p>
        </w:tc>
        <w:tc>
          <w:tcPr>
            <w:tcW w:w="6015" w:type="dxa"/>
          </w:tcPr>
          <w:p w14:paraId="37568272" w14:textId="414E6FFA" w:rsidR="002E0D61" w:rsidRPr="00DD2F9B" w:rsidRDefault="0043345D" w:rsidP="00DD2F9B">
            <w:pPr>
              <w:pStyle w:val="Tablefont"/>
            </w:pPr>
            <w:r w:rsidRPr="0043345D">
              <w:t>H (skin)</w:t>
            </w:r>
            <w:r>
              <w:t xml:space="preserve">, </w:t>
            </w:r>
            <w:proofErr w:type="spellStart"/>
            <w:r w:rsidRPr="0043345D">
              <w:t>Sh</w:t>
            </w:r>
            <w:proofErr w:type="spellEnd"/>
            <w:r w:rsidRPr="0043345D">
              <w:t xml:space="preserve"> (dermal sensitiser)</w:t>
            </w:r>
          </w:p>
        </w:tc>
      </w:tr>
      <w:tr w:rsidR="002E0D61" w:rsidRPr="004C23F4" w14:paraId="059E5E0F" w14:textId="77777777" w:rsidTr="00812887">
        <w:trPr>
          <w:cantSplit/>
        </w:trPr>
        <w:tc>
          <w:tcPr>
            <w:tcW w:w="3227" w:type="dxa"/>
          </w:tcPr>
          <w:p w14:paraId="36E6024F" w14:textId="77777777" w:rsidR="004079B4" w:rsidRPr="004C23F4" w:rsidRDefault="002E0D61" w:rsidP="00F4402E">
            <w:pPr>
              <w:pStyle w:val="Tablefont"/>
            </w:pPr>
            <w:r>
              <w:t>SCOEL</w:t>
            </w:r>
          </w:p>
        </w:tc>
        <w:tc>
          <w:tcPr>
            <w:tcW w:w="6015" w:type="dxa"/>
          </w:tcPr>
          <w:p w14:paraId="30F36CB6" w14:textId="2D4438F9" w:rsidR="002E0D61" w:rsidRPr="00DD2F9B" w:rsidRDefault="0043345D" w:rsidP="00DD2F9B">
            <w:pPr>
              <w:pStyle w:val="Tablefont"/>
            </w:pPr>
            <w:r>
              <w:t>NA</w:t>
            </w:r>
          </w:p>
        </w:tc>
      </w:tr>
      <w:tr w:rsidR="002E0D61" w:rsidRPr="004C23F4" w14:paraId="4D643510" w14:textId="77777777" w:rsidTr="00812887">
        <w:trPr>
          <w:cantSplit/>
        </w:trPr>
        <w:tc>
          <w:tcPr>
            <w:tcW w:w="3227" w:type="dxa"/>
          </w:tcPr>
          <w:p w14:paraId="278B140E" w14:textId="77777777" w:rsidR="004079B4" w:rsidRDefault="002E0D61" w:rsidP="00F4402E">
            <w:pPr>
              <w:pStyle w:val="Tablefont"/>
            </w:pPr>
            <w:r>
              <w:t>HCOTN</w:t>
            </w:r>
          </w:p>
        </w:tc>
        <w:tc>
          <w:tcPr>
            <w:tcW w:w="6015" w:type="dxa"/>
          </w:tcPr>
          <w:p w14:paraId="1D8D362E" w14:textId="478D3B47" w:rsidR="002E0D61" w:rsidRPr="00DD2F9B" w:rsidRDefault="00095108" w:rsidP="00DD2F9B">
            <w:pPr>
              <w:pStyle w:val="Tablefont"/>
            </w:pPr>
            <w:r w:rsidRPr="00095108">
              <w:t>Carcinogenicity – category 3</w:t>
            </w:r>
          </w:p>
        </w:tc>
      </w:tr>
      <w:tr w:rsidR="00386093" w:rsidRPr="004C23F4" w14:paraId="5B8F177F" w14:textId="77777777" w:rsidTr="00812887">
        <w:trPr>
          <w:cantSplit/>
        </w:trPr>
        <w:tc>
          <w:tcPr>
            <w:tcW w:w="3227" w:type="dxa"/>
          </w:tcPr>
          <w:p w14:paraId="1854830D" w14:textId="77777777" w:rsidR="004079B4" w:rsidRDefault="00386093" w:rsidP="00F4402E">
            <w:pPr>
              <w:pStyle w:val="Tablefont"/>
            </w:pPr>
            <w:r>
              <w:t>IARC</w:t>
            </w:r>
          </w:p>
        </w:tc>
        <w:tc>
          <w:tcPr>
            <w:tcW w:w="6015" w:type="dxa"/>
          </w:tcPr>
          <w:p w14:paraId="7D345433" w14:textId="3582E53A" w:rsidR="00386093" w:rsidRPr="00DD2F9B" w:rsidRDefault="00095108" w:rsidP="00DD2F9B">
            <w:pPr>
              <w:pStyle w:val="Tablefont"/>
            </w:pPr>
            <w:r w:rsidRPr="00095108">
              <w:t>Carcinogenicity – Group 2B</w:t>
            </w:r>
          </w:p>
        </w:tc>
      </w:tr>
      <w:tr w:rsidR="00386093" w:rsidRPr="004C23F4" w14:paraId="45A27A82" w14:textId="77777777" w:rsidTr="00812887">
        <w:trPr>
          <w:cantSplit/>
        </w:trPr>
        <w:tc>
          <w:tcPr>
            <w:tcW w:w="3227" w:type="dxa"/>
          </w:tcPr>
          <w:p w14:paraId="1B853D6E" w14:textId="77777777" w:rsidR="004079B4" w:rsidRDefault="00386093" w:rsidP="00F4402E">
            <w:pPr>
              <w:pStyle w:val="Tablefont"/>
              <w:keepNext/>
            </w:pPr>
            <w:r>
              <w:t>US NIOSH</w:t>
            </w:r>
          </w:p>
        </w:tc>
        <w:tc>
          <w:tcPr>
            <w:tcW w:w="6015" w:type="dxa"/>
          </w:tcPr>
          <w:p w14:paraId="619253B7" w14:textId="7C399743" w:rsidR="00386093" w:rsidRPr="00DD2F9B" w:rsidRDefault="00095108" w:rsidP="00D87570">
            <w:pPr>
              <w:pStyle w:val="Tablefont"/>
              <w:keepNext/>
            </w:pPr>
            <w:r w:rsidRPr="00095108">
              <w:t>SK:SYS</w:t>
            </w:r>
            <w:r>
              <w:t xml:space="preserve">, </w:t>
            </w:r>
            <w:r w:rsidRPr="00095108">
              <w:t>SK:SEN</w:t>
            </w:r>
          </w:p>
        </w:tc>
      </w:tr>
    </w:tbl>
    <w:bookmarkEnd w:id="3"/>
    <w:p w14:paraId="05429DB4" w14:textId="77777777" w:rsidR="00485BFD" w:rsidRDefault="00485BFD" w:rsidP="00485BFD">
      <w:pPr>
        <w:pStyle w:val="Tablefooter"/>
      </w:pPr>
      <w:r>
        <w:t>NA = not applicable (a recommendation has not been made by this Agency); —</w:t>
      </w:r>
      <w:r w:rsidR="00D87570">
        <w:t xml:space="preserve"> = the Agency has assessed available data for this chemical but has not recommended any notations</w:t>
      </w:r>
    </w:p>
    <w:p w14:paraId="67A8B903" w14:textId="77777777" w:rsidR="00474E33" w:rsidRDefault="00474E33" w:rsidP="00474E33">
      <w:pPr>
        <w:pStyle w:val="Heading3"/>
      </w:pPr>
      <w:r>
        <w:lastRenderedPageBreak/>
        <w:t>Skin notation assessment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kin notation assessment calculation"/>
      </w:tblPr>
      <w:tblGrid>
        <w:gridCol w:w="9026"/>
      </w:tblGrid>
      <w:tr w:rsidR="00932DCE" w:rsidRPr="004C23F4" w14:paraId="65BF9D96" w14:textId="77777777" w:rsidTr="00EA6243">
        <w:trPr>
          <w:cantSplit/>
          <w:tblHeader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ECE91E3" w14:textId="77777777" w:rsidR="00932DCE" w:rsidRPr="004C23F4" w:rsidRDefault="00932DCE" w:rsidP="00330FB8">
            <w:pPr>
              <w:pStyle w:val="Tableheader"/>
              <w:tabs>
                <w:tab w:val="right" w:pos="8800"/>
              </w:tabs>
            </w:pPr>
            <w:bookmarkStart w:id="4" w:name="SkinNot"/>
            <w:r>
              <w:t>Calculation</w:t>
            </w:r>
            <w:r w:rsidR="00177CA1">
              <w:tab/>
            </w:r>
          </w:p>
        </w:tc>
      </w:tr>
      <w:tr w:rsidR="00932DCE" w:rsidRPr="004C23F4" w14:paraId="33607070" w14:textId="77777777" w:rsidTr="00EA6243">
        <w:trPr>
          <w:cantSplit/>
          <w:tblHeader/>
        </w:trPr>
        <w:tc>
          <w:tcPr>
            <w:tcW w:w="5000" w:type="pct"/>
            <w:vAlign w:val="center"/>
          </w:tcPr>
          <w:tbl>
            <w:tblPr>
              <w:tblW w:w="8854" w:type="dxa"/>
              <w:tblLook w:val="04A0" w:firstRow="1" w:lastRow="0" w:firstColumn="1" w:lastColumn="0" w:noHBand="0" w:noVBand="1"/>
            </w:tblPr>
            <w:tblGrid>
              <w:gridCol w:w="3665"/>
              <w:gridCol w:w="1080"/>
              <w:gridCol w:w="1080"/>
              <w:gridCol w:w="2985"/>
            </w:tblGrid>
            <w:tr w:rsidR="00B728D6" w:rsidRPr="00B728D6" w14:paraId="34A42382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E8C24FA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Adverse effects in human case study: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1735DB2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1DE2518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41E2BD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0A2F5A73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7F30A92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≤1000 mg/kg: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1E9536F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no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F32C5B4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9D7784F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73AC0267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5ADA8E5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repeat-dose NOAEL ≤200 mg/kg: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02353F19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FC256C2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D871E8D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12B76E21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8E51AF0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Dermal LD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/Inhalation LD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vertAlign w:val="subscript"/>
                      <w:lang w:eastAsia="en-AU"/>
                    </w:rPr>
                    <w:t>50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&lt;10: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84723DA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C376B03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55114601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390CE83D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208B2B2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i/>
                      <w:iCs/>
                      <w:color w:val="000000"/>
                      <w:sz w:val="18"/>
                      <w:szCs w:val="18"/>
                      <w:lang w:eastAsia="en-AU"/>
                    </w:rPr>
                    <w:t>In vivo</w:t>
                  </w: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 xml:space="preserve"> dermal absorption rate &gt;10%: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2BC0DD0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36AB26A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F4B5BC8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21C85888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3F364B3F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Estimated dermal exposure at WES &gt;10%: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20F1769F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6A607738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1CA87CC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</w:tr>
            <w:tr w:rsidR="00B728D6" w:rsidRPr="00B728D6" w14:paraId="154E2BB3" w14:textId="77777777" w:rsidTr="00B728D6">
              <w:trPr>
                <w:trHeight w:val="348"/>
              </w:trPr>
              <w:tc>
                <w:tcPr>
                  <w:tcW w:w="3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1DF90E75" w14:textId="77777777" w:rsidR="00B728D6" w:rsidRPr="00B728D6" w:rsidRDefault="00B728D6" w:rsidP="00330FB8">
                  <w:pPr>
                    <w:spacing w:after="0" w:line="240" w:lineRule="auto"/>
                    <w:jc w:val="right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6AC690E" w14:textId="77777777" w:rsidR="00B728D6" w:rsidRPr="00B728D6" w:rsidRDefault="00B728D6" w:rsidP="00330FB8">
                  <w:pPr>
                    <w:spacing w:after="0" w:line="240" w:lineRule="auto"/>
                    <w:jc w:val="center"/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000000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10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4F473406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color w:val="C5D9F1"/>
                      <w:sz w:val="18"/>
                      <w:szCs w:val="18"/>
                      <w:lang w:eastAsia="en-AU"/>
                    </w:rPr>
                    <w:t> </w:t>
                  </w:r>
                </w:p>
              </w:tc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center"/>
                  <w:hideMark/>
                </w:tcPr>
                <w:p w14:paraId="79A3A06B" w14:textId="77777777" w:rsidR="00B728D6" w:rsidRPr="00B728D6" w:rsidRDefault="00B728D6" w:rsidP="00330FB8">
                  <w:pPr>
                    <w:spacing w:after="0" w:line="240" w:lineRule="auto"/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</w:pPr>
                  <w:r w:rsidRPr="00B728D6">
                    <w:rPr>
                      <w:rFonts w:ascii="Segoe UI" w:eastAsia="Times New Roman" w:hAnsi="Segoe UI" w:cs="Segoe UI"/>
                      <w:b/>
                      <w:bCs/>
                      <w:color w:val="000000"/>
                      <w:sz w:val="18"/>
                      <w:szCs w:val="18"/>
                      <w:lang w:eastAsia="en-AU"/>
                    </w:rPr>
                    <w:t>a skin notation is not warranted</w:t>
                  </w:r>
                </w:p>
              </w:tc>
            </w:tr>
          </w:tbl>
          <w:p w14:paraId="030D6175" w14:textId="77777777" w:rsidR="00932DCE" w:rsidRPr="004C23F4" w:rsidRDefault="00932DCE" w:rsidP="00330FB8">
            <w:pPr>
              <w:pStyle w:val="Tablefont"/>
            </w:pPr>
          </w:p>
        </w:tc>
      </w:tr>
    </w:tbl>
    <w:bookmarkEnd w:id="4"/>
    <w:p w14:paraId="15C6559B" w14:textId="77777777" w:rsidR="00EB3D1B" w:rsidRDefault="00EB3D1B" w:rsidP="00EB3D1B">
      <w:pPr>
        <w:pStyle w:val="Heading3"/>
      </w:pPr>
      <w:r>
        <w:t>IDLH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DLH Table"/>
        <w:tblDescription w:val="Poses question: Ist here a suitable IDLH value available"/>
      </w:tblPr>
      <w:tblGrid>
        <w:gridCol w:w="4268"/>
        <w:gridCol w:w="4758"/>
      </w:tblGrid>
      <w:tr w:rsidR="00EB3D1B" w14:paraId="5275250F" w14:textId="77777777" w:rsidTr="00610F2E">
        <w:trPr>
          <w:trHeight w:val="454"/>
          <w:tblHeader/>
        </w:trPr>
        <w:tc>
          <w:tcPr>
            <w:tcW w:w="4361" w:type="dxa"/>
            <w:vAlign w:val="center"/>
          </w:tcPr>
          <w:p w14:paraId="74CEC86A" w14:textId="77777777" w:rsidR="00EB3D1B" w:rsidRDefault="00EB3D1B" w:rsidP="00D87570">
            <w:pPr>
              <w:pStyle w:val="Tablefont"/>
            </w:pPr>
            <w:r>
              <w:t xml:space="preserve">Is there a </w:t>
            </w:r>
            <w:r w:rsidR="006E5D05">
              <w:t>suitable</w:t>
            </w:r>
            <w:r>
              <w:t xml:space="preserve"> IDLH value available?</w:t>
            </w:r>
          </w:p>
        </w:tc>
        <w:sdt>
          <w:sdtPr>
            <w:id w:val="1781757649"/>
            <w:placeholder>
              <w:docPart w:val="F426C563814E402488AC06CC39354A11"/>
            </w:placeholder>
            <w:comboBox>
              <w:listItem w:value="Choose an item."/>
              <w:listItem w:displayText="Yes" w:value="Yes"/>
              <w:listItem w:displayText="Yes, based on LEL" w:value="Yes, based on LEL"/>
              <w:listItem w:displayText="No" w:value="No"/>
              <w:listItem w:displayText="No, the chemical is a genotoxic carcinogen" w:value="No, the chemical is a genotoxic carcinogen"/>
            </w:comboBox>
          </w:sdtPr>
          <w:sdtEndPr/>
          <w:sdtContent>
            <w:tc>
              <w:tcPr>
                <w:tcW w:w="4881" w:type="dxa"/>
                <w:vAlign w:val="center"/>
              </w:tcPr>
              <w:p w14:paraId="3BEB71AF" w14:textId="3F0BC314" w:rsidR="00EB3D1B" w:rsidRDefault="00095108" w:rsidP="00EB3D1B">
                <w:pPr>
                  <w:pStyle w:val="Tablefont"/>
                </w:pPr>
                <w:r>
                  <w:t>Yes</w:t>
                </w:r>
              </w:p>
            </w:tc>
          </w:sdtContent>
        </w:sdt>
      </w:tr>
    </w:tbl>
    <w:p w14:paraId="731B8C29" w14:textId="77777777" w:rsidR="00687890" w:rsidRPr="004C23F4" w:rsidRDefault="00B479A9" w:rsidP="00474E33">
      <w:pPr>
        <w:pStyle w:val="Heading2"/>
      </w:pPr>
      <w:r w:rsidRPr="004C23F4">
        <w:t>Additional information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additional information"/>
      </w:tblPr>
      <w:tblGrid>
        <w:gridCol w:w="3996"/>
        <w:gridCol w:w="5030"/>
      </w:tblGrid>
      <w:tr w:rsidR="001B79E5" w:rsidRPr="004C23F4" w14:paraId="5F3573FC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02DCE753" w14:textId="77777777" w:rsidR="001B79E5" w:rsidRDefault="001B79E5" w:rsidP="00A31D99">
            <w:pPr>
              <w:pStyle w:val="Tablefont"/>
            </w:pPr>
            <w:r>
              <w:t>Molecular weight:</w:t>
            </w:r>
          </w:p>
        </w:tc>
        <w:sdt>
          <w:sdtPr>
            <w:id w:val="2058126578"/>
            <w:placeholder>
              <w:docPart w:val="0DAD3FB9ACEF4778B961F088737E2361"/>
            </w:placeholder>
          </w:sdtPr>
          <w:sdtEndPr/>
          <w:sdtContent>
            <w:tc>
              <w:tcPr>
                <w:tcW w:w="5165" w:type="dxa"/>
                <w:vAlign w:val="center"/>
              </w:tcPr>
              <w:p w14:paraId="6FA31A50" w14:textId="1F738F6D" w:rsidR="001B79E5" w:rsidRDefault="00095108" w:rsidP="001B79E5">
                <w:pPr>
                  <w:pStyle w:val="Tablefont"/>
                </w:pPr>
                <w:r>
                  <w:t>100.12</w:t>
                </w:r>
              </w:p>
            </w:tc>
          </w:sdtContent>
        </w:sdt>
      </w:tr>
      <w:tr w:rsidR="00A31D99" w:rsidRPr="004C23F4" w14:paraId="52B0AB07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20AF844F" w14:textId="77777777" w:rsidR="00A31D99" w:rsidRPr="00263255" w:rsidRDefault="00A31D99" w:rsidP="00A31D99">
            <w:pPr>
              <w:pStyle w:val="Tablefont"/>
            </w:pPr>
            <w:r>
              <w:t>Conversion factors at 25</w:t>
            </w:r>
            <w:r>
              <w:rPr>
                <w:rFonts w:cs="Arial"/>
              </w:rPr>
              <w:t>°</w:t>
            </w:r>
            <w:r>
              <w:t xml:space="preserve">C and 101.3 </w:t>
            </w:r>
            <w:proofErr w:type="spellStart"/>
            <w:r>
              <w:t>kPa</w:t>
            </w:r>
            <w:proofErr w:type="spellEnd"/>
            <w:r>
              <w:t xml:space="preserve">: </w:t>
            </w:r>
          </w:p>
        </w:tc>
        <w:tc>
          <w:tcPr>
            <w:tcW w:w="5165" w:type="dxa"/>
            <w:vAlign w:val="center"/>
          </w:tcPr>
          <w:p w14:paraId="0873848C" w14:textId="638AF9EE" w:rsidR="00A31D99" w:rsidRDefault="00A0643F" w:rsidP="00A174CC">
            <w:pPr>
              <w:pStyle w:val="Tablefont"/>
            </w:pPr>
            <w:r>
              <w:t xml:space="preserve">1 ppm = </w:t>
            </w:r>
            <w:sdt>
              <w:sdtPr>
                <w:id w:val="-371151491"/>
                <w:placeholder>
                  <w:docPart w:val="A7231FB73EFF4B2B92EB3BD21C0CEA01"/>
                </w:placeholder>
              </w:sdtPr>
              <w:sdtEndPr/>
              <w:sdtContent>
                <w:r w:rsidR="00095108">
                  <w:t>4.09</w:t>
                </w:r>
              </w:sdtContent>
            </w:sdt>
            <w:r>
              <w:t xml:space="preserve"> mg/m</w:t>
            </w:r>
            <w:r w:rsidRPr="00D83761">
              <w:rPr>
                <w:vertAlign w:val="superscript"/>
              </w:rPr>
              <w:t>3</w:t>
            </w:r>
            <w:r>
              <w:t>; 1 mg/m</w:t>
            </w:r>
            <w:r w:rsidRPr="00D83761">
              <w:rPr>
                <w:vertAlign w:val="superscript"/>
              </w:rPr>
              <w:t>3</w:t>
            </w:r>
            <w:r>
              <w:t xml:space="preserve"> = </w:t>
            </w:r>
            <w:sdt>
              <w:sdtPr>
                <w:id w:val="-1913150218"/>
                <w:placeholder>
                  <w:docPart w:val="5D98FA8C84704C71B6F1557317AE5303"/>
                </w:placeholder>
              </w:sdtPr>
              <w:sdtEndPr/>
              <w:sdtContent>
                <w:r w:rsidR="00095108">
                  <w:t>0.245</w:t>
                </w:r>
              </w:sdtContent>
            </w:sdt>
            <w:r w:rsidRPr="00095108">
              <w:t xml:space="preserve"> </w:t>
            </w:r>
            <w:r>
              <w:t>ppm</w:t>
            </w:r>
          </w:p>
        </w:tc>
      </w:tr>
      <w:tr w:rsidR="00687890" w:rsidRPr="004C23F4" w14:paraId="45E9EECD" w14:textId="77777777" w:rsidTr="00EA6243">
        <w:trPr>
          <w:cantSplit/>
          <w:tblHeader/>
        </w:trPr>
        <w:tc>
          <w:tcPr>
            <w:tcW w:w="4077" w:type="dxa"/>
            <w:vAlign w:val="center"/>
          </w:tcPr>
          <w:p w14:paraId="5E9DFFE9" w14:textId="77777777" w:rsidR="00687890" w:rsidRPr="00263255" w:rsidRDefault="00687890" w:rsidP="00263255">
            <w:pPr>
              <w:pStyle w:val="Tablefont"/>
            </w:pPr>
            <w:r w:rsidRPr="00263255">
              <w:t>This chemical is used as a pesticide:</w:t>
            </w:r>
          </w:p>
        </w:tc>
        <w:sdt>
          <w:sdtPr>
            <w:id w:val="17044410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6E6F7BB6" w14:textId="77777777" w:rsidR="00687890" w:rsidRPr="004C23F4" w:rsidRDefault="00E46BCB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670DD48F" w14:textId="77777777" w:rsidTr="00EA6243">
        <w:trPr>
          <w:cantSplit/>
        </w:trPr>
        <w:tc>
          <w:tcPr>
            <w:tcW w:w="4077" w:type="dxa"/>
            <w:vAlign w:val="center"/>
          </w:tcPr>
          <w:p w14:paraId="3A7B07B7" w14:textId="77777777" w:rsidR="00687890" w:rsidRPr="00263255" w:rsidRDefault="00687890" w:rsidP="00263255">
            <w:pPr>
              <w:pStyle w:val="Tablefont"/>
            </w:pPr>
            <w:r w:rsidRPr="00263255">
              <w:t>This chemical is a biological product:</w:t>
            </w:r>
          </w:p>
        </w:tc>
        <w:sdt>
          <w:sdtPr>
            <w:id w:val="-659616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1CE3B7C5" w14:textId="77777777" w:rsidR="00687890" w:rsidRPr="004C23F4" w:rsidRDefault="00A20751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687890" w:rsidRPr="004C23F4" w14:paraId="0E8B4FD2" w14:textId="77777777" w:rsidTr="00EA6243">
        <w:trPr>
          <w:cantSplit/>
        </w:trPr>
        <w:tc>
          <w:tcPr>
            <w:tcW w:w="4077" w:type="dxa"/>
            <w:vAlign w:val="center"/>
          </w:tcPr>
          <w:p w14:paraId="18A0638B" w14:textId="77777777" w:rsidR="00687890" w:rsidRPr="00263255" w:rsidRDefault="00687890" w:rsidP="00263255">
            <w:pPr>
              <w:pStyle w:val="Tablefont"/>
            </w:pPr>
            <w:r w:rsidRPr="00263255">
              <w:t>This chemical is a by-product of a process:</w:t>
            </w:r>
          </w:p>
        </w:tc>
        <w:sdt>
          <w:sdtPr>
            <w:id w:val="-8631344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165" w:type="dxa"/>
                <w:vAlign w:val="center"/>
              </w:tcPr>
              <w:p w14:paraId="5C178D0F" w14:textId="77777777" w:rsidR="00687890" w:rsidRPr="004C23F4" w:rsidRDefault="00687890" w:rsidP="00717D45">
                <w:pPr>
                  <w:pStyle w:val="Tablefont"/>
                </w:pPr>
                <w:r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  <w:tr w:rsidR="00E06F40" w:rsidRPr="004C23F4" w14:paraId="5557505A" w14:textId="77777777" w:rsidTr="00EA6243">
        <w:trPr>
          <w:cantSplit/>
        </w:trPr>
        <w:tc>
          <w:tcPr>
            <w:tcW w:w="4077" w:type="dxa"/>
            <w:vAlign w:val="center"/>
          </w:tcPr>
          <w:p w14:paraId="1181D6D3" w14:textId="77777777" w:rsidR="00E06F40" w:rsidRPr="00263255" w:rsidRDefault="00E06F40" w:rsidP="00084513">
            <w:pPr>
              <w:pStyle w:val="Tablefont"/>
            </w:pPr>
            <w:r w:rsidRPr="00263255">
              <w:t xml:space="preserve">A biological exposure index has been recommended by </w:t>
            </w:r>
            <w:r w:rsidR="00084513">
              <w:t>these agencies</w:t>
            </w:r>
            <w:r w:rsidRPr="00263255">
              <w:t>:</w:t>
            </w:r>
          </w:p>
        </w:tc>
        <w:tc>
          <w:tcPr>
            <w:tcW w:w="5165" w:type="dxa"/>
            <w:vAlign w:val="center"/>
          </w:tcPr>
          <w:p w14:paraId="3D1B2496" w14:textId="77777777" w:rsidR="00E06F40" w:rsidRPr="00A006A0" w:rsidRDefault="00A42C7B" w:rsidP="00B40C60">
            <w:pPr>
              <w:pStyle w:val="Tablefont"/>
              <w:tabs>
                <w:tab w:val="left" w:pos="1310"/>
                <w:tab w:val="left" w:pos="2444"/>
                <w:tab w:val="left" w:pos="3861"/>
              </w:tabs>
            </w:pPr>
            <w:sdt>
              <w:sdtPr>
                <w:id w:val="92759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ACGIH</w:t>
            </w:r>
            <w:r w:rsidR="00E06F40">
              <w:tab/>
            </w:r>
            <w:sdt>
              <w:sdtPr>
                <w:id w:val="129367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DFG</w:t>
            </w:r>
            <w:r w:rsidR="00E06F40">
              <w:tab/>
            </w:r>
            <w:sdt>
              <w:sdtPr>
                <w:id w:val="-15358760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06F40" w:rsidRPr="004C23F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E06F40" w:rsidRPr="00A006A0">
              <w:t xml:space="preserve"> SCOEL</w:t>
            </w:r>
            <w:r w:rsidR="00E06F40">
              <w:tab/>
            </w:r>
          </w:p>
        </w:tc>
      </w:tr>
    </w:tbl>
    <w:p w14:paraId="11B27FF0" w14:textId="77777777" w:rsidR="007F1005" w:rsidRPr="004C23F4" w:rsidRDefault="007F1005" w:rsidP="00EB3D1B">
      <w:pPr>
        <w:pStyle w:val="Heading2"/>
        <w:keepLines/>
      </w:pPr>
      <w:r w:rsidRPr="004C23F4">
        <w:t xml:space="preserve">Workplace exposure </w:t>
      </w:r>
      <w:r w:rsidR="00B479A9" w:rsidRPr="004C23F4">
        <w:t>standard history</w:t>
      </w:r>
    </w:p>
    <w:tbl>
      <w:tblPr>
        <w:tblStyle w:val="TableGrid"/>
        <w:tblW w:w="5000" w:type="pct"/>
        <w:tblBorders>
          <w:top w:val="single" w:sz="8" w:space="0" w:color="BFBFBF" w:themeColor="background1" w:themeShade="BF"/>
          <w:left w:val="none" w:sz="0" w:space="0" w:color="auto"/>
          <w:bottom w:val="single" w:sz="8" w:space="0" w:color="BFBFBF" w:themeColor="background1" w:themeShade="BF"/>
          <w:right w:val="none" w:sz="0" w:space="0" w:color="auto"/>
          <w:insideH w:val="single" w:sz="8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Showing Workplace Exposure Standard history"/>
      </w:tblPr>
      <w:tblGrid>
        <w:gridCol w:w="3979"/>
        <w:gridCol w:w="5047"/>
      </w:tblGrid>
      <w:tr w:rsidR="00224EE2" w:rsidRPr="004C23F4" w14:paraId="5BBD7903" w14:textId="77777777" w:rsidTr="00F053FA">
        <w:trPr>
          <w:tblHeader/>
        </w:trPr>
        <w:tc>
          <w:tcPr>
            <w:tcW w:w="4077" w:type="dxa"/>
            <w:shd w:val="clear" w:color="auto" w:fill="BFBFBF" w:themeFill="background1" w:themeFillShade="BF"/>
            <w:vAlign w:val="center"/>
          </w:tcPr>
          <w:p w14:paraId="07E2DB9B" w14:textId="77777777" w:rsidR="00224EE2" w:rsidRPr="004C23F4" w:rsidRDefault="00224EE2" w:rsidP="00EB3D1B">
            <w:pPr>
              <w:pStyle w:val="Tableheader"/>
              <w:keepNext/>
              <w:keepLines/>
            </w:pPr>
            <w:bookmarkStart w:id="5" w:name="History" w:colFirst="0" w:colLast="1"/>
            <w:r>
              <w:t>Year</w:t>
            </w:r>
          </w:p>
        </w:tc>
        <w:tc>
          <w:tcPr>
            <w:tcW w:w="5165" w:type="dxa"/>
            <w:shd w:val="clear" w:color="auto" w:fill="BFBFBF" w:themeFill="background1" w:themeFillShade="BF"/>
            <w:vAlign w:val="center"/>
          </w:tcPr>
          <w:p w14:paraId="250F6C61" w14:textId="77777777" w:rsidR="00224EE2" w:rsidRPr="004C23F4" w:rsidRDefault="00224EE2" w:rsidP="00EB3D1B">
            <w:pPr>
              <w:pStyle w:val="Tableheader"/>
              <w:keepNext/>
              <w:keepLines/>
            </w:pPr>
            <w:r>
              <w:t>Standard</w:t>
            </w:r>
          </w:p>
        </w:tc>
      </w:tr>
      <w:tr w:rsidR="007F1005" w:rsidRPr="004C23F4" w14:paraId="4735CFFC" w14:textId="77777777" w:rsidTr="00F053FA">
        <w:trPr>
          <w:tblHeader/>
        </w:trPr>
        <w:sdt>
          <w:sdtPr>
            <w:id w:val="-25557549"/>
            <w:placeholder>
              <w:docPart w:val="2BF891C0AB704CDAB9BC6E80D556473F"/>
            </w:placeholder>
            <w:showingPlcHdr/>
            <w:text/>
          </w:sdtPr>
          <w:sdtEndPr/>
          <w:sdtContent>
            <w:tc>
              <w:tcPr>
                <w:tcW w:w="4077" w:type="dxa"/>
                <w:vAlign w:val="center"/>
              </w:tcPr>
              <w:p w14:paraId="0ED855A3" w14:textId="77777777" w:rsidR="007F1005" w:rsidRPr="004C23F4" w:rsidRDefault="00131092" w:rsidP="00EB3D1B">
                <w:pPr>
                  <w:pStyle w:val="Tablefont"/>
                  <w:keepLines/>
                </w:pPr>
                <w:r w:rsidRPr="004C23F4">
                  <w:rPr>
                    <w:rStyle w:val="PlaceholderText"/>
                    <w:rFonts w:cs="Arial"/>
                  </w:rPr>
                  <w:t>Click here to enter year</w:t>
                </w:r>
              </w:p>
            </w:tc>
          </w:sdtContent>
        </w:sdt>
        <w:tc>
          <w:tcPr>
            <w:tcW w:w="5165" w:type="dxa"/>
            <w:vAlign w:val="center"/>
          </w:tcPr>
          <w:p w14:paraId="1C5A171F" w14:textId="77777777" w:rsidR="007F1005" w:rsidRPr="004C23F4" w:rsidRDefault="007F1005" w:rsidP="00EB3D1B">
            <w:pPr>
              <w:pStyle w:val="Tablefont"/>
              <w:keepLines/>
            </w:pPr>
          </w:p>
        </w:tc>
      </w:tr>
    </w:tbl>
    <w:bookmarkEnd w:id="5"/>
    <w:p w14:paraId="7678DA93" w14:textId="77777777" w:rsidR="00F87D92" w:rsidRDefault="00F87D92" w:rsidP="00EF7F78">
      <w:pPr>
        <w:pStyle w:val="Heading2"/>
        <w:tabs>
          <w:tab w:val="right" w:pos="8505"/>
        </w:tabs>
      </w:pPr>
      <w:r>
        <w:t>References</w:t>
      </w:r>
      <w:r w:rsidR="00EF7F78">
        <w:tab/>
      </w:r>
    </w:p>
    <w:p w14:paraId="1566260D" w14:textId="71E64BFB" w:rsidR="007F1005" w:rsidRDefault="006650FE" w:rsidP="00084859">
      <w:r>
        <w:t>American Conference of Industrial Hygienists (ACGIH</w:t>
      </w:r>
      <w:r>
        <w:rPr>
          <w:vertAlign w:val="superscript"/>
        </w:rPr>
        <w:t>®</w:t>
      </w:r>
      <w:r>
        <w:t>) (201</w:t>
      </w:r>
      <w:r w:rsidR="00F67BBB">
        <w:t>8</w:t>
      </w:r>
      <w:r>
        <w:t>) TLVs</w:t>
      </w:r>
      <w:r>
        <w:rPr>
          <w:vertAlign w:val="superscript"/>
        </w:rPr>
        <w:t>®</w:t>
      </w:r>
      <w:r>
        <w:t xml:space="preserve"> and BEIs</w:t>
      </w:r>
      <w:r>
        <w:rPr>
          <w:vertAlign w:val="superscript"/>
        </w:rPr>
        <w:t>®</w:t>
      </w:r>
      <w:r>
        <w:t xml:space="preserve"> with 7</w:t>
      </w:r>
      <w:r>
        <w:rPr>
          <w:vertAlign w:val="superscript"/>
        </w:rPr>
        <w:t>th</w:t>
      </w:r>
      <w:r>
        <w:t xml:space="preserve"> Edition Documentation, CD-ROM, Single User Version. Copyright 201</w:t>
      </w:r>
      <w:r w:rsidR="00F67BBB">
        <w:t>8</w:t>
      </w:r>
      <w:r>
        <w:t xml:space="preserve">. Reprinted with permission. See the </w:t>
      </w:r>
      <w:hyperlink r:id="rId17" w:history="1">
        <w:r>
          <w:rPr>
            <w:rStyle w:val="Hyperlink"/>
            <w:i/>
          </w:rPr>
          <w:t>TLVs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and BEIs</w:t>
        </w:r>
        <w:r>
          <w:rPr>
            <w:rStyle w:val="Hyperlink"/>
            <w:i/>
            <w:vertAlign w:val="superscript"/>
          </w:rPr>
          <w:t>®</w:t>
        </w:r>
        <w:r>
          <w:rPr>
            <w:rStyle w:val="Hyperlink"/>
            <w:i/>
          </w:rPr>
          <w:t xml:space="preserve"> Guidelines section</w:t>
        </w:r>
      </w:hyperlink>
      <w:r>
        <w:t xml:space="preserve"> on the ACGIH website.</w:t>
      </w:r>
    </w:p>
    <w:p w14:paraId="7AE7C117" w14:textId="77777777" w:rsidR="00C77CEB" w:rsidRDefault="00C77CEB" w:rsidP="00C77CEB">
      <w:r w:rsidRPr="002022B6">
        <w:t xml:space="preserve">Deutsche </w:t>
      </w:r>
      <w:proofErr w:type="spellStart"/>
      <w:r w:rsidRPr="002022B6">
        <w:t>Forschungsgemeinschaft</w:t>
      </w:r>
      <w:proofErr w:type="spellEnd"/>
      <w:r w:rsidRPr="002022B6">
        <w:t xml:space="preserve"> (DFG)</w:t>
      </w:r>
      <w:r>
        <w:t xml:space="preserve"> (2016) </w:t>
      </w:r>
      <w:proofErr w:type="spellStart"/>
      <w:r w:rsidRPr="00095108">
        <w:t>Ethylacrylat</w:t>
      </w:r>
      <w:proofErr w:type="spellEnd"/>
      <w:r>
        <w:t xml:space="preserve"> – MAK value documentation.</w:t>
      </w:r>
    </w:p>
    <w:p w14:paraId="5157B31F" w14:textId="77777777" w:rsidR="00C77CEB" w:rsidRDefault="00C77CEB" w:rsidP="00C77CEB">
      <w:r>
        <w:t xml:space="preserve">European Chemicals Agency (ECHA) (2019) </w:t>
      </w:r>
      <w:r w:rsidRPr="00095108">
        <w:t>Ethyl acrylate</w:t>
      </w:r>
      <w:r>
        <w:t xml:space="preserve"> – REACH assessment.</w:t>
      </w:r>
    </w:p>
    <w:p w14:paraId="2AFDD1D3" w14:textId="3B3DD954" w:rsidR="0043345D" w:rsidRDefault="0043345D" w:rsidP="0043345D">
      <w:r>
        <w:t xml:space="preserve">Health Council of the Netherlands. Ethyl acrylate. Evaluation of the carcinogenicity and </w:t>
      </w:r>
      <w:proofErr w:type="spellStart"/>
      <w:r>
        <w:t>genotoxicity</w:t>
      </w:r>
      <w:proofErr w:type="spellEnd"/>
      <w:r>
        <w:t>. The Hague: Health Council of the Netherlands, 2012; publication no. 2012/19.</w:t>
      </w:r>
    </w:p>
    <w:p w14:paraId="05E98CE2" w14:textId="77777777" w:rsidR="00C77CEB" w:rsidRDefault="00C77CEB" w:rsidP="00C77CEB">
      <w:r w:rsidRPr="002022B6">
        <w:t>International Agency for Research on Cancer</w:t>
      </w:r>
      <w:r>
        <w:t xml:space="preserve"> (IARC) (</w:t>
      </w:r>
      <w:r w:rsidRPr="00095108">
        <w:t>In prep.</w:t>
      </w:r>
      <w:r>
        <w:t xml:space="preserve">) </w:t>
      </w:r>
      <w:r w:rsidRPr="00095108">
        <w:t>Ethyl acrylate</w:t>
      </w:r>
      <w:r>
        <w:t>. IARC Monographs on the evaluation of the carcinogenic risk to humans.</w:t>
      </w:r>
    </w:p>
    <w:p w14:paraId="525F1D0F" w14:textId="25568B72" w:rsidR="00095108" w:rsidRDefault="00095108" w:rsidP="0043345D">
      <w:r w:rsidRPr="002022B6">
        <w:t>National Industrial Chemicals Notification and Assessment Scheme (NICNAS)</w:t>
      </w:r>
      <w:r>
        <w:t xml:space="preserve"> (</w:t>
      </w:r>
      <w:r w:rsidRPr="00095108">
        <w:t>2015</w:t>
      </w:r>
      <w:r>
        <w:t xml:space="preserve">) </w:t>
      </w:r>
      <w:r w:rsidRPr="00095108">
        <w:t>2-Propenoic acid, ethyl ester</w:t>
      </w:r>
      <w:r w:rsidRPr="0071660C">
        <w:t xml:space="preserve">: Human health </w:t>
      </w:r>
      <w:r w:rsidRPr="00095108">
        <w:t>tier II</w:t>
      </w:r>
      <w:r>
        <w:t xml:space="preserve"> </w:t>
      </w:r>
      <w:r w:rsidRPr="0071660C">
        <w:t>assessment</w:t>
      </w:r>
      <w:r>
        <w:t xml:space="preserve"> – IMAP report.</w:t>
      </w:r>
    </w:p>
    <w:p w14:paraId="4FBFC4C1" w14:textId="34761745" w:rsidR="00095108" w:rsidRDefault="00095108" w:rsidP="0043345D">
      <w:r w:rsidRPr="00D86E03">
        <w:lastRenderedPageBreak/>
        <w:t>US National Institute for Occupational Safety and Health (NIOSH)</w:t>
      </w:r>
      <w:r>
        <w:t xml:space="preserve"> (</w:t>
      </w:r>
      <w:r w:rsidRPr="00095108">
        <w:t>1994</w:t>
      </w:r>
      <w:r>
        <w:t xml:space="preserve">) </w:t>
      </w:r>
      <w:proofErr w:type="gramStart"/>
      <w:r>
        <w:t>Immediately</w:t>
      </w:r>
      <w:proofErr w:type="gramEnd"/>
      <w:r>
        <w:t xml:space="preserve"> dangerous to life or health concentrations – e</w:t>
      </w:r>
      <w:r w:rsidRPr="00095108">
        <w:t>thyl acrylate</w:t>
      </w:r>
      <w:r>
        <w:t>.</w:t>
      </w:r>
    </w:p>
    <w:p w14:paraId="31FF5C6C" w14:textId="6167BECA" w:rsidR="00095108" w:rsidRDefault="00095108" w:rsidP="0043345D">
      <w:r w:rsidRPr="00D86E03">
        <w:t>US National Institute for Occupational Safety and Health (NIOSH)</w:t>
      </w:r>
      <w:r>
        <w:t xml:space="preserve"> (</w:t>
      </w:r>
      <w:r w:rsidRPr="00095108">
        <w:t>2014</w:t>
      </w:r>
      <w:r>
        <w:t xml:space="preserve">) </w:t>
      </w:r>
      <w:r w:rsidRPr="006B0272">
        <w:t xml:space="preserve">NIOSH Skin Notation Profiles: </w:t>
      </w:r>
      <w:r>
        <w:t>e</w:t>
      </w:r>
      <w:r w:rsidR="00C63FA1">
        <w:t>thyl a</w:t>
      </w:r>
      <w:r w:rsidRPr="00095108">
        <w:t>crylate</w:t>
      </w:r>
      <w:r>
        <w:t>.</w:t>
      </w:r>
    </w:p>
    <w:bookmarkEnd w:id="0"/>
    <w:p w14:paraId="63F65016" w14:textId="77777777" w:rsidR="0043345D" w:rsidRPr="00351FE0" w:rsidRDefault="0043345D" w:rsidP="0043345D"/>
    <w:sectPr w:rsidR="0043345D" w:rsidRPr="00351FE0" w:rsidSect="00B87D4C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010B62" w16cid:durableId="2180EF32"/>
  <w16cid:commentId w16cid:paraId="55AD53F5" w16cid:durableId="2180EF7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ACCB0" w14:textId="77777777" w:rsidR="00BA4014" w:rsidRDefault="00BA4014" w:rsidP="00F43AD5">
      <w:pPr>
        <w:spacing w:after="0" w:line="240" w:lineRule="auto"/>
      </w:pPr>
      <w:r>
        <w:separator/>
      </w:r>
    </w:p>
  </w:endnote>
  <w:endnote w:type="continuationSeparator" w:id="0">
    <w:p w14:paraId="62C46C30" w14:textId="77777777" w:rsidR="00BA4014" w:rsidRDefault="00BA4014" w:rsidP="00F4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D4D2E" w14:textId="77777777" w:rsidR="00510E0C" w:rsidRDefault="00510E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578744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6C31AF01" w14:textId="7D07C7AD" w:rsidR="008A36CF" w:rsidRDefault="0006464C" w:rsidP="0034744C">
        <w:pPr>
          <w:pStyle w:val="Footer"/>
          <w:rPr>
            <w:sz w:val="18"/>
            <w:szCs w:val="18"/>
          </w:rPr>
        </w:pPr>
        <w:r w:rsidRPr="0006464C">
          <w:rPr>
            <w:b/>
            <w:sz w:val="18"/>
            <w:szCs w:val="18"/>
          </w:rPr>
          <w:t>Ethyl acrylate</w:t>
        </w:r>
        <w:r w:rsidR="008A36CF">
          <w:rPr>
            <w:b/>
            <w:sz w:val="18"/>
            <w:szCs w:val="18"/>
          </w:rPr>
          <w:t xml:space="preserve"> (</w:t>
        </w:r>
        <w:r w:rsidRPr="0006464C">
          <w:rPr>
            <w:b/>
            <w:sz w:val="18"/>
            <w:szCs w:val="18"/>
          </w:rPr>
          <w:t>140-88-5</w:t>
        </w:r>
        <w:proofErr w:type="gramStart"/>
        <w:r w:rsidR="008A36CF">
          <w:rPr>
            <w:b/>
            <w:sz w:val="18"/>
            <w:szCs w:val="18"/>
          </w:rPr>
          <w:t>)</w:t>
        </w:r>
        <w:proofErr w:type="gramEnd"/>
        <w:r w:rsidR="008A36CF" w:rsidRPr="00F43AD5">
          <w:rPr>
            <w:sz w:val="18"/>
            <w:szCs w:val="18"/>
          </w:rPr>
          <w:br/>
          <w:t xml:space="preserve">Safe Work Australia </w:t>
        </w:r>
        <w:r w:rsidR="008A36CF" w:rsidRPr="00F43AD5">
          <w:rPr>
            <w:rFonts w:ascii="Courier New" w:hAnsi="Courier New" w:cs="Courier New"/>
            <w:sz w:val="18"/>
            <w:szCs w:val="18"/>
          </w:rPr>
          <w:t>—</w:t>
        </w:r>
        <w:r w:rsidR="008A36CF" w:rsidRPr="00F43AD5">
          <w:rPr>
            <w:sz w:val="18"/>
            <w:szCs w:val="18"/>
          </w:rPr>
          <w:t xml:space="preserve"> 201</w:t>
        </w:r>
        <w:r w:rsidR="00351FE0">
          <w:rPr>
            <w:sz w:val="18"/>
            <w:szCs w:val="18"/>
          </w:rPr>
          <w:t>9</w:t>
        </w:r>
      </w:p>
      <w:p w14:paraId="4913A197" w14:textId="66262A97" w:rsidR="008A36CF" w:rsidRPr="00F43AD5" w:rsidRDefault="008A36CF" w:rsidP="00A27E2D">
        <w:pPr>
          <w:pStyle w:val="Footer"/>
          <w:jc w:val="right"/>
          <w:rPr>
            <w:sz w:val="18"/>
            <w:szCs w:val="18"/>
          </w:rPr>
        </w:pPr>
        <w:r w:rsidRPr="00F43AD5">
          <w:rPr>
            <w:sz w:val="18"/>
            <w:szCs w:val="18"/>
          </w:rPr>
          <w:fldChar w:fldCharType="begin"/>
        </w:r>
        <w:r w:rsidRPr="00F43AD5">
          <w:rPr>
            <w:sz w:val="18"/>
            <w:szCs w:val="18"/>
          </w:rPr>
          <w:instrText xml:space="preserve"> PAGE   \* MERGEFORMAT </w:instrText>
        </w:r>
        <w:r w:rsidRPr="00F43AD5">
          <w:rPr>
            <w:sz w:val="18"/>
            <w:szCs w:val="18"/>
          </w:rPr>
          <w:fldChar w:fldCharType="separate"/>
        </w:r>
        <w:r w:rsidR="00A42C7B">
          <w:rPr>
            <w:noProof/>
            <w:sz w:val="18"/>
            <w:szCs w:val="18"/>
          </w:rPr>
          <w:t>6</w:t>
        </w:r>
        <w:r w:rsidRPr="00F43AD5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B73F9" w14:textId="77777777" w:rsidR="00510E0C" w:rsidRDefault="00510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E3561" w14:textId="77777777" w:rsidR="00BA4014" w:rsidRDefault="00BA4014" w:rsidP="00F43AD5">
      <w:pPr>
        <w:spacing w:after="0" w:line="240" w:lineRule="auto"/>
      </w:pPr>
      <w:r>
        <w:separator/>
      </w:r>
    </w:p>
  </w:footnote>
  <w:footnote w:type="continuationSeparator" w:id="0">
    <w:p w14:paraId="107625A9" w14:textId="77777777" w:rsidR="00BA4014" w:rsidRDefault="00BA4014" w:rsidP="00F4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9BCEF" w14:textId="047DCE8C" w:rsidR="00510E0C" w:rsidRDefault="00A42C7B">
    <w:pPr>
      <w:pStyle w:val="Header"/>
    </w:pPr>
    <w:r>
      <w:rPr>
        <w:noProof/>
      </w:rPr>
      <w:pict w14:anchorId="5D4393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4" o:spid="_x0000_s10242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64CDD" w14:textId="0D3BAD3B" w:rsidR="008A36CF" w:rsidRDefault="00A42C7B" w:rsidP="00F43AD5">
    <w:pPr>
      <w:pStyle w:val="Header"/>
      <w:jc w:val="right"/>
    </w:pPr>
    <w:r>
      <w:rPr>
        <w:noProof/>
      </w:rPr>
      <w:pict w14:anchorId="39625A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5" o:spid="_x0000_s10243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  <w:r w:rsidR="008A36CF">
      <w:rPr>
        <w:noProof/>
        <w:lang w:eastAsia="en-AU"/>
      </w:rPr>
      <w:drawing>
        <wp:inline distT="0" distB="0" distL="0" distR="0" wp14:anchorId="1F50867D" wp14:editId="6F441983">
          <wp:extent cx="2938272" cy="594360"/>
          <wp:effectExtent l="0" t="0" r="0" b="0"/>
          <wp:docPr id="2" name="Picture 2" descr="Safe Work Australia logo" title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_logo_inline Hi-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272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C70A" w14:textId="742DE697" w:rsidR="00510E0C" w:rsidRDefault="00A42C7B">
    <w:pPr>
      <w:pStyle w:val="Header"/>
    </w:pPr>
    <w:r>
      <w:rPr>
        <w:noProof/>
      </w:rPr>
      <w:pict w14:anchorId="2155D0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3" o:spid="_x0000_s10241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7B8E5" w14:textId="725804E0" w:rsidR="00A42C7B" w:rsidRDefault="00A42C7B">
    <w:pPr>
      <w:pStyle w:val="Header"/>
    </w:pPr>
    <w:r>
      <w:rPr>
        <w:noProof/>
      </w:rPr>
      <w:pict w14:anchorId="350A97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7" o:spid="_x0000_s10245" type="#_x0000_t136" style="position:absolute;margin-left:0;margin-top:0;width:454.5pt;height:181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000DA" w14:textId="229CA985" w:rsidR="008A36CF" w:rsidRDefault="00A42C7B" w:rsidP="00F43AD5">
    <w:pPr>
      <w:pStyle w:val="Header"/>
      <w:jc w:val="right"/>
    </w:pPr>
    <w:r>
      <w:rPr>
        <w:noProof/>
      </w:rPr>
      <w:pict w14:anchorId="00825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8" o:spid="_x0000_s10246" type="#_x0000_t136" style="position:absolute;left:0;text-align:left;margin-left:0;margin-top:0;width:454.5pt;height:181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E43FB" w14:textId="1E4ADF30" w:rsidR="00A42C7B" w:rsidRDefault="00A42C7B">
    <w:pPr>
      <w:pStyle w:val="Header"/>
    </w:pPr>
    <w:r>
      <w:rPr>
        <w:noProof/>
      </w:rPr>
      <w:pict w14:anchorId="23D430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68706" o:spid="_x0000_s10244" type="#_x0000_t136" style="position:absolute;margin-left:0;margin-top:0;width:454.5pt;height:181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51691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93286"/>
    <w:multiLevelType w:val="hybridMultilevel"/>
    <w:tmpl w:val="097E83BC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80D2A3A"/>
    <w:multiLevelType w:val="hybridMultilevel"/>
    <w:tmpl w:val="6AE8C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9318D"/>
    <w:multiLevelType w:val="hybridMultilevel"/>
    <w:tmpl w:val="34BEDA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AppendixName" w:val="Appendix"/>
  </w:docVars>
  <w:rsids>
    <w:rsidRoot w:val="00610F2E"/>
    <w:rsid w:val="00000109"/>
    <w:rsid w:val="00007B80"/>
    <w:rsid w:val="00007FBC"/>
    <w:rsid w:val="00013A22"/>
    <w:rsid w:val="00014C3F"/>
    <w:rsid w:val="00017C82"/>
    <w:rsid w:val="000226B8"/>
    <w:rsid w:val="00031D6C"/>
    <w:rsid w:val="00032B88"/>
    <w:rsid w:val="00046DF5"/>
    <w:rsid w:val="00052060"/>
    <w:rsid w:val="00052BC9"/>
    <w:rsid w:val="0005574A"/>
    <w:rsid w:val="00055FE1"/>
    <w:rsid w:val="00056EC2"/>
    <w:rsid w:val="00060B48"/>
    <w:rsid w:val="0006464C"/>
    <w:rsid w:val="00067F32"/>
    <w:rsid w:val="00071807"/>
    <w:rsid w:val="000803E1"/>
    <w:rsid w:val="00084513"/>
    <w:rsid w:val="00084859"/>
    <w:rsid w:val="00092D94"/>
    <w:rsid w:val="00095108"/>
    <w:rsid w:val="000B0868"/>
    <w:rsid w:val="000B3E12"/>
    <w:rsid w:val="000B3E78"/>
    <w:rsid w:val="000B7B48"/>
    <w:rsid w:val="000C096D"/>
    <w:rsid w:val="000C139A"/>
    <w:rsid w:val="000C2053"/>
    <w:rsid w:val="000C248C"/>
    <w:rsid w:val="000D291C"/>
    <w:rsid w:val="000E5A54"/>
    <w:rsid w:val="000E63D3"/>
    <w:rsid w:val="000E67CF"/>
    <w:rsid w:val="0010461E"/>
    <w:rsid w:val="00106FAA"/>
    <w:rsid w:val="00113443"/>
    <w:rsid w:val="001269A7"/>
    <w:rsid w:val="00131092"/>
    <w:rsid w:val="00140E6A"/>
    <w:rsid w:val="00146545"/>
    <w:rsid w:val="00146B75"/>
    <w:rsid w:val="0015266D"/>
    <w:rsid w:val="0015288A"/>
    <w:rsid w:val="00160F47"/>
    <w:rsid w:val="0016509F"/>
    <w:rsid w:val="0016712C"/>
    <w:rsid w:val="00177CA1"/>
    <w:rsid w:val="00183823"/>
    <w:rsid w:val="00183942"/>
    <w:rsid w:val="001A009E"/>
    <w:rsid w:val="001A1287"/>
    <w:rsid w:val="001A3859"/>
    <w:rsid w:val="001A3C9D"/>
    <w:rsid w:val="001A43F8"/>
    <w:rsid w:val="001B79E5"/>
    <w:rsid w:val="001C0D1A"/>
    <w:rsid w:val="001D56F0"/>
    <w:rsid w:val="001D663B"/>
    <w:rsid w:val="001D7B41"/>
    <w:rsid w:val="001E46DA"/>
    <w:rsid w:val="001E7D80"/>
    <w:rsid w:val="001F4B6C"/>
    <w:rsid w:val="001F62CB"/>
    <w:rsid w:val="001F6ED0"/>
    <w:rsid w:val="001F72E6"/>
    <w:rsid w:val="001F73C5"/>
    <w:rsid w:val="002046A6"/>
    <w:rsid w:val="00204956"/>
    <w:rsid w:val="00213640"/>
    <w:rsid w:val="002168C8"/>
    <w:rsid w:val="00221547"/>
    <w:rsid w:val="002216FC"/>
    <w:rsid w:val="00222533"/>
    <w:rsid w:val="00222F30"/>
    <w:rsid w:val="00224EE2"/>
    <w:rsid w:val="00227EC7"/>
    <w:rsid w:val="00240342"/>
    <w:rsid w:val="00244AD1"/>
    <w:rsid w:val="002463BC"/>
    <w:rsid w:val="002465CE"/>
    <w:rsid w:val="0025734A"/>
    <w:rsid w:val="00263255"/>
    <w:rsid w:val="00276494"/>
    <w:rsid w:val="00277B0C"/>
    <w:rsid w:val="002B1A2C"/>
    <w:rsid w:val="002B2E1D"/>
    <w:rsid w:val="002C165A"/>
    <w:rsid w:val="002C34F2"/>
    <w:rsid w:val="002C58FF"/>
    <w:rsid w:val="002C7AFE"/>
    <w:rsid w:val="002D05D2"/>
    <w:rsid w:val="002E0D61"/>
    <w:rsid w:val="002E4C7B"/>
    <w:rsid w:val="0030740C"/>
    <w:rsid w:val="00315833"/>
    <w:rsid w:val="003215EE"/>
    <w:rsid w:val="003224BF"/>
    <w:rsid w:val="003241A8"/>
    <w:rsid w:val="003253F0"/>
    <w:rsid w:val="00330FB8"/>
    <w:rsid w:val="003337DA"/>
    <w:rsid w:val="00334EFB"/>
    <w:rsid w:val="00335CDE"/>
    <w:rsid w:val="003365A5"/>
    <w:rsid w:val="00344C58"/>
    <w:rsid w:val="00347192"/>
    <w:rsid w:val="0034744C"/>
    <w:rsid w:val="00351FE0"/>
    <w:rsid w:val="00352615"/>
    <w:rsid w:val="0035412B"/>
    <w:rsid w:val="00355E00"/>
    <w:rsid w:val="003567A8"/>
    <w:rsid w:val="00362895"/>
    <w:rsid w:val="00370DBF"/>
    <w:rsid w:val="00386093"/>
    <w:rsid w:val="00387F3D"/>
    <w:rsid w:val="003904A4"/>
    <w:rsid w:val="00391841"/>
    <w:rsid w:val="00391B6D"/>
    <w:rsid w:val="00394922"/>
    <w:rsid w:val="00394CFF"/>
    <w:rsid w:val="003A0E32"/>
    <w:rsid w:val="003A2B94"/>
    <w:rsid w:val="003B387D"/>
    <w:rsid w:val="003C0D58"/>
    <w:rsid w:val="003D4FA3"/>
    <w:rsid w:val="003E0807"/>
    <w:rsid w:val="003E51FB"/>
    <w:rsid w:val="003E6B39"/>
    <w:rsid w:val="003F07E1"/>
    <w:rsid w:val="004030BC"/>
    <w:rsid w:val="00403F7D"/>
    <w:rsid w:val="00406785"/>
    <w:rsid w:val="004079B4"/>
    <w:rsid w:val="00417A56"/>
    <w:rsid w:val="00420957"/>
    <w:rsid w:val="00422A10"/>
    <w:rsid w:val="00430179"/>
    <w:rsid w:val="0043345D"/>
    <w:rsid w:val="004414B5"/>
    <w:rsid w:val="00444482"/>
    <w:rsid w:val="00444B42"/>
    <w:rsid w:val="00445E44"/>
    <w:rsid w:val="004509E2"/>
    <w:rsid w:val="004515EE"/>
    <w:rsid w:val="004529F0"/>
    <w:rsid w:val="00460A03"/>
    <w:rsid w:val="00472A11"/>
    <w:rsid w:val="00472AAD"/>
    <w:rsid w:val="00474E33"/>
    <w:rsid w:val="00476803"/>
    <w:rsid w:val="00485BFD"/>
    <w:rsid w:val="004867A2"/>
    <w:rsid w:val="004873F2"/>
    <w:rsid w:val="00490D4C"/>
    <w:rsid w:val="00493A35"/>
    <w:rsid w:val="0049527A"/>
    <w:rsid w:val="004966BF"/>
    <w:rsid w:val="00497984"/>
    <w:rsid w:val="004A5088"/>
    <w:rsid w:val="004C1E3F"/>
    <w:rsid w:val="004C23F4"/>
    <w:rsid w:val="004C3475"/>
    <w:rsid w:val="004C4971"/>
    <w:rsid w:val="004C58B6"/>
    <w:rsid w:val="004D16A3"/>
    <w:rsid w:val="004D4AA1"/>
    <w:rsid w:val="004D6D68"/>
    <w:rsid w:val="004E5EDD"/>
    <w:rsid w:val="004F448A"/>
    <w:rsid w:val="004F493D"/>
    <w:rsid w:val="004F65E8"/>
    <w:rsid w:val="004F6F06"/>
    <w:rsid w:val="0050005E"/>
    <w:rsid w:val="00502B88"/>
    <w:rsid w:val="00510E0C"/>
    <w:rsid w:val="005142C4"/>
    <w:rsid w:val="0051509C"/>
    <w:rsid w:val="005272E2"/>
    <w:rsid w:val="0053108F"/>
    <w:rsid w:val="00532B56"/>
    <w:rsid w:val="00534B10"/>
    <w:rsid w:val="005446A2"/>
    <w:rsid w:val="00544D2F"/>
    <w:rsid w:val="00551BD8"/>
    <w:rsid w:val="00581055"/>
    <w:rsid w:val="00591E38"/>
    <w:rsid w:val="005A19C5"/>
    <w:rsid w:val="005A3034"/>
    <w:rsid w:val="005A462D"/>
    <w:rsid w:val="005B253B"/>
    <w:rsid w:val="005B771D"/>
    <w:rsid w:val="005C5D16"/>
    <w:rsid w:val="005D3193"/>
    <w:rsid w:val="005D4A6E"/>
    <w:rsid w:val="005E6979"/>
    <w:rsid w:val="005E75CB"/>
    <w:rsid w:val="006013C1"/>
    <w:rsid w:val="0060669E"/>
    <w:rsid w:val="00610F2E"/>
    <w:rsid w:val="00611399"/>
    <w:rsid w:val="00624C4E"/>
    <w:rsid w:val="00625200"/>
    <w:rsid w:val="006363A8"/>
    <w:rsid w:val="00636DB7"/>
    <w:rsid w:val="00650905"/>
    <w:rsid w:val="006532ED"/>
    <w:rsid w:val="006549F2"/>
    <w:rsid w:val="006567B7"/>
    <w:rsid w:val="00657BFB"/>
    <w:rsid w:val="0066333C"/>
    <w:rsid w:val="006639B4"/>
    <w:rsid w:val="006650FE"/>
    <w:rsid w:val="0067305D"/>
    <w:rsid w:val="00677D9B"/>
    <w:rsid w:val="006867F3"/>
    <w:rsid w:val="00687890"/>
    <w:rsid w:val="006901A2"/>
    <w:rsid w:val="00690368"/>
    <w:rsid w:val="0069079C"/>
    <w:rsid w:val="00690B53"/>
    <w:rsid w:val="00695B72"/>
    <w:rsid w:val="006B160A"/>
    <w:rsid w:val="006B4E6C"/>
    <w:rsid w:val="006B50B6"/>
    <w:rsid w:val="006D36D4"/>
    <w:rsid w:val="006D79EA"/>
    <w:rsid w:val="006E5D05"/>
    <w:rsid w:val="00701053"/>
    <w:rsid w:val="00701507"/>
    <w:rsid w:val="00714021"/>
    <w:rsid w:val="00716A0F"/>
    <w:rsid w:val="00717D45"/>
    <w:rsid w:val="007208F7"/>
    <w:rsid w:val="007218AF"/>
    <w:rsid w:val="007365D1"/>
    <w:rsid w:val="00737E13"/>
    <w:rsid w:val="00740E0E"/>
    <w:rsid w:val="00750212"/>
    <w:rsid w:val="00754779"/>
    <w:rsid w:val="0075716D"/>
    <w:rsid w:val="00765F14"/>
    <w:rsid w:val="00770E31"/>
    <w:rsid w:val="007770F1"/>
    <w:rsid w:val="00783FB1"/>
    <w:rsid w:val="00785CDD"/>
    <w:rsid w:val="00791847"/>
    <w:rsid w:val="007925F0"/>
    <w:rsid w:val="007939B3"/>
    <w:rsid w:val="0079509C"/>
    <w:rsid w:val="00796708"/>
    <w:rsid w:val="007B1B42"/>
    <w:rsid w:val="007C30EB"/>
    <w:rsid w:val="007E063C"/>
    <w:rsid w:val="007E2A4B"/>
    <w:rsid w:val="007E307D"/>
    <w:rsid w:val="007E6A4E"/>
    <w:rsid w:val="007E6C94"/>
    <w:rsid w:val="007F1005"/>
    <w:rsid w:val="007F25E0"/>
    <w:rsid w:val="007F5328"/>
    <w:rsid w:val="00804F5A"/>
    <w:rsid w:val="00810C6D"/>
    <w:rsid w:val="00812887"/>
    <w:rsid w:val="00826F21"/>
    <w:rsid w:val="00834CC8"/>
    <w:rsid w:val="00835E00"/>
    <w:rsid w:val="00837113"/>
    <w:rsid w:val="008414E4"/>
    <w:rsid w:val="00843E21"/>
    <w:rsid w:val="0084508E"/>
    <w:rsid w:val="00847763"/>
    <w:rsid w:val="00857A8A"/>
    <w:rsid w:val="008630EE"/>
    <w:rsid w:val="00864D13"/>
    <w:rsid w:val="00871CD5"/>
    <w:rsid w:val="008745A2"/>
    <w:rsid w:val="008768A8"/>
    <w:rsid w:val="0088798F"/>
    <w:rsid w:val="00887E4B"/>
    <w:rsid w:val="008915C8"/>
    <w:rsid w:val="008A36CF"/>
    <w:rsid w:val="008A3BC4"/>
    <w:rsid w:val="008B403C"/>
    <w:rsid w:val="008B7983"/>
    <w:rsid w:val="008C2511"/>
    <w:rsid w:val="008D026D"/>
    <w:rsid w:val="008D23AB"/>
    <w:rsid w:val="008D4B8B"/>
    <w:rsid w:val="008D5A78"/>
    <w:rsid w:val="008E7B64"/>
    <w:rsid w:val="008F5DCD"/>
    <w:rsid w:val="00900951"/>
    <w:rsid w:val="009118A6"/>
    <w:rsid w:val="00916909"/>
    <w:rsid w:val="00916EC0"/>
    <w:rsid w:val="00920467"/>
    <w:rsid w:val="00921DE7"/>
    <w:rsid w:val="0093041A"/>
    <w:rsid w:val="00930714"/>
    <w:rsid w:val="00931B03"/>
    <w:rsid w:val="009323B9"/>
    <w:rsid w:val="00932DCE"/>
    <w:rsid w:val="0093327E"/>
    <w:rsid w:val="00934028"/>
    <w:rsid w:val="0093760E"/>
    <w:rsid w:val="00946044"/>
    <w:rsid w:val="0094660B"/>
    <w:rsid w:val="00946A33"/>
    <w:rsid w:val="0095260E"/>
    <w:rsid w:val="009578DD"/>
    <w:rsid w:val="00961124"/>
    <w:rsid w:val="009621B6"/>
    <w:rsid w:val="00974F2D"/>
    <w:rsid w:val="00977524"/>
    <w:rsid w:val="00977E88"/>
    <w:rsid w:val="00984920"/>
    <w:rsid w:val="0099303A"/>
    <w:rsid w:val="009971C2"/>
    <w:rsid w:val="009A1254"/>
    <w:rsid w:val="009B2FF2"/>
    <w:rsid w:val="009B380C"/>
    <w:rsid w:val="009B4843"/>
    <w:rsid w:val="009B6543"/>
    <w:rsid w:val="009C199D"/>
    <w:rsid w:val="009C278F"/>
    <w:rsid w:val="009C2B94"/>
    <w:rsid w:val="009C5874"/>
    <w:rsid w:val="009D3B5A"/>
    <w:rsid w:val="009E0C05"/>
    <w:rsid w:val="009E0D1C"/>
    <w:rsid w:val="009E2214"/>
    <w:rsid w:val="009E355A"/>
    <w:rsid w:val="009E63E2"/>
    <w:rsid w:val="009F04D2"/>
    <w:rsid w:val="009F05CF"/>
    <w:rsid w:val="009F0F3A"/>
    <w:rsid w:val="00A01D0C"/>
    <w:rsid w:val="00A0643F"/>
    <w:rsid w:val="00A067EE"/>
    <w:rsid w:val="00A10FCE"/>
    <w:rsid w:val="00A16D91"/>
    <w:rsid w:val="00A174CC"/>
    <w:rsid w:val="00A2073D"/>
    <w:rsid w:val="00A20751"/>
    <w:rsid w:val="00A27E2D"/>
    <w:rsid w:val="00A31D99"/>
    <w:rsid w:val="00A357BA"/>
    <w:rsid w:val="00A35ADC"/>
    <w:rsid w:val="00A402A3"/>
    <w:rsid w:val="00A42C7B"/>
    <w:rsid w:val="00A53681"/>
    <w:rsid w:val="00A633D4"/>
    <w:rsid w:val="00A6461A"/>
    <w:rsid w:val="00A84504"/>
    <w:rsid w:val="00A8672F"/>
    <w:rsid w:val="00A93057"/>
    <w:rsid w:val="00A968B0"/>
    <w:rsid w:val="00AB2672"/>
    <w:rsid w:val="00AB2817"/>
    <w:rsid w:val="00AB43C4"/>
    <w:rsid w:val="00AC32E7"/>
    <w:rsid w:val="00AC3A9F"/>
    <w:rsid w:val="00AC6D2F"/>
    <w:rsid w:val="00AE2745"/>
    <w:rsid w:val="00AE2F64"/>
    <w:rsid w:val="00AF42CB"/>
    <w:rsid w:val="00AF483F"/>
    <w:rsid w:val="00AF5E07"/>
    <w:rsid w:val="00AF5F06"/>
    <w:rsid w:val="00B00A25"/>
    <w:rsid w:val="00B1422A"/>
    <w:rsid w:val="00B1765C"/>
    <w:rsid w:val="00B2091C"/>
    <w:rsid w:val="00B213C4"/>
    <w:rsid w:val="00B40C60"/>
    <w:rsid w:val="00B479A9"/>
    <w:rsid w:val="00B52EDF"/>
    <w:rsid w:val="00B71188"/>
    <w:rsid w:val="00B728D6"/>
    <w:rsid w:val="00B76A41"/>
    <w:rsid w:val="00B87D4C"/>
    <w:rsid w:val="00B93646"/>
    <w:rsid w:val="00BA0B38"/>
    <w:rsid w:val="00BA1DBB"/>
    <w:rsid w:val="00BA4014"/>
    <w:rsid w:val="00BA4510"/>
    <w:rsid w:val="00BA529A"/>
    <w:rsid w:val="00BA5382"/>
    <w:rsid w:val="00BA5C17"/>
    <w:rsid w:val="00BB612A"/>
    <w:rsid w:val="00BD499F"/>
    <w:rsid w:val="00BD56DE"/>
    <w:rsid w:val="00BF2406"/>
    <w:rsid w:val="00C06E43"/>
    <w:rsid w:val="00C14A41"/>
    <w:rsid w:val="00C16315"/>
    <w:rsid w:val="00C3091E"/>
    <w:rsid w:val="00C40FF1"/>
    <w:rsid w:val="00C419E2"/>
    <w:rsid w:val="00C5020E"/>
    <w:rsid w:val="00C57452"/>
    <w:rsid w:val="00C61EDF"/>
    <w:rsid w:val="00C6239D"/>
    <w:rsid w:val="00C63FA1"/>
    <w:rsid w:val="00C6594B"/>
    <w:rsid w:val="00C67FFB"/>
    <w:rsid w:val="00C7155E"/>
    <w:rsid w:val="00C71D1E"/>
    <w:rsid w:val="00C71D7D"/>
    <w:rsid w:val="00C74833"/>
    <w:rsid w:val="00C77CEB"/>
    <w:rsid w:val="00C850A0"/>
    <w:rsid w:val="00C85A86"/>
    <w:rsid w:val="00C978F0"/>
    <w:rsid w:val="00CA58FE"/>
    <w:rsid w:val="00CB1CB1"/>
    <w:rsid w:val="00CB6BC1"/>
    <w:rsid w:val="00CB6CB8"/>
    <w:rsid w:val="00CC1A68"/>
    <w:rsid w:val="00CC2123"/>
    <w:rsid w:val="00CD2BFD"/>
    <w:rsid w:val="00CE336C"/>
    <w:rsid w:val="00CE5AD6"/>
    <w:rsid w:val="00CE617F"/>
    <w:rsid w:val="00CE78EF"/>
    <w:rsid w:val="00D00426"/>
    <w:rsid w:val="00D048F7"/>
    <w:rsid w:val="00D0517E"/>
    <w:rsid w:val="00D140FC"/>
    <w:rsid w:val="00D21D8C"/>
    <w:rsid w:val="00D31357"/>
    <w:rsid w:val="00D33220"/>
    <w:rsid w:val="00D334D1"/>
    <w:rsid w:val="00D44C89"/>
    <w:rsid w:val="00D45DA0"/>
    <w:rsid w:val="00D516CD"/>
    <w:rsid w:val="00D668E6"/>
    <w:rsid w:val="00D70670"/>
    <w:rsid w:val="00D74D80"/>
    <w:rsid w:val="00D76624"/>
    <w:rsid w:val="00D87570"/>
    <w:rsid w:val="00D91CB9"/>
    <w:rsid w:val="00D97989"/>
    <w:rsid w:val="00D97D8D"/>
    <w:rsid w:val="00DA352E"/>
    <w:rsid w:val="00DC0F84"/>
    <w:rsid w:val="00DC7694"/>
    <w:rsid w:val="00DD1BF6"/>
    <w:rsid w:val="00DD2F9B"/>
    <w:rsid w:val="00DE2513"/>
    <w:rsid w:val="00DE26E8"/>
    <w:rsid w:val="00DE6F02"/>
    <w:rsid w:val="00DF6F36"/>
    <w:rsid w:val="00E0084C"/>
    <w:rsid w:val="00E025AB"/>
    <w:rsid w:val="00E02B23"/>
    <w:rsid w:val="00E06F40"/>
    <w:rsid w:val="00E07CE8"/>
    <w:rsid w:val="00E26A07"/>
    <w:rsid w:val="00E30941"/>
    <w:rsid w:val="00E32595"/>
    <w:rsid w:val="00E37CFD"/>
    <w:rsid w:val="00E41A26"/>
    <w:rsid w:val="00E455FA"/>
    <w:rsid w:val="00E46BCB"/>
    <w:rsid w:val="00E51CAF"/>
    <w:rsid w:val="00E60F04"/>
    <w:rsid w:val="00E62AAC"/>
    <w:rsid w:val="00E63843"/>
    <w:rsid w:val="00E67C2F"/>
    <w:rsid w:val="00E67EF5"/>
    <w:rsid w:val="00E804EA"/>
    <w:rsid w:val="00E80A71"/>
    <w:rsid w:val="00E82337"/>
    <w:rsid w:val="00E92499"/>
    <w:rsid w:val="00E949AF"/>
    <w:rsid w:val="00E96077"/>
    <w:rsid w:val="00EA0A06"/>
    <w:rsid w:val="00EA6243"/>
    <w:rsid w:val="00EA74AB"/>
    <w:rsid w:val="00EB3474"/>
    <w:rsid w:val="00EB3D1B"/>
    <w:rsid w:val="00EC0AB3"/>
    <w:rsid w:val="00ED1D89"/>
    <w:rsid w:val="00ED66BC"/>
    <w:rsid w:val="00EF233A"/>
    <w:rsid w:val="00EF303E"/>
    <w:rsid w:val="00EF3A40"/>
    <w:rsid w:val="00EF7F78"/>
    <w:rsid w:val="00F01B08"/>
    <w:rsid w:val="00F01C4D"/>
    <w:rsid w:val="00F03CF7"/>
    <w:rsid w:val="00F053FA"/>
    <w:rsid w:val="00F10C97"/>
    <w:rsid w:val="00F11C71"/>
    <w:rsid w:val="00F16019"/>
    <w:rsid w:val="00F20E68"/>
    <w:rsid w:val="00F22093"/>
    <w:rsid w:val="00F236DF"/>
    <w:rsid w:val="00F43AD5"/>
    <w:rsid w:val="00F4402E"/>
    <w:rsid w:val="00F56DD0"/>
    <w:rsid w:val="00F6491C"/>
    <w:rsid w:val="00F67BBB"/>
    <w:rsid w:val="00F87D92"/>
    <w:rsid w:val="00F90AA7"/>
    <w:rsid w:val="00F92498"/>
    <w:rsid w:val="00F9496B"/>
    <w:rsid w:val="00F970C9"/>
    <w:rsid w:val="00FA06A8"/>
    <w:rsid w:val="00FA3DF5"/>
    <w:rsid w:val="00FA64E7"/>
    <w:rsid w:val="00FA741F"/>
    <w:rsid w:val="00FB4E07"/>
    <w:rsid w:val="00FB755A"/>
    <w:rsid w:val="00FC32C9"/>
    <w:rsid w:val="00FC60A2"/>
    <w:rsid w:val="00FD1871"/>
    <w:rsid w:val="00FD3110"/>
    <w:rsid w:val="00FF43C2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090CA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220"/>
    <w:pPr>
      <w:spacing w:after="120"/>
    </w:pPr>
  </w:style>
  <w:style w:type="paragraph" w:styleId="Heading1">
    <w:name w:val="heading 1"/>
    <w:basedOn w:val="Normal"/>
    <w:next w:val="Normal"/>
    <w:link w:val="Heading1Char"/>
    <w:qFormat/>
    <w:rsid w:val="00AE2745"/>
    <w:pPr>
      <w:keepNext/>
      <w:spacing w:before="360" w:after="240" w:line="240" w:lineRule="auto"/>
      <w:outlineLvl w:val="0"/>
    </w:pPr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AE2745"/>
    <w:pPr>
      <w:keepNext/>
      <w:spacing w:before="240" w:line="240" w:lineRule="auto"/>
      <w:outlineLvl w:val="1"/>
    </w:pPr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0D61"/>
    <w:pPr>
      <w:keepNext/>
      <w:spacing w:before="240" w:line="240" w:lineRule="auto"/>
      <w:outlineLvl w:val="2"/>
    </w:pPr>
    <w:rPr>
      <w:rFonts w:eastAsiaTheme="majorEastAsia" w:cs="Arial"/>
      <w:b/>
      <w:bCs/>
      <w:color w:val="000000" w:themeColor="text1"/>
      <w:sz w:val="24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E07"/>
    <w:pPr>
      <w:spacing w:before="200" w:after="0" w:line="240" w:lineRule="auto"/>
      <w:outlineLvl w:val="3"/>
    </w:pPr>
    <w:rPr>
      <w:rFonts w:eastAsiaTheme="majorEastAsia" w:cstheme="majorBidi"/>
      <w:b/>
      <w:bCs/>
      <w:i/>
      <w:iCs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EDF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AD5"/>
  </w:style>
  <w:style w:type="paragraph" w:styleId="Footer">
    <w:name w:val="footer"/>
    <w:basedOn w:val="Normal"/>
    <w:link w:val="FooterChar"/>
    <w:uiPriority w:val="99"/>
    <w:unhideWhenUsed/>
    <w:rsid w:val="00F43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AD5"/>
  </w:style>
  <w:style w:type="paragraph" w:styleId="BalloonText">
    <w:name w:val="Balloon Text"/>
    <w:basedOn w:val="Normal"/>
    <w:link w:val="BalloonTextChar"/>
    <w:uiPriority w:val="99"/>
    <w:semiHidden/>
    <w:unhideWhenUsed/>
    <w:rsid w:val="00F43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D5"/>
    <w:rPr>
      <w:rFonts w:ascii="Tahoma" w:hAnsi="Tahoma" w:cs="Tahoma"/>
      <w:sz w:val="16"/>
      <w:szCs w:val="16"/>
    </w:rPr>
  </w:style>
  <w:style w:type="paragraph" w:customStyle="1" w:styleId="ChemicalName">
    <w:name w:val="Chemical Name"/>
    <w:basedOn w:val="Normal"/>
    <w:next w:val="Normal"/>
    <w:qFormat/>
    <w:rsid w:val="00F43AD5"/>
    <w:rPr>
      <w:rFonts w:ascii="Arial Bold" w:hAnsi="Arial Bold"/>
      <w:b/>
      <w:caps/>
      <w:sz w:val="28"/>
    </w:rPr>
  </w:style>
  <w:style w:type="table" w:styleId="TableGrid">
    <w:name w:val="Table Grid"/>
    <w:basedOn w:val="TableNormal"/>
    <w:uiPriority w:val="59"/>
    <w:rsid w:val="00717D45"/>
    <w:pPr>
      <w:spacing w:after="0" w:line="240" w:lineRule="auto"/>
    </w:pPr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B1CB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AE2745"/>
    <w:rPr>
      <w:rFonts w:ascii="Arial Bold" w:eastAsiaTheme="majorEastAsia" w:hAnsi="Arial Bold" w:cstheme="majorBidi"/>
      <w:b/>
      <w:bCs/>
      <w:caps/>
      <w:kern w:val="32"/>
      <w:sz w:val="36"/>
      <w:szCs w:val="40"/>
      <w:lang w:eastAsia="en-AU"/>
    </w:rPr>
  </w:style>
  <w:style w:type="paragraph" w:customStyle="1" w:styleId="Tablefont">
    <w:name w:val="Table font"/>
    <w:basedOn w:val="Normal"/>
    <w:qFormat/>
    <w:rsid w:val="002C58FF"/>
    <w:pPr>
      <w:spacing w:before="80" w:after="80" w:line="240" w:lineRule="auto"/>
    </w:pPr>
    <w:rPr>
      <w:lang w:eastAsia="en-AU"/>
    </w:rPr>
  </w:style>
  <w:style w:type="paragraph" w:customStyle="1" w:styleId="Tableheader">
    <w:name w:val="Table header"/>
    <w:basedOn w:val="Tablefont"/>
    <w:qFormat/>
    <w:rsid w:val="00263255"/>
    <w:pPr>
      <w:spacing w:before="60" w:after="60"/>
    </w:pPr>
    <w:rPr>
      <w:b/>
      <w:bCs/>
      <w:color w:val="000000" w:themeColor="text1"/>
    </w:rPr>
  </w:style>
  <w:style w:type="character" w:customStyle="1" w:styleId="checkbox">
    <w:name w:val="checkbox"/>
    <w:basedOn w:val="DefaultParagraphFont"/>
    <w:uiPriority w:val="1"/>
    <w:rsid w:val="00687890"/>
    <w:rPr>
      <w:rFonts w:ascii="Wingdings" w:hAnsi="Wingdings"/>
    </w:rPr>
  </w:style>
  <w:style w:type="character" w:customStyle="1" w:styleId="WESstatus">
    <w:name w:val="WES status"/>
    <w:basedOn w:val="DefaultParagraphFont"/>
    <w:uiPriority w:val="1"/>
    <w:rsid w:val="007F1005"/>
    <w:rPr>
      <w:b w:val="0"/>
      <w:color w:val="A6A6A6" w:themeColor="background1" w:themeShade="A6"/>
    </w:rPr>
  </w:style>
  <w:style w:type="table" w:customStyle="1" w:styleId="TableGrid1">
    <w:name w:val="Table Grid1"/>
    <w:basedOn w:val="TableNormal"/>
    <w:next w:val="TableGrid"/>
    <w:uiPriority w:val="59"/>
    <w:rsid w:val="000C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E2745"/>
    <w:rPr>
      <w:rFonts w:eastAsiaTheme="majorEastAsia" w:cs="Arial"/>
      <w:b/>
      <w:bCs/>
      <w:iCs/>
      <w:color w:val="000000" w:themeColor="text1"/>
      <w:sz w:val="28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2E0D61"/>
    <w:rPr>
      <w:rFonts w:eastAsiaTheme="majorEastAsia" w:cs="Arial"/>
      <w:b/>
      <w:bCs/>
      <w:color w:val="000000" w:themeColor="text1"/>
      <w:sz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E07"/>
    <w:rPr>
      <w:rFonts w:eastAsiaTheme="majorEastAsia" w:cstheme="majorBidi"/>
      <w:b/>
      <w:bCs/>
      <w:i/>
      <w:iCs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EDF"/>
    <w:rPr>
      <w:rFonts w:asciiTheme="majorHAnsi" w:eastAsiaTheme="majorEastAsia" w:hAnsiTheme="majorHAnsi" w:cstheme="majorBidi"/>
      <w:b/>
      <w:bCs/>
      <w:color w:val="7F7F7F" w:themeColor="text1" w:themeTint="80"/>
      <w:lang w:eastAsia="en-AU"/>
    </w:rPr>
  </w:style>
  <w:style w:type="paragraph" w:styleId="Title">
    <w:name w:val="Title"/>
    <w:basedOn w:val="Normal"/>
    <w:next w:val="Heading1"/>
    <w:link w:val="TitleChar"/>
    <w:qFormat/>
    <w:rsid w:val="006532ED"/>
    <w:pPr>
      <w:spacing w:before="240" w:after="60" w:line="240" w:lineRule="auto"/>
      <w:jc w:val="center"/>
      <w:outlineLvl w:val="0"/>
    </w:pPr>
    <w:rPr>
      <w:rFonts w:eastAsiaTheme="majorEastAsia" w:cstheme="majorBidi"/>
      <w:b/>
      <w:bCs/>
      <w:kern w:val="28"/>
      <w:sz w:val="72"/>
      <w:szCs w:val="32"/>
      <w:lang w:eastAsia="en-AU"/>
    </w:rPr>
  </w:style>
  <w:style w:type="character" w:customStyle="1" w:styleId="TitleChar">
    <w:name w:val="Title Char"/>
    <w:basedOn w:val="DefaultParagraphFont"/>
    <w:link w:val="Title"/>
    <w:rsid w:val="006532ED"/>
    <w:rPr>
      <w:rFonts w:eastAsiaTheme="majorEastAsia" w:cstheme="majorBidi"/>
      <w:b/>
      <w:bCs/>
      <w:kern w:val="28"/>
      <w:sz w:val="72"/>
      <w:szCs w:val="32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2ED"/>
    <w:pPr>
      <w:numPr>
        <w:ilvl w:val="1"/>
      </w:numPr>
    </w:pPr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532ED"/>
    <w:rPr>
      <w:rFonts w:eastAsiaTheme="majorEastAsia" w:cstheme="majorBidi"/>
      <w:i/>
      <w:iCs/>
      <w:color w:val="7F7F7F" w:themeColor="text1" w:themeTint="8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2ED"/>
    <w:rPr>
      <w:rFonts w:ascii="Arial" w:hAnsi="Arial"/>
      <w:b/>
      <w:bCs/>
      <w:i/>
      <w:iCs/>
      <w:color w:val="7F7F7F" w:themeColor="text1" w:themeTint="80"/>
    </w:rPr>
  </w:style>
  <w:style w:type="paragraph" w:customStyle="1" w:styleId="Tableitalics">
    <w:name w:val="Table italics"/>
    <w:basedOn w:val="Tablefont"/>
    <w:qFormat/>
    <w:rsid w:val="00717D45"/>
    <w:pPr>
      <w:jc w:val="right"/>
    </w:pPr>
    <w:rPr>
      <w:i/>
    </w:rPr>
  </w:style>
  <w:style w:type="table" w:styleId="LightList-Accent1">
    <w:name w:val="Light List Accent 1"/>
    <w:basedOn w:val="TableNormal"/>
    <w:uiPriority w:val="61"/>
    <w:rsid w:val="00D048F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">
    <w:name w:val="Light List"/>
    <w:basedOn w:val="TableNormal"/>
    <w:uiPriority w:val="61"/>
    <w:rsid w:val="007E307D"/>
    <w:pPr>
      <w:spacing w:before="80" w:after="80" w:line="240" w:lineRule="auto"/>
    </w:pPr>
    <w:tblPr>
      <w:tblStyleRowBandSize w:val="1"/>
      <w:tblStyleColBandSize w:val="1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dotted" w:sz="4" w:space="0" w:color="808080" w:themeColor="background1" w:themeShade="8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text1" w:themeFillTint="8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dotted" w:sz="4" w:space="0" w:color="808080" w:themeColor="background1" w:themeShade="80"/>
          <w:left w:val="single" w:sz="8" w:space="0" w:color="7F7F7F" w:themeColor="text1" w:themeTint="80"/>
          <w:bottom w:val="dotted" w:sz="4" w:space="0" w:color="808080" w:themeColor="background1" w:themeShade="80"/>
          <w:right w:val="single" w:sz="8" w:space="0" w:color="7F7F7F" w:themeColor="text1" w:themeTint="80"/>
          <w:insideH w:val="nil"/>
          <w:insideV w:val="nil"/>
          <w:tl2br w:val="nil"/>
          <w:tr2bl w:val="nil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220"/>
    <w:pPr>
      <w:pBdr>
        <w:bottom w:val="single" w:sz="4" w:space="4" w:color="7F7F7F" w:themeColor="text1" w:themeTint="80"/>
      </w:pBdr>
      <w:spacing w:before="200" w:after="280"/>
      <w:ind w:left="936" w:right="936"/>
    </w:pPr>
    <w:rPr>
      <w:b/>
      <w:bCs/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220"/>
    <w:rPr>
      <w:b/>
      <w:bCs/>
      <w:i/>
      <w:iCs/>
      <w:color w:val="808080" w:themeColor="background1" w:themeShade="80"/>
    </w:rPr>
  </w:style>
  <w:style w:type="character" w:styleId="SubtleReference">
    <w:name w:val="Subtle Reference"/>
    <w:basedOn w:val="DefaultParagraphFont"/>
    <w:uiPriority w:val="31"/>
    <w:qFormat/>
    <w:rsid w:val="00AF5E07"/>
    <w:rPr>
      <w:rFonts w:ascii="Arial" w:hAnsi="Arial"/>
      <w:smallCaps/>
      <w:color w:val="000000" w:themeColor="text1"/>
      <w:u w:val="single"/>
    </w:rPr>
  </w:style>
  <w:style w:type="character" w:styleId="IntenseReference">
    <w:name w:val="Intense Reference"/>
    <w:basedOn w:val="DefaultParagraphFont"/>
    <w:uiPriority w:val="32"/>
    <w:qFormat/>
    <w:rsid w:val="00AF5E07"/>
    <w:rPr>
      <w:rFonts w:ascii="Arial" w:hAnsi="Arial"/>
      <w:b/>
      <w:bCs/>
      <w:smallCaps/>
      <w:color w:val="000000" w:themeColor="tex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770F1"/>
    <w:rPr>
      <w:b/>
      <w:bCs/>
    </w:rPr>
  </w:style>
  <w:style w:type="paragraph" w:styleId="NoSpacing">
    <w:name w:val="No Spacing"/>
    <w:uiPriority w:val="1"/>
    <w:qFormat/>
    <w:rsid w:val="00717D45"/>
    <w:pPr>
      <w:spacing w:after="0" w:line="240" w:lineRule="auto"/>
    </w:pPr>
  </w:style>
  <w:style w:type="paragraph" w:customStyle="1" w:styleId="WES">
    <w:name w:val="WES"/>
    <w:basedOn w:val="Tablefont"/>
    <w:qFormat/>
    <w:rsid w:val="00AE2745"/>
    <w:pPr>
      <w:spacing w:before="240" w:after="120"/>
    </w:pPr>
    <w:rPr>
      <w:b/>
      <w:sz w:val="24"/>
    </w:rPr>
  </w:style>
  <w:style w:type="paragraph" w:customStyle="1" w:styleId="Tablerowheading">
    <w:name w:val="Table row heading"/>
    <w:basedOn w:val="Normal"/>
    <w:qFormat/>
    <w:rsid w:val="00D33220"/>
    <w:pPr>
      <w:spacing w:before="80" w:after="80" w:line="240" w:lineRule="auto"/>
    </w:pPr>
    <w:rPr>
      <w:b/>
      <w:lang w:eastAsia="en-AU"/>
    </w:rPr>
  </w:style>
  <w:style w:type="paragraph" w:customStyle="1" w:styleId="Tablerowright">
    <w:name w:val="Table row right"/>
    <w:basedOn w:val="Tablerowheading"/>
    <w:qFormat/>
    <w:rsid w:val="00921DE7"/>
    <w:pPr>
      <w:jc w:val="right"/>
    </w:pPr>
  </w:style>
  <w:style w:type="paragraph" w:customStyle="1" w:styleId="Tablerowheadingitalic">
    <w:name w:val="Table row heading italic"/>
    <w:basedOn w:val="Tablerowheading"/>
    <w:qFormat/>
    <w:rsid w:val="003365A5"/>
    <w:pPr>
      <w:keepNext/>
      <w:keepLines/>
      <w:tabs>
        <w:tab w:val="left" w:pos="2268"/>
        <w:tab w:val="left" w:pos="5670"/>
      </w:tabs>
    </w:pPr>
    <w:rPr>
      <w:i/>
    </w:rPr>
  </w:style>
  <w:style w:type="paragraph" w:customStyle="1" w:styleId="Tabletextprimarysource">
    <w:name w:val="Table text primary source"/>
    <w:basedOn w:val="Normal"/>
    <w:qFormat/>
    <w:rsid w:val="003365A5"/>
    <w:pPr>
      <w:spacing w:before="60" w:after="6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9496B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9496B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9496B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9496B"/>
    <w:rPr>
      <w:rFonts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650FE"/>
    <w:rPr>
      <w:color w:val="0000FF" w:themeColor="hyperlink"/>
      <w:u w:val="single"/>
    </w:rPr>
  </w:style>
  <w:style w:type="paragraph" w:customStyle="1" w:styleId="SWALink">
    <w:name w:val="SWA Link"/>
    <w:basedOn w:val="Normal"/>
    <w:link w:val="SWALinkChar"/>
    <w:qFormat/>
    <w:rsid w:val="00DD2F9B"/>
    <w:pPr>
      <w:spacing w:line="240" w:lineRule="auto"/>
    </w:pPr>
    <w:rPr>
      <w:rFonts w:eastAsia="Times New Roman" w:cs="Times New Roman"/>
      <w:szCs w:val="24"/>
      <w:u w:val="single"/>
      <w:lang w:eastAsia="en-AU"/>
    </w:rPr>
  </w:style>
  <w:style w:type="character" w:customStyle="1" w:styleId="SWALinkChar">
    <w:name w:val="SWA Link Char"/>
    <w:basedOn w:val="DefaultParagraphFont"/>
    <w:link w:val="SWALink"/>
    <w:rsid w:val="00DD2F9B"/>
    <w:rPr>
      <w:rFonts w:eastAsia="Times New Roman" w:cs="Times New Roman"/>
      <w:szCs w:val="24"/>
      <w:u w:val="single"/>
      <w:lang w:eastAsia="en-AU"/>
    </w:rPr>
  </w:style>
  <w:style w:type="paragraph" w:customStyle="1" w:styleId="Tablefooter">
    <w:name w:val="Table footer"/>
    <w:basedOn w:val="Tablefont"/>
    <w:next w:val="Normal"/>
    <w:qFormat/>
    <w:rsid w:val="00485BFD"/>
    <w:pPr>
      <w:spacing w:before="0" w:after="240"/>
      <w:ind w:left="227"/>
    </w:pPr>
    <w:rPr>
      <w:sz w:val="17"/>
    </w:rPr>
  </w:style>
  <w:style w:type="paragraph" w:styleId="ListBullet">
    <w:name w:val="List Bullet"/>
    <w:basedOn w:val="Normal"/>
    <w:uiPriority w:val="99"/>
    <w:unhideWhenUsed/>
    <w:rsid w:val="00355E00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0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FB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FB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FB8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acgih.org/tlv-bei-guidelines/policies-procedures-presentation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1736E50B02464986D1BEC8B7AC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94199-680D-4E9C-9EF3-3D915D06B842}"/>
      </w:docPartPr>
      <w:docPartBody>
        <w:p w:rsidR="00D21A9F" w:rsidRDefault="00D21A9F">
          <w:pPr>
            <w:pStyle w:val="CE1736E50B02464986D1BEC8B7ACDE96"/>
          </w:pPr>
          <w:r>
            <w:rPr>
              <w:rStyle w:val="PlaceholderText"/>
            </w:rPr>
            <w:t>Nameofchemical</w:t>
          </w:r>
        </w:p>
      </w:docPartBody>
    </w:docPart>
    <w:docPart>
      <w:docPartPr>
        <w:name w:val="E23B83A762C94EBA8097A4DA3FB4D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02F65-DBBA-4D5A-AAD5-C6FAA5E6CE0E}"/>
      </w:docPartPr>
      <w:docPartBody>
        <w:p w:rsidR="00D21A9F" w:rsidRDefault="00D21A9F">
          <w:pPr>
            <w:pStyle w:val="E23B83A762C94EBA8097A4DA3FB4D503"/>
          </w:pPr>
          <w:r>
            <w:rPr>
              <w:rStyle w:val="PlaceholderText"/>
            </w:rPr>
            <w:t>Has this value changed?</w:t>
          </w:r>
        </w:p>
      </w:docPartBody>
    </w:docPart>
    <w:docPart>
      <w:docPartPr>
        <w:name w:val="0A35AF4547E94E219E26BC12DBC3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D360E-8225-4AF6-9FDF-3CF80276F4FF}"/>
      </w:docPartPr>
      <w:docPartBody>
        <w:p w:rsidR="00D21A9F" w:rsidRDefault="00D21A9F">
          <w:pPr>
            <w:pStyle w:val="0A35AF4547E94E219E26BC12DBC33282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81CFEC2FDBC5451289F394E66D92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74E63-31E6-4636-887F-D101B2E0A187}"/>
      </w:docPartPr>
      <w:docPartBody>
        <w:p w:rsidR="00D21A9F" w:rsidRDefault="00D21A9F">
          <w:pPr>
            <w:pStyle w:val="81CFEC2FDBC5451289F394E66D92D1A0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8FBF9621EB94FE084F687C8955AF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EEAE9-5999-4667-9E06-55916FEE5D03}"/>
      </w:docPartPr>
      <w:docPartBody>
        <w:p w:rsidR="00D21A9F" w:rsidRDefault="00D21A9F">
          <w:pPr>
            <w:pStyle w:val="C8FBF9621EB94FE084F687C8955AF85F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22022AAE76B4622AC0DF75048970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5DFBF-019C-4562-B49E-2AA0323A449A}"/>
      </w:docPartPr>
      <w:docPartBody>
        <w:p w:rsidR="00D21A9F" w:rsidRDefault="00D21A9F">
          <w:pPr>
            <w:pStyle w:val="522022AAE76B4622AC0DF750489702EB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6918C77959FE4E2CB3B6BD78ABC69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DE167-8D8A-4F47-8F15-5DED52B85CB3}"/>
      </w:docPartPr>
      <w:docPartBody>
        <w:p w:rsidR="00D21A9F" w:rsidRDefault="00D21A9F">
          <w:pPr>
            <w:pStyle w:val="6918C77959FE4E2CB3B6BD78ABC69E19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1ED9AEC91FDC4528B51A567B2B19E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FFA9-39F8-44B7-9FD3-B2DA6644805F}"/>
      </w:docPartPr>
      <w:docPartBody>
        <w:p w:rsidR="00D21A9F" w:rsidRDefault="00D21A9F">
          <w:pPr>
            <w:pStyle w:val="1ED9AEC91FDC4528B51A567B2B19EB9F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FDC2A24E7D2549238DA6EE03BD0A6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A2BDC-5672-4815-991F-0CE2DEE74014}"/>
      </w:docPartPr>
      <w:docPartBody>
        <w:p w:rsidR="00D21A9F" w:rsidRDefault="00D21A9F">
          <w:pPr>
            <w:pStyle w:val="FDC2A24E7D2549238DA6EE03BD0A6AE0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9E827C9D0DA949E385F2E9AB42641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BB1BA-B22F-4B62-9CED-7D4A7A141414}"/>
      </w:docPartPr>
      <w:docPartBody>
        <w:p w:rsidR="00D21A9F" w:rsidRDefault="00D21A9F">
          <w:pPr>
            <w:pStyle w:val="9E827C9D0DA949E385F2E9AB4264125E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47E4EC2DB10B4B8E8A66F7A5C1365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78905-5FB3-41F1-93DC-9CC4E0026343}"/>
      </w:docPartPr>
      <w:docPartBody>
        <w:p w:rsidR="00D21A9F" w:rsidRDefault="00D21A9F">
          <w:pPr>
            <w:pStyle w:val="47E4EC2DB10B4B8E8A66F7A5C13653CB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5E4DD00C3A334F93BF5CC79754EBC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CD032-152D-43ED-B301-B773F4E16730}"/>
      </w:docPartPr>
      <w:docPartBody>
        <w:p w:rsidR="00D21A9F" w:rsidRDefault="00D21A9F">
          <w:pPr>
            <w:pStyle w:val="5E4DD00C3A334F93BF5CC79754EBC5EA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EA1708404F1C4A3BB080A0D8EEB67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895B6-0ED1-45DE-89C6-97EC2AC4C0B7}"/>
      </w:docPartPr>
      <w:docPartBody>
        <w:p w:rsidR="00D21A9F" w:rsidRDefault="00D21A9F">
          <w:pPr>
            <w:pStyle w:val="EA1708404F1C4A3BB080A0D8EEB67D1D"/>
          </w:pPr>
          <w:r>
            <w:rPr>
              <w:rStyle w:val="PlaceholderText"/>
            </w:rPr>
            <w:t>Y</w:t>
          </w:r>
          <w:r w:rsidRPr="003365A5">
            <w:rPr>
              <w:rStyle w:val="PlaceholderText"/>
            </w:rPr>
            <w:t>ear</w:t>
          </w:r>
        </w:p>
      </w:docPartBody>
    </w:docPart>
    <w:docPart>
      <w:docPartPr>
        <w:name w:val="F3D4204BA37A4A21A656C76DA4274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D64BC-C0C9-4379-B1B0-F8982B824A8E}"/>
      </w:docPartPr>
      <w:docPartBody>
        <w:p w:rsidR="00D21A9F" w:rsidRDefault="00D21A9F">
          <w:pPr>
            <w:pStyle w:val="F3D4204BA37A4A21A656C76DA4274412"/>
          </w:pPr>
          <w:r w:rsidRPr="0051509C">
            <w:rPr>
              <w:rStyle w:val="PlaceholderText"/>
            </w:rPr>
            <w:t>Click here to enter standard</w:t>
          </w:r>
        </w:p>
      </w:docPartBody>
    </w:docPart>
    <w:docPart>
      <w:docPartPr>
        <w:name w:val="C2B44F29000D47BD8588D2D5E8DFA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592D5-75B8-4D64-A901-EB344ED20046}"/>
      </w:docPartPr>
      <w:docPartBody>
        <w:p w:rsidR="00D21A9F" w:rsidRDefault="00D21A9F">
          <w:pPr>
            <w:pStyle w:val="C2B44F29000D47BD8588D2D5E8DFA6C8"/>
          </w:pPr>
          <w:r w:rsidRPr="00724F1C">
            <w:rPr>
              <w:rStyle w:val="PlaceholderText"/>
            </w:rPr>
            <w:t>Choose an item.</w:t>
          </w:r>
        </w:p>
      </w:docPartBody>
    </w:docPart>
    <w:docPart>
      <w:docPartPr>
        <w:name w:val="0168237C60E6479CAFA3D9A1A8409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B098-81C9-4E32-956E-CDD3A6DFECE7}"/>
      </w:docPartPr>
      <w:docPartBody>
        <w:p w:rsidR="00D21A9F" w:rsidRDefault="00D21A9F">
          <w:pPr>
            <w:pStyle w:val="0168237C60E6479CAFA3D9A1A8409B78"/>
          </w:pPr>
          <w:r w:rsidRPr="00F4402E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CAD2D506A5824AB88D896BC2795BC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D28C-1B09-4DD0-B83A-09A1AFF622AA}"/>
      </w:docPartPr>
      <w:docPartBody>
        <w:p w:rsidR="00D21A9F" w:rsidRDefault="00D21A9F">
          <w:pPr>
            <w:pStyle w:val="CAD2D506A5824AB88D896BC2795BCEDE"/>
          </w:pPr>
          <w:r w:rsidRPr="001D56F0">
            <w:rPr>
              <w:rStyle w:val="PlaceholderText"/>
            </w:rPr>
            <w:t>Choose an item.</w:t>
          </w:r>
        </w:p>
      </w:docPartBody>
    </w:docPart>
    <w:docPart>
      <w:docPartPr>
        <w:name w:val="F426C563814E402488AC06CC39354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6214-28BA-4138-BF55-E76AD08567C8}"/>
      </w:docPartPr>
      <w:docPartBody>
        <w:p w:rsidR="00D21A9F" w:rsidRDefault="00D21A9F">
          <w:pPr>
            <w:pStyle w:val="F426C563814E402488AC06CC39354A11"/>
          </w:pPr>
          <w:r w:rsidRPr="00EB3D1B">
            <w:rPr>
              <w:rStyle w:val="PlaceholderText"/>
              <w:color w:val="FFFFFF" w:themeColor="background1"/>
            </w:rPr>
            <w:t>Choose an item.</w:t>
          </w:r>
        </w:p>
      </w:docPartBody>
    </w:docPart>
    <w:docPart>
      <w:docPartPr>
        <w:name w:val="0DAD3FB9ACEF4778B961F088737E2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8AAEB-C7DB-4A80-88DB-772F73C8E66D}"/>
      </w:docPartPr>
      <w:docPartBody>
        <w:p w:rsidR="00D21A9F" w:rsidRDefault="00D21A9F">
          <w:pPr>
            <w:pStyle w:val="0DAD3FB9ACEF4778B961F088737E2361"/>
          </w:pPr>
          <w:r>
            <w:rPr>
              <w:rStyle w:val="PlaceholderText"/>
            </w:rPr>
            <w:t>Insert molecular weight</w:t>
          </w:r>
        </w:p>
      </w:docPartBody>
    </w:docPart>
    <w:docPart>
      <w:docPartPr>
        <w:name w:val="A7231FB73EFF4B2B92EB3BD21C0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3F6B-F6BB-479E-BB6A-087EA1FCFDFA}"/>
      </w:docPartPr>
      <w:docPartBody>
        <w:p w:rsidR="00D21A9F" w:rsidRDefault="00D21A9F">
          <w:pPr>
            <w:pStyle w:val="A7231FB73EFF4B2B92EB3BD21C0CEA01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5D98FA8C84704C71B6F1557317AE5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DFB54-C6B8-4F2D-88BE-C0D2DC34C42D}"/>
      </w:docPartPr>
      <w:docPartBody>
        <w:p w:rsidR="00D21A9F" w:rsidRDefault="00D21A9F">
          <w:pPr>
            <w:pStyle w:val="5D98FA8C84704C71B6F1557317AE5303"/>
          </w:pPr>
          <w:r w:rsidRPr="00DF79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F891C0AB704CDAB9BC6E80D5564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ED3B-D766-43B3-B75A-764D619F223B}"/>
      </w:docPartPr>
      <w:docPartBody>
        <w:p w:rsidR="00D21A9F" w:rsidRDefault="00D21A9F">
          <w:pPr>
            <w:pStyle w:val="2BF891C0AB704CDAB9BC6E80D556473F"/>
          </w:pPr>
          <w:r w:rsidRPr="004C23F4">
            <w:rPr>
              <w:rStyle w:val="PlaceholderText"/>
              <w:rFonts w:cs="Arial"/>
            </w:rPr>
            <w:t>Click here to enter year</w:t>
          </w:r>
        </w:p>
      </w:docPartBody>
    </w:docPart>
    <w:docPart>
      <w:docPartPr>
        <w:name w:val="ECFE69B569D14800A5DC51EA4634A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5081-A056-403D-AB04-3A82A9820F87}"/>
      </w:docPartPr>
      <w:docPartBody>
        <w:p w:rsidR="00E90063" w:rsidRDefault="006B2C89" w:rsidP="006B2C89">
          <w:pPr>
            <w:pStyle w:val="ECFE69B569D14800A5DC51EA4634AE42"/>
          </w:pPr>
          <w:r>
            <w:rPr>
              <w:rStyle w:val="PlaceholderText"/>
            </w:rPr>
            <w:t>Has this value changed?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9F"/>
    <w:rsid w:val="00055E82"/>
    <w:rsid w:val="00415258"/>
    <w:rsid w:val="006B2C89"/>
    <w:rsid w:val="00BE193F"/>
    <w:rsid w:val="00D21A9F"/>
    <w:rsid w:val="00E9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C89"/>
    <w:rPr>
      <w:color w:val="808080"/>
    </w:rPr>
  </w:style>
  <w:style w:type="paragraph" w:customStyle="1" w:styleId="CE1736E50B02464986D1BEC8B7ACDE96">
    <w:name w:val="CE1736E50B02464986D1BEC8B7ACDE96"/>
  </w:style>
  <w:style w:type="paragraph" w:customStyle="1" w:styleId="E23B83A762C94EBA8097A4DA3FB4D503">
    <w:name w:val="E23B83A762C94EBA8097A4DA3FB4D503"/>
  </w:style>
  <w:style w:type="paragraph" w:customStyle="1" w:styleId="0A35AF4547E94E219E26BC12DBC33282">
    <w:name w:val="0A35AF4547E94E219E26BC12DBC33282"/>
  </w:style>
  <w:style w:type="paragraph" w:customStyle="1" w:styleId="81CFEC2FDBC5451289F394E66D92D1A0">
    <w:name w:val="81CFEC2FDBC5451289F394E66D92D1A0"/>
  </w:style>
  <w:style w:type="paragraph" w:customStyle="1" w:styleId="C8FBF9621EB94FE084F687C8955AF85F">
    <w:name w:val="C8FBF9621EB94FE084F687C8955AF85F"/>
  </w:style>
  <w:style w:type="paragraph" w:customStyle="1" w:styleId="522022AAE76B4622AC0DF750489702EB">
    <w:name w:val="522022AAE76B4622AC0DF750489702EB"/>
  </w:style>
  <w:style w:type="paragraph" w:customStyle="1" w:styleId="6918C77959FE4E2CB3B6BD78ABC69E19">
    <w:name w:val="6918C77959FE4E2CB3B6BD78ABC69E19"/>
  </w:style>
  <w:style w:type="paragraph" w:customStyle="1" w:styleId="1ED9AEC91FDC4528B51A567B2B19EB9F">
    <w:name w:val="1ED9AEC91FDC4528B51A567B2B19EB9F"/>
  </w:style>
  <w:style w:type="paragraph" w:customStyle="1" w:styleId="FDC2A24E7D2549238DA6EE03BD0A6AE0">
    <w:name w:val="FDC2A24E7D2549238DA6EE03BD0A6AE0"/>
  </w:style>
  <w:style w:type="paragraph" w:customStyle="1" w:styleId="9E827C9D0DA949E385F2E9AB4264125E">
    <w:name w:val="9E827C9D0DA949E385F2E9AB4264125E"/>
  </w:style>
  <w:style w:type="paragraph" w:customStyle="1" w:styleId="47E4EC2DB10B4B8E8A66F7A5C13653CB">
    <w:name w:val="47E4EC2DB10B4B8E8A66F7A5C13653CB"/>
  </w:style>
  <w:style w:type="paragraph" w:customStyle="1" w:styleId="5E4DD00C3A334F93BF5CC79754EBC5EA">
    <w:name w:val="5E4DD00C3A334F93BF5CC79754EBC5EA"/>
  </w:style>
  <w:style w:type="paragraph" w:customStyle="1" w:styleId="EA1708404F1C4A3BB080A0D8EEB67D1D">
    <w:name w:val="EA1708404F1C4A3BB080A0D8EEB67D1D"/>
  </w:style>
  <w:style w:type="paragraph" w:customStyle="1" w:styleId="F3D4204BA37A4A21A656C76DA4274412">
    <w:name w:val="F3D4204BA37A4A21A656C76DA4274412"/>
  </w:style>
  <w:style w:type="paragraph" w:customStyle="1" w:styleId="8DD754E365844A4E82EC69A07E229629">
    <w:name w:val="8DD754E365844A4E82EC69A07E229629"/>
  </w:style>
  <w:style w:type="paragraph" w:customStyle="1" w:styleId="29D96B65566944F4988BAEB665EF7897">
    <w:name w:val="29D96B65566944F4988BAEB665EF7897"/>
  </w:style>
  <w:style w:type="paragraph" w:customStyle="1" w:styleId="C2B44F29000D47BD8588D2D5E8DFA6C8">
    <w:name w:val="C2B44F29000D47BD8588D2D5E8DFA6C8"/>
  </w:style>
  <w:style w:type="paragraph" w:customStyle="1" w:styleId="CC96E8CFB35445F7B98574D62F848316">
    <w:name w:val="CC96E8CFB35445F7B98574D62F848316"/>
  </w:style>
  <w:style w:type="paragraph" w:customStyle="1" w:styleId="20BC8D26515A4C11AC6304FB75A7CBAD">
    <w:name w:val="20BC8D26515A4C11AC6304FB75A7CBAD"/>
  </w:style>
  <w:style w:type="paragraph" w:customStyle="1" w:styleId="0599BE4318CD4CC0836196E577CC2921">
    <w:name w:val="0599BE4318CD4CC0836196E577CC2921"/>
  </w:style>
  <w:style w:type="paragraph" w:customStyle="1" w:styleId="CA68404C5F6B4780904F09DAAE62489A">
    <w:name w:val="CA68404C5F6B4780904F09DAAE62489A"/>
  </w:style>
  <w:style w:type="paragraph" w:customStyle="1" w:styleId="CFFDE270CB50461B826B0194984892C5">
    <w:name w:val="CFFDE270CB50461B826B0194984892C5"/>
  </w:style>
  <w:style w:type="paragraph" w:customStyle="1" w:styleId="EA32968BF93744FAABC5FC124DBE04BD">
    <w:name w:val="EA32968BF93744FAABC5FC124DBE04BD"/>
  </w:style>
  <w:style w:type="paragraph" w:customStyle="1" w:styleId="320A77D155374054996F168A20882C28">
    <w:name w:val="320A77D155374054996F168A20882C28"/>
  </w:style>
  <w:style w:type="paragraph" w:customStyle="1" w:styleId="EA51C8540A4D4F0A9062F5B1698DCBB0">
    <w:name w:val="EA51C8540A4D4F0A9062F5B1698DCBB0"/>
  </w:style>
  <w:style w:type="paragraph" w:customStyle="1" w:styleId="0168237C60E6479CAFA3D9A1A8409B78">
    <w:name w:val="0168237C60E6479CAFA3D9A1A8409B78"/>
  </w:style>
  <w:style w:type="paragraph" w:customStyle="1" w:styleId="5CBFEC560F894890BBD09B93174FFAE0">
    <w:name w:val="5CBFEC560F894890BBD09B93174FFAE0"/>
  </w:style>
  <w:style w:type="paragraph" w:customStyle="1" w:styleId="CAD2D506A5824AB88D896BC2795BCEDE">
    <w:name w:val="CAD2D506A5824AB88D896BC2795BCEDE"/>
  </w:style>
  <w:style w:type="paragraph" w:customStyle="1" w:styleId="047AD93791DC493F8562BB3488160D64">
    <w:name w:val="047AD93791DC493F8562BB3488160D64"/>
  </w:style>
  <w:style w:type="paragraph" w:customStyle="1" w:styleId="7B0BAA2441D5427984E6018FB38900E7">
    <w:name w:val="7B0BAA2441D5427984E6018FB38900E7"/>
  </w:style>
  <w:style w:type="paragraph" w:customStyle="1" w:styleId="5C1D38B030D146B59436754F8399D502">
    <w:name w:val="5C1D38B030D146B59436754F8399D502"/>
  </w:style>
  <w:style w:type="paragraph" w:customStyle="1" w:styleId="F426C563814E402488AC06CC39354A11">
    <w:name w:val="F426C563814E402488AC06CC39354A11"/>
  </w:style>
  <w:style w:type="paragraph" w:customStyle="1" w:styleId="0DAD3FB9ACEF4778B961F088737E2361">
    <w:name w:val="0DAD3FB9ACEF4778B961F088737E2361"/>
  </w:style>
  <w:style w:type="paragraph" w:customStyle="1" w:styleId="A7231FB73EFF4B2B92EB3BD21C0CEA01">
    <w:name w:val="A7231FB73EFF4B2B92EB3BD21C0CEA01"/>
  </w:style>
  <w:style w:type="paragraph" w:customStyle="1" w:styleId="5D98FA8C84704C71B6F1557317AE5303">
    <w:name w:val="5D98FA8C84704C71B6F1557317AE5303"/>
  </w:style>
  <w:style w:type="paragraph" w:customStyle="1" w:styleId="2BF891C0AB704CDAB9BC6E80D556473F">
    <w:name w:val="2BF891C0AB704CDAB9BC6E80D556473F"/>
  </w:style>
  <w:style w:type="paragraph" w:customStyle="1" w:styleId="A4D476DBA8FB49EDAD94288ABE2F29F1">
    <w:name w:val="A4D476DBA8FB49EDAD94288ABE2F29F1"/>
    <w:rsid w:val="00415258"/>
  </w:style>
  <w:style w:type="paragraph" w:customStyle="1" w:styleId="10735DD183EB4F1C8EAE6C3D6F32A610">
    <w:name w:val="10735DD183EB4F1C8EAE6C3D6F32A610"/>
    <w:rsid w:val="00415258"/>
  </w:style>
  <w:style w:type="paragraph" w:customStyle="1" w:styleId="583A9C7F11704FBDA1DD8367E990EB87">
    <w:name w:val="583A9C7F11704FBDA1DD8367E990EB87"/>
    <w:rsid w:val="00415258"/>
  </w:style>
  <w:style w:type="paragraph" w:customStyle="1" w:styleId="975E6F2A7E0E4BB1B2873D7F33F0B7DE">
    <w:name w:val="975E6F2A7E0E4BB1B2873D7F33F0B7DE"/>
    <w:rsid w:val="00415258"/>
  </w:style>
  <w:style w:type="paragraph" w:customStyle="1" w:styleId="ED9AF6717E9E4235BCC9807696EAC7A5">
    <w:name w:val="ED9AF6717E9E4235BCC9807696EAC7A5"/>
    <w:rsid w:val="00415258"/>
  </w:style>
  <w:style w:type="paragraph" w:customStyle="1" w:styleId="A07AB16108394D6086C395DE889272C4">
    <w:name w:val="A07AB16108394D6086C395DE889272C4"/>
    <w:rsid w:val="00415258"/>
  </w:style>
  <w:style w:type="paragraph" w:customStyle="1" w:styleId="9A2D045B0DA14B21BF5B828BF2C5A389">
    <w:name w:val="9A2D045B0DA14B21BF5B828BF2C5A389"/>
    <w:rsid w:val="00415258"/>
  </w:style>
  <w:style w:type="paragraph" w:customStyle="1" w:styleId="9119D4F09A604220B5F7C28B9CEAF590">
    <w:name w:val="9119D4F09A604220B5F7C28B9CEAF590"/>
    <w:rsid w:val="00415258"/>
  </w:style>
  <w:style w:type="paragraph" w:customStyle="1" w:styleId="1F7580ECE8F742B2877E930FE94B7734">
    <w:name w:val="1F7580ECE8F742B2877E930FE94B7734"/>
    <w:rsid w:val="00415258"/>
  </w:style>
  <w:style w:type="paragraph" w:customStyle="1" w:styleId="9B380FE0A436452399D80BB09DBCC6E2">
    <w:name w:val="9B380FE0A436452399D80BB09DBCC6E2"/>
    <w:rsid w:val="00415258"/>
  </w:style>
  <w:style w:type="paragraph" w:customStyle="1" w:styleId="79E112585DF94DA986C65993332B8A5D">
    <w:name w:val="79E112585DF94DA986C65993332B8A5D"/>
    <w:rsid w:val="00415258"/>
  </w:style>
  <w:style w:type="paragraph" w:customStyle="1" w:styleId="9769BC01B22E495FA9A71BA768309416">
    <w:name w:val="9769BC01B22E495FA9A71BA768309416"/>
    <w:rsid w:val="00415258"/>
  </w:style>
  <w:style w:type="paragraph" w:customStyle="1" w:styleId="6BC12D5D3F6E40F29F048CC25D4D409B">
    <w:name w:val="6BC12D5D3F6E40F29F048CC25D4D409B"/>
    <w:rsid w:val="00415258"/>
  </w:style>
  <w:style w:type="paragraph" w:customStyle="1" w:styleId="3E5E58944E6A4BF596B937FEB996EE40">
    <w:name w:val="3E5E58944E6A4BF596B937FEB996EE40"/>
    <w:rsid w:val="00415258"/>
  </w:style>
  <w:style w:type="paragraph" w:customStyle="1" w:styleId="C8DCEAABB62A467E86B68D849C78F75C">
    <w:name w:val="C8DCEAABB62A467E86B68D849C78F75C"/>
    <w:rsid w:val="00415258"/>
  </w:style>
  <w:style w:type="paragraph" w:customStyle="1" w:styleId="D798C2DAAC1541A8AC47D8E1D1E982EB">
    <w:name w:val="D798C2DAAC1541A8AC47D8E1D1E982EB"/>
    <w:rsid w:val="00415258"/>
  </w:style>
  <w:style w:type="paragraph" w:customStyle="1" w:styleId="12FE667353DD4CA8B560BF38E6B94583">
    <w:name w:val="12FE667353DD4CA8B560BF38E6B94583"/>
    <w:rsid w:val="00415258"/>
  </w:style>
  <w:style w:type="paragraph" w:customStyle="1" w:styleId="4F762FBBBD3340829C256DB14C31EE1F">
    <w:name w:val="4F762FBBBD3340829C256DB14C31EE1F"/>
    <w:rsid w:val="00415258"/>
  </w:style>
  <w:style w:type="paragraph" w:customStyle="1" w:styleId="ECFE69B569D14800A5DC51EA4634AE42">
    <w:name w:val="ECFE69B569D14800A5DC51EA4634AE42"/>
    <w:rsid w:val="006B2C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833B9C0B50D4EB62CF206B9DF4D6F" ma:contentTypeVersion="2" ma:contentTypeDescription="Create a new document." ma:contentTypeScope="" ma:versionID="3f0239daee0f58ef4204c8121a58097c">
  <xsd:schema xmlns:xsd="http://www.w3.org/2001/XMLSchema" xmlns:xs="http://www.w3.org/2001/XMLSchema" xmlns:p="http://schemas.microsoft.com/office/2006/metadata/properties" xmlns:ns2="bf54d604-3e62-4e70-ba33-9e9084b96a66" targetNamespace="http://schemas.microsoft.com/office/2006/metadata/properties" ma:root="true" ma:fieldsID="84d0abafb20839a02dba80eb6ea31e1c" ns2:_="">
    <xsd:import namespace="bf54d604-3e62-4e70-ba33-9e9084b96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4d604-3e62-4e70-ba33-9e9084b96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AF4F-6FF1-4BFC-8459-3988F2E8652D}">
  <ds:schemaRefs>
    <ds:schemaRef ds:uri="http://schemas.openxmlformats.org/package/2006/metadata/core-properties"/>
    <ds:schemaRef ds:uri="http://schemas.microsoft.com/office/2006/documentManagement/types"/>
    <ds:schemaRef ds:uri="bf54d604-3e62-4e70-ba33-9e9084b96a66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C39035C-6D0A-44FA-B9C7-D262D7196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BB2EE-ACB9-4B8C-9417-185575051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54d604-3e62-4e70-ba33-9e9084b96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5EE80B-FC94-4BF2-84AB-CB8B538D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2019-11-06T05:59:00Z</dcterms:created>
  <dcterms:modified xsi:type="dcterms:W3CDTF">2019-12-03T01:46:00Z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0x010100EC2833B9C0B50D4EB62CF206B9DF4D6F</vt:lpwstr>
  </property>
</Properties>
</file>