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sdt>
      <w:sdtPr>
        <w:rPr>
          <w:rFonts w:ascii="Arial" w:hAnsi="Arial" w:cs="Arial"/>
        </w:rPr>
        <w:alias w:val="NameofChemical"/>
        <w:tag w:val="NameofChemical"/>
        <w:id w:val="1425919599"/>
        <w:lock w:val="sdtLocked"/>
        <w:placeholder>
          <w:docPart w:val="CE1736E50B02464986D1BEC8B7ACDE96"/>
        </w:placeholder>
        <w:text/>
      </w:sdtPr>
      <w:sdtEndPr/>
      <w:sdtContent>
        <w:p w14:paraId="3A98A492" w14:textId="468DCC3B" w:rsidR="00BD499F" w:rsidRPr="004C23F4" w:rsidRDefault="00467847" w:rsidP="00B40C60">
          <w:pPr>
            <w:pStyle w:val="Heading1"/>
            <w:jc w:val="center"/>
            <w:rPr>
              <w:rFonts w:ascii="Arial" w:hAnsi="Arial" w:cs="Arial"/>
            </w:rPr>
          </w:pPr>
          <w:r w:rsidRPr="00467847">
            <w:rPr>
              <w:rFonts w:ascii="Arial" w:hAnsi="Arial" w:cs="Arial"/>
            </w:rPr>
            <w:t>Ethyl ether</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w:tblDescription w:val="Chemical description details form"/>
      </w:tblPr>
      <w:tblGrid>
        <w:gridCol w:w="3992"/>
        <w:gridCol w:w="5034"/>
      </w:tblGrid>
      <w:tr w:rsidR="00F43AD5" w:rsidRPr="004C23F4" w14:paraId="630021D1" w14:textId="77777777" w:rsidTr="00B76A41">
        <w:trPr>
          <w:cantSplit/>
          <w:tblHeader/>
        </w:trPr>
        <w:tc>
          <w:tcPr>
            <w:tcW w:w="4077" w:type="dxa"/>
          </w:tcPr>
          <w:p w14:paraId="0CEE5639" w14:textId="77777777" w:rsidR="00F43AD5" w:rsidRPr="00921DE7" w:rsidRDefault="00CB1CB1" w:rsidP="00B76A41">
            <w:pPr>
              <w:pStyle w:val="Tablerowright"/>
            </w:pPr>
            <w:r w:rsidRPr="00921DE7">
              <w:t>CAS number:</w:t>
            </w:r>
          </w:p>
        </w:tc>
        <w:tc>
          <w:tcPr>
            <w:tcW w:w="5165" w:type="dxa"/>
          </w:tcPr>
          <w:p w14:paraId="2E6E92BD" w14:textId="5DC442D6" w:rsidR="00F43AD5" w:rsidRPr="00717D45" w:rsidRDefault="002A0675" w:rsidP="00B76A41">
            <w:pPr>
              <w:pStyle w:val="Tablefont"/>
            </w:pPr>
            <w:r w:rsidRPr="002A0675">
              <w:t>60-29-7</w:t>
            </w:r>
          </w:p>
        </w:tc>
      </w:tr>
      <w:tr w:rsidR="00F43AD5" w:rsidRPr="004C23F4" w14:paraId="4CFBD423" w14:textId="77777777" w:rsidTr="00B76A41">
        <w:trPr>
          <w:cantSplit/>
        </w:trPr>
        <w:tc>
          <w:tcPr>
            <w:tcW w:w="4077" w:type="dxa"/>
          </w:tcPr>
          <w:p w14:paraId="171E41DE" w14:textId="77777777" w:rsidR="00F43AD5" w:rsidRPr="00921DE7" w:rsidRDefault="00CB1CB1" w:rsidP="00B76A41">
            <w:pPr>
              <w:pStyle w:val="Tablerowright"/>
            </w:pPr>
            <w:r w:rsidRPr="00921DE7">
              <w:t>Synonyms:</w:t>
            </w:r>
          </w:p>
        </w:tc>
        <w:tc>
          <w:tcPr>
            <w:tcW w:w="5165" w:type="dxa"/>
          </w:tcPr>
          <w:p w14:paraId="7ED1AD8C" w14:textId="16F91DAD" w:rsidR="00F43AD5" w:rsidRPr="00717D45" w:rsidRDefault="00740843" w:rsidP="00B76A41">
            <w:pPr>
              <w:pStyle w:val="Tablefont"/>
            </w:pPr>
            <w:r w:rsidRPr="00740843">
              <w:t>Diethyl ether</w:t>
            </w:r>
            <w:r>
              <w:t xml:space="preserve">, </w:t>
            </w:r>
            <w:r w:rsidR="0021108A">
              <w:t xml:space="preserve">diethyl </w:t>
            </w:r>
            <w:r>
              <w:t xml:space="preserve">oxide, </w:t>
            </w:r>
            <w:r w:rsidR="0021108A">
              <w:t>e</w:t>
            </w:r>
            <w:r w:rsidR="0021108A" w:rsidRPr="00740843">
              <w:t>ther</w:t>
            </w:r>
          </w:p>
        </w:tc>
      </w:tr>
      <w:tr w:rsidR="00F43AD5" w:rsidRPr="004C23F4" w14:paraId="21413044" w14:textId="77777777" w:rsidTr="00B76A41">
        <w:trPr>
          <w:cantSplit/>
        </w:trPr>
        <w:tc>
          <w:tcPr>
            <w:tcW w:w="4077" w:type="dxa"/>
          </w:tcPr>
          <w:p w14:paraId="74061B5A" w14:textId="77777777" w:rsidR="00F43AD5" w:rsidRPr="00921DE7" w:rsidRDefault="00CB1CB1" w:rsidP="00B76A41">
            <w:pPr>
              <w:pStyle w:val="Tablerowright"/>
            </w:pPr>
            <w:r w:rsidRPr="00921DE7">
              <w:t>Chemical formula:</w:t>
            </w:r>
          </w:p>
        </w:tc>
        <w:tc>
          <w:tcPr>
            <w:tcW w:w="5165" w:type="dxa"/>
          </w:tcPr>
          <w:p w14:paraId="29544754" w14:textId="34CB5CA5" w:rsidR="00F43AD5" w:rsidRPr="00717D45" w:rsidRDefault="00740843" w:rsidP="00B76A41">
            <w:pPr>
              <w:pStyle w:val="Tablefont"/>
            </w:pPr>
            <w:r w:rsidRPr="00740843">
              <w:t>C</w:t>
            </w:r>
            <w:r w:rsidRPr="00740843">
              <w:rPr>
                <w:vertAlign w:val="subscript"/>
              </w:rPr>
              <w:t>4</w:t>
            </w:r>
            <w:r w:rsidRPr="00740843">
              <w:t>H</w:t>
            </w:r>
            <w:r w:rsidRPr="00740843">
              <w:rPr>
                <w:vertAlign w:val="subscript"/>
              </w:rPr>
              <w:t>10</w:t>
            </w:r>
            <w:r w:rsidRPr="00740843">
              <w:t>O</w:t>
            </w:r>
          </w:p>
        </w:tc>
      </w:tr>
      <w:tr w:rsidR="00F43AD5" w:rsidRPr="004C23F4" w14:paraId="3AB51E5E" w14:textId="77777777" w:rsidTr="00B76A41">
        <w:trPr>
          <w:cantSplit/>
        </w:trPr>
        <w:tc>
          <w:tcPr>
            <w:tcW w:w="4077" w:type="dxa"/>
          </w:tcPr>
          <w:p w14:paraId="5CE576DF" w14:textId="77777777" w:rsidR="00F43AD5" w:rsidRPr="00921DE7" w:rsidRDefault="00CB1CB1" w:rsidP="00B76A41">
            <w:pPr>
              <w:pStyle w:val="Tablerowright"/>
            </w:pPr>
            <w:r w:rsidRPr="00921DE7">
              <w:t>Structural formula:</w:t>
            </w:r>
          </w:p>
        </w:tc>
        <w:tc>
          <w:tcPr>
            <w:tcW w:w="5165" w:type="dxa"/>
          </w:tcPr>
          <w:p w14:paraId="6A0E1E81" w14:textId="45D1AB20" w:rsidR="00F43AD5" w:rsidRPr="00B40C60" w:rsidRDefault="00740843" w:rsidP="00B76A41">
            <w:pPr>
              <w:pStyle w:val="Tablerowheading"/>
              <w:rPr>
                <w:b w:val="0"/>
              </w:rPr>
            </w:pPr>
            <w:r w:rsidRPr="00740843">
              <w:rPr>
                <w:b w:val="0"/>
              </w:rPr>
              <w:t>—</w:t>
            </w:r>
          </w:p>
        </w:tc>
      </w:tr>
    </w:tbl>
    <w:p w14:paraId="515ADE61" w14:textId="4C6962EF" w:rsidR="00AE2745" w:rsidRDefault="00AE2745" w:rsidP="00AE2745">
      <w:pPr>
        <w:pStyle w:val="WES"/>
        <w:tabs>
          <w:tab w:val="left" w:pos="2041"/>
        </w:tabs>
      </w:pPr>
      <w:r>
        <w:tab/>
      </w:r>
      <w:r w:rsidRPr="002C58FF">
        <w:t xml:space="preserve">Workplace </w:t>
      </w:r>
      <w:r>
        <w:t>exposure s</w:t>
      </w:r>
      <w:r w:rsidRPr="002C58FF">
        <w:t xml:space="preserve">tandard </w:t>
      </w:r>
      <w:sdt>
        <w:sdtPr>
          <w:rPr>
            <w:rStyle w:val="WESstatus"/>
          </w:rPr>
          <w:id w:val="-1336530191"/>
          <w:placeholder>
            <w:docPart w:val="E23B83A762C94EBA8097A4DA3FB4D503"/>
          </w:placeholder>
          <w:comboBox>
            <w:listItem w:displayText="(amended)" w:value="(amended)"/>
            <w:listItem w:displayText="(interim)" w:value="(interim)"/>
            <w:listItem w:displayText="(new)" w:value="(new)"/>
            <w:listItem w:displayText="(retained)" w:value="(retained)"/>
          </w:comboBox>
        </w:sdtPr>
        <w:sdtEndPr>
          <w:rPr>
            <w:rStyle w:val="WESstatus"/>
          </w:rPr>
        </w:sdtEndPr>
        <w:sdtContent>
          <w:r w:rsidR="0004767A">
            <w:rPr>
              <w:rStyle w:val="WESstatus"/>
            </w:rPr>
            <w:t>(retained)</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w:tblDescription w:val="Chemical description details form"/>
      </w:tblPr>
      <w:tblGrid>
        <w:gridCol w:w="4005"/>
        <w:gridCol w:w="5021"/>
      </w:tblGrid>
      <w:tr w:rsidR="002C7AFE" w:rsidRPr="004C23F4" w14:paraId="110B2841" w14:textId="77777777" w:rsidTr="007D0EAA">
        <w:trPr>
          <w:cantSplit/>
          <w:tblHeader/>
        </w:trPr>
        <w:tc>
          <w:tcPr>
            <w:tcW w:w="4005" w:type="dxa"/>
            <w:vAlign w:val="center"/>
          </w:tcPr>
          <w:p w14:paraId="26120E19" w14:textId="77777777" w:rsidR="002C7AFE" w:rsidRPr="002C58FF" w:rsidRDefault="00921DE7" w:rsidP="00921DE7">
            <w:pPr>
              <w:pStyle w:val="Tablerowright"/>
            </w:pPr>
            <w:r>
              <w:t>TWA:</w:t>
            </w:r>
          </w:p>
        </w:tc>
        <w:tc>
          <w:tcPr>
            <w:tcW w:w="5021" w:type="dxa"/>
          </w:tcPr>
          <w:p w14:paraId="1DB3AD46" w14:textId="718D22C4" w:rsidR="002C7AFE" w:rsidRPr="00EB3D1B" w:rsidRDefault="0004767A" w:rsidP="00017C82">
            <w:pPr>
              <w:pStyle w:val="Tablefont"/>
              <w:rPr>
                <w:b/>
              </w:rPr>
            </w:pPr>
            <w:r>
              <w:rPr>
                <w:b/>
              </w:rPr>
              <w:t>400 ppm</w:t>
            </w:r>
            <w:r w:rsidR="007B42D8">
              <w:rPr>
                <w:b/>
              </w:rPr>
              <w:t xml:space="preserve"> </w:t>
            </w:r>
            <w:r w:rsidR="007B42D8" w:rsidRPr="007B42D8">
              <w:rPr>
                <w:b/>
              </w:rPr>
              <w:t>(1,210 mg/m</w:t>
            </w:r>
            <w:r w:rsidR="007B42D8" w:rsidRPr="007B42D8">
              <w:rPr>
                <w:b/>
                <w:vertAlign w:val="superscript"/>
              </w:rPr>
              <w:t>3</w:t>
            </w:r>
            <w:r w:rsidR="007B42D8" w:rsidRPr="007B42D8">
              <w:rPr>
                <w:b/>
              </w:rPr>
              <w:t>)</w:t>
            </w:r>
          </w:p>
        </w:tc>
      </w:tr>
      <w:tr w:rsidR="002C7AFE" w:rsidRPr="004C23F4" w14:paraId="0D148F68" w14:textId="77777777" w:rsidTr="007D0EAA">
        <w:trPr>
          <w:cantSplit/>
        </w:trPr>
        <w:tc>
          <w:tcPr>
            <w:tcW w:w="4005" w:type="dxa"/>
            <w:vAlign w:val="center"/>
          </w:tcPr>
          <w:p w14:paraId="74140693" w14:textId="77777777" w:rsidR="002C7AFE" w:rsidRPr="002C58FF" w:rsidRDefault="002C7AFE" w:rsidP="00921DE7">
            <w:pPr>
              <w:pStyle w:val="Tablerowright"/>
            </w:pPr>
            <w:r w:rsidRPr="002C58FF">
              <w:t>STEL</w:t>
            </w:r>
            <w:r w:rsidR="00921DE7">
              <w:t>:</w:t>
            </w:r>
          </w:p>
        </w:tc>
        <w:tc>
          <w:tcPr>
            <w:tcW w:w="5021" w:type="dxa"/>
          </w:tcPr>
          <w:p w14:paraId="3F4D21C0" w14:textId="030644FF" w:rsidR="002C7AFE" w:rsidRPr="00EB3D1B" w:rsidRDefault="0004767A" w:rsidP="00017C82">
            <w:pPr>
              <w:pStyle w:val="Tablefont"/>
              <w:rPr>
                <w:b/>
              </w:rPr>
            </w:pPr>
            <w:r>
              <w:rPr>
                <w:b/>
              </w:rPr>
              <w:t>500 ppm</w:t>
            </w:r>
            <w:r w:rsidR="007B42D8">
              <w:rPr>
                <w:b/>
              </w:rPr>
              <w:t xml:space="preserve"> </w:t>
            </w:r>
            <w:r w:rsidR="007B42D8" w:rsidRPr="007B42D8">
              <w:rPr>
                <w:b/>
              </w:rPr>
              <w:t>(1,520 mg/m</w:t>
            </w:r>
            <w:r w:rsidR="007B42D8" w:rsidRPr="007B42D8">
              <w:rPr>
                <w:b/>
                <w:vertAlign w:val="superscript"/>
              </w:rPr>
              <w:t>3</w:t>
            </w:r>
            <w:r w:rsidR="007B42D8" w:rsidRPr="007B42D8">
              <w:rPr>
                <w:b/>
              </w:rPr>
              <w:t>)</w:t>
            </w:r>
          </w:p>
        </w:tc>
      </w:tr>
      <w:tr w:rsidR="002C7AFE" w:rsidRPr="004C23F4" w14:paraId="11E81EDE" w14:textId="77777777" w:rsidTr="007D0EAA">
        <w:trPr>
          <w:cantSplit/>
        </w:trPr>
        <w:tc>
          <w:tcPr>
            <w:tcW w:w="4005" w:type="dxa"/>
            <w:vAlign w:val="center"/>
          </w:tcPr>
          <w:p w14:paraId="68CE3549" w14:textId="77777777" w:rsidR="002C7AFE" w:rsidRPr="002C58FF" w:rsidRDefault="00921DE7" w:rsidP="00921DE7">
            <w:pPr>
              <w:pStyle w:val="Tablerowright"/>
            </w:pPr>
            <w:r>
              <w:t>Peak limitation:</w:t>
            </w:r>
          </w:p>
        </w:tc>
        <w:tc>
          <w:tcPr>
            <w:tcW w:w="5021" w:type="dxa"/>
          </w:tcPr>
          <w:p w14:paraId="49DF2DAD" w14:textId="05ECF562" w:rsidR="002C7AFE" w:rsidRPr="00EB3D1B" w:rsidRDefault="0004767A" w:rsidP="00017C82">
            <w:pPr>
              <w:pStyle w:val="Tablefont"/>
              <w:rPr>
                <w:b/>
              </w:rPr>
            </w:pPr>
            <w:r>
              <w:rPr>
                <w:b/>
              </w:rPr>
              <w:t>—</w:t>
            </w:r>
          </w:p>
        </w:tc>
      </w:tr>
      <w:tr w:rsidR="002C7AFE" w:rsidRPr="004C23F4" w14:paraId="423FE7CF" w14:textId="77777777" w:rsidTr="007D0EAA">
        <w:trPr>
          <w:cantSplit/>
        </w:trPr>
        <w:tc>
          <w:tcPr>
            <w:tcW w:w="4005" w:type="dxa"/>
          </w:tcPr>
          <w:p w14:paraId="10F4D609" w14:textId="77777777" w:rsidR="002C7AFE" w:rsidRPr="002C58FF" w:rsidRDefault="00A2073D" w:rsidP="003241A8">
            <w:pPr>
              <w:pStyle w:val="Tablerowright"/>
            </w:pPr>
            <w:r>
              <w:rPr>
                <w:b w:val="0"/>
                <w:bCs/>
                <w:color w:val="000000" w:themeColor="text1"/>
              </w:rPr>
              <w:tab/>
            </w:r>
            <w:r w:rsidR="00921DE7" w:rsidRPr="003241A8">
              <w:t>Notations</w:t>
            </w:r>
            <w:r w:rsidR="00921DE7">
              <w:t>:</w:t>
            </w:r>
          </w:p>
        </w:tc>
        <w:tc>
          <w:tcPr>
            <w:tcW w:w="5021" w:type="dxa"/>
          </w:tcPr>
          <w:p w14:paraId="1BC3D144" w14:textId="05C8B7C6" w:rsidR="002C7AFE" w:rsidRPr="00EB3D1B" w:rsidRDefault="0004767A" w:rsidP="008A36CF">
            <w:pPr>
              <w:pStyle w:val="Tablefont"/>
              <w:rPr>
                <w:b/>
              </w:rPr>
            </w:pPr>
            <w:r>
              <w:rPr>
                <w:b/>
              </w:rPr>
              <w:t>—</w:t>
            </w:r>
          </w:p>
        </w:tc>
      </w:tr>
      <w:tr w:rsidR="002C7AFE" w:rsidRPr="004C23F4" w14:paraId="71C8DEBB" w14:textId="77777777" w:rsidTr="007D0EAA">
        <w:trPr>
          <w:cantSplit/>
        </w:trPr>
        <w:tc>
          <w:tcPr>
            <w:tcW w:w="4005" w:type="dxa"/>
            <w:vAlign w:val="center"/>
          </w:tcPr>
          <w:p w14:paraId="28ACBC54" w14:textId="77777777" w:rsidR="00F10C97" w:rsidRPr="002C58FF" w:rsidRDefault="00921DE7" w:rsidP="009F04D2">
            <w:pPr>
              <w:pStyle w:val="Tablerowright"/>
            </w:pPr>
            <w:r>
              <w:t>IDLH:</w:t>
            </w:r>
          </w:p>
        </w:tc>
        <w:tc>
          <w:tcPr>
            <w:tcW w:w="5021" w:type="dxa"/>
          </w:tcPr>
          <w:p w14:paraId="05C1AAFA" w14:textId="0BCEFFA5" w:rsidR="002C7AFE" w:rsidRPr="00EB3D1B" w:rsidRDefault="008C79ED" w:rsidP="00017C82">
            <w:pPr>
              <w:pStyle w:val="Tablefont"/>
              <w:rPr>
                <w:b/>
              </w:rPr>
            </w:pPr>
            <w:r>
              <w:rPr>
                <w:b/>
              </w:rPr>
              <w:t>1</w:t>
            </w:r>
            <w:r w:rsidR="009A6941">
              <w:rPr>
                <w:b/>
              </w:rPr>
              <w:t>,</w:t>
            </w:r>
            <w:r>
              <w:rPr>
                <w:b/>
              </w:rPr>
              <w:t>900 ppm</w:t>
            </w:r>
          </w:p>
        </w:tc>
      </w:tr>
      <w:tr w:rsidR="007D0EAA" w:rsidRPr="004C23F4" w14:paraId="05676442" w14:textId="77777777" w:rsidTr="00E72F58">
        <w:trPr>
          <w:cantSplit/>
        </w:trPr>
        <w:tc>
          <w:tcPr>
            <w:tcW w:w="9026" w:type="dxa"/>
            <w:gridSpan w:val="2"/>
            <w:vAlign w:val="center"/>
          </w:tcPr>
          <w:p w14:paraId="53F55269" w14:textId="0C90AFD7" w:rsidR="007D0EAA" w:rsidRPr="00EB3D1B" w:rsidRDefault="007D0EAA" w:rsidP="00017C82">
            <w:pPr>
              <w:pStyle w:val="Tablefont"/>
              <w:rPr>
                <w:b/>
              </w:rPr>
            </w:pPr>
            <w:r w:rsidRPr="00576ED3">
              <w:rPr>
                <w:b/>
              </w:rPr>
              <w:t>Sampling and analysis:</w:t>
            </w:r>
            <w:r w:rsidRPr="00EC521E">
              <w:rPr>
                <w:rStyle w:val="WESstatus"/>
                <w:color w:val="auto"/>
              </w:rPr>
              <w:t xml:space="preserve"> </w:t>
            </w:r>
            <w:sdt>
              <w:sdtPr>
                <w:rPr>
                  <w:rStyle w:val="WESstatus"/>
                  <w:color w:val="auto"/>
                </w:rPr>
                <w:id w:val="-2105258949"/>
                <w:placeholder>
                  <w:docPart w:val="97A6BE7D44EA4E759853EA4D2BE06F00"/>
                </w:placeholder>
                <w:comboBox>
                  <w:listItem w:displayText="(Click here to enter)" w:value="(Click here to enter)"/>
                  <w:listItem w:displayText="The recommended value is likely to be below the current limit of detection for standard sampling and analysis techniques." w:value="The recommended value is likely to be below the current limit of detection for standard sampling and analysis techniques."/>
                  <w:listItem w:displayText="The recommended value is quantifiable through available sampling and analysis techniques. " w:value="The recommended value is quantifiable through available sampling and analysis techniques. "/>
                  <w:listItem w:displayText="There is uncertainty regarding quantification of the recommended value with available sampling and/or analysis techniques." w:value="There is uncertainty regarding quantification of the recommended value with available sampling and/or analysis techniques."/>
                </w:comboBox>
              </w:sdtPr>
              <w:sdtEndPr>
                <w:rPr>
                  <w:rStyle w:val="WESstatus"/>
                </w:rPr>
              </w:sdtEndPr>
              <w:sdtContent>
                <w:r w:rsidRPr="00576ED3">
                  <w:rPr>
                    <w:rStyle w:val="WESstatus"/>
                    <w:color w:val="auto"/>
                  </w:rPr>
                  <w:t xml:space="preserve">The recommended value is quantifiable through available sampling and analysis techniques. </w:t>
                </w:r>
              </w:sdtContent>
            </w:sdt>
          </w:p>
        </w:tc>
      </w:tr>
    </w:tbl>
    <w:p w14:paraId="6A7DF0D8" w14:textId="77777777" w:rsidR="00CB1CB1" w:rsidRPr="003365A5" w:rsidRDefault="00F10C97" w:rsidP="003365A5">
      <w:pPr>
        <w:pStyle w:val="Heading2"/>
      </w:pPr>
      <w:r>
        <w:t>Recommendation and basis for workplace exposure standard</w:t>
      </w:r>
    </w:p>
    <w:p w14:paraId="4ED1E9DD" w14:textId="434E3FD9" w:rsidR="00D9558F" w:rsidRDefault="00D54507" w:rsidP="00D9558F">
      <w:pPr>
        <w:rPr>
          <w:rFonts w:cs="Arial"/>
        </w:rPr>
      </w:pPr>
      <w:r>
        <w:rPr>
          <w:rFonts w:cs="Arial"/>
        </w:rPr>
        <w:t>A</w:t>
      </w:r>
      <w:r w:rsidR="00613179" w:rsidRPr="00B31829">
        <w:rPr>
          <w:rFonts w:cs="Arial"/>
        </w:rPr>
        <w:t xml:space="preserve"> </w:t>
      </w:r>
      <w:r w:rsidR="00D9558F" w:rsidRPr="00B31829">
        <w:rPr>
          <w:rFonts w:cs="Arial"/>
        </w:rPr>
        <w:t>TWA</w:t>
      </w:r>
      <w:r w:rsidR="00D9558F" w:rsidRPr="00D9558F">
        <w:rPr>
          <w:rFonts w:cs="Arial"/>
        </w:rPr>
        <w:t xml:space="preserve"> of </w:t>
      </w:r>
      <w:r w:rsidR="0004767A">
        <w:rPr>
          <w:rFonts w:cs="Arial"/>
        </w:rPr>
        <w:t>400</w:t>
      </w:r>
      <w:r w:rsidR="00D9558F" w:rsidRPr="00D9558F">
        <w:rPr>
          <w:rFonts w:cs="Arial"/>
        </w:rPr>
        <w:t xml:space="preserve"> ppm (</w:t>
      </w:r>
      <w:r w:rsidR="007B42D8">
        <w:rPr>
          <w:rFonts w:cs="Arial"/>
        </w:rPr>
        <w:t>1,210</w:t>
      </w:r>
      <w:r w:rsidR="00D9558F" w:rsidRPr="00D9558F">
        <w:rPr>
          <w:rFonts w:cs="Arial"/>
        </w:rPr>
        <w:t xml:space="preserve"> mg/m</w:t>
      </w:r>
      <w:r w:rsidR="00D9558F" w:rsidRPr="0004767A">
        <w:rPr>
          <w:rFonts w:cs="Arial"/>
          <w:vertAlign w:val="superscript"/>
        </w:rPr>
        <w:t>3</w:t>
      </w:r>
      <w:r w:rsidR="00D9558F" w:rsidRPr="00D9558F">
        <w:rPr>
          <w:rFonts w:cs="Arial"/>
        </w:rPr>
        <w:t xml:space="preserve">) </w:t>
      </w:r>
      <w:proofErr w:type="gramStart"/>
      <w:r w:rsidR="00576ED3">
        <w:rPr>
          <w:rFonts w:cs="Arial"/>
        </w:rPr>
        <w:t>is recommended</w:t>
      </w:r>
      <w:proofErr w:type="gramEnd"/>
      <w:r w:rsidR="0004767A">
        <w:rPr>
          <w:rFonts w:cs="Arial"/>
        </w:rPr>
        <w:t xml:space="preserve"> </w:t>
      </w:r>
      <w:r w:rsidR="00D9558F" w:rsidRPr="00D9558F">
        <w:rPr>
          <w:rFonts w:cs="Arial"/>
        </w:rPr>
        <w:t>to</w:t>
      </w:r>
      <w:r w:rsidR="00613179">
        <w:rPr>
          <w:rFonts w:cs="Arial"/>
        </w:rPr>
        <w:t xml:space="preserve"> </w:t>
      </w:r>
      <w:r w:rsidR="00D9558F" w:rsidRPr="00D9558F">
        <w:rPr>
          <w:rFonts w:cs="Arial"/>
        </w:rPr>
        <w:t xml:space="preserve">protect for </w:t>
      </w:r>
      <w:r w:rsidR="0004767A">
        <w:rPr>
          <w:rFonts w:cs="Arial"/>
        </w:rPr>
        <w:t xml:space="preserve">nasal irritation, chronic headaches or cognitive disturbance </w:t>
      </w:r>
      <w:r w:rsidR="00576ED3">
        <w:rPr>
          <w:rFonts w:cs="Arial"/>
        </w:rPr>
        <w:t>in exposed workers.</w:t>
      </w:r>
    </w:p>
    <w:p w14:paraId="62B231FC" w14:textId="2BF433A9" w:rsidR="00576ED3" w:rsidRPr="00D9558F" w:rsidRDefault="00576ED3" w:rsidP="00D9558F">
      <w:pPr>
        <w:rPr>
          <w:rFonts w:cs="Arial"/>
        </w:rPr>
      </w:pPr>
      <w:r w:rsidRPr="00D9558F">
        <w:rPr>
          <w:rFonts w:cs="Arial"/>
        </w:rPr>
        <w:t xml:space="preserve">A </w:t>
      </w:r>
      <w:r>
        <w:rPr>
          <w:rFonts w:cs="Arial"/>
        </w:rPr>
        <w:t>STEL of 500 ppm (1,520 mg/m</w:t>
      </w:r>
      <w:r>
        <w:rPr>
          <w:rFonts w:cs="Arial"/>
          <w:vertAlign w:val="superscript"/>
        </w:rPr>
        <w:t>3</w:t>
      </w:r>
      <w:r>
        <w:rPr>
          <w:rFonts w:cs="Arial"/>
        </w:rPr>
        <w:t>) is recommend</w:t>
      </w:r>
      <w:r w:rsidRPr="00D9558F">
        <w:rPr>
          <w:rFonts w:cs="Arial"/>
        </w:rPr>
        <w:t xml:space="preserve"> to protect for </w:t>
      </w:r>
      <w:r>
        <w:rPr>
          <w:rFonts w:cs="Arial"/>
        </w:rPr>
        <w:t xml:space="preserve">acute nasal irritation and </w:t>
      </w:r>
      <w:r w:rsidR="00B31829">
        <w:rPr>
          <w:rFonts w:cs="Arial"/>
        </w:rPr>
        <w:t>CNS effects</w:t>
      </w:r>
      <w:r>
        <w:rPr>
          <w:rFonts w:cs="Arial"/>
        </w:rPr>
        <w:t xml:space="preserve"> in exposed workers.</w:t>
      </w:r>
    </w:p>
    <w:p w14:paraId="5CE0D714" w14:textId="77777777" w:rsidR="00C7155E" w:rsidRPr="004C23F4" w:rsidRDefault="00F10C97" w:rsidP="003365A5">
      <w:pPr>
        <w:pStyle w:val="Heading2"/>
      </w:pPr>
      <w:r>
        <w:t>Discussion and conclusions</w:t>
      </w:r>
    </w:p>
    <w:p w14:paraId="38A8038A" w14:textId="0E650DA4" w:rsidR="006639B4" w:rsidRDefault="00E06E7B" w:rsidP="006639B4">
      <w:pPr>
        <w:rPr>
          <w:rFonts w:cs="Arial"/>
        </w:rPr>
      </w:pPr>
      <w:r>
        <w:rPr>
          <w:rFonts w:cs="Arial"/>
        </w:rPr>
        <w:t xml:space="preserve">Ethyl ether </w:t>
      </w:r>
      <w:proofErr w:type="gramStart"/>
      <w:r>
        <w:rPr>
          <w:rFonts w:cs="Arial"/>
        </w:rPr>
        <w:t>is used</w:t>
      </w:r>
      <w:proofErr w:type="gramEnd"/>
      <w:r>
        <w:rPr>
          <w:rFonts w:cs="Arial"/>
        </w:rPr>
        <w:t xml:space="preserve"> as a solvent and formerly as an anaesthetic. Critical effects are nasal irritation</w:t>
      </w:r>
      <w:r w:rsidR="00B23A9F">
        <w:rPr>
          <w:rFonts w:cs="Arial"/>
        </w:rPr>
        <w:t>,</w:t>
      </w:r>
      <w:r>
        <w:rPr>
          <w:rFonts w:cs="Arial"/>
        </w:rPr>
        <w:t xml:space="preserve"> to which a tolerance </w:t>
      </w:r>
      <w:proofErr w:type="gramStart"/>
      <w:r>
        <w:rPr>
          <w:rFonts w:cs="Arial"/>
        </w:rPr>
        <w:t>may be acquired</w:t>
      </w:r>
      <w:proofErr w:type="gramEnd"/>
      <w:r>
        <w:rPr>
          <w:rFonts w:cs="Arial"/>
        </w:rPr>
        <w:t xml:space="preserve"> </w:t>
      </w:r>
      <w:r w:rsidR="002D360A">
        <w:rPr>
          <w:rFonts w:cs="Arial"/>
        </w:rPr>
        <w:t>as noted in</w:t>
      </w:r>
      <w:r>
        <w:rPr>
          <w:rFonts w:cs="Arial"/>
        </w:rPr>
        <w:t xml:space="preserve"> comparisons of workplace exposure data with acute volunteer </w:t>
      </w:r>
      <w:r w:rsidR="006F33B8">
        <w:rPr>
          <w:rFonts w:cs="Arial"/>
        </w:rPr>
        <w:t xml:space="preserve">exposure studies (ACGIH, 2018; DFG, 1999). </w:t>
      </w:r>
      <w:r w:rsidR="004347B2">
        <w:rPr>
          <w:rFonts w:cs="Arial"/>
        </w:rPr>
        <w:t xml:space="preserve">Concentrations above 19,000 ppm have anaesthetic effects in humans (ACGIH, 2018). </w:t>
      </w:r>
      <w:r w:rsidR="006F33B8">
        <w:rPr>
          <w:rFonts w:cs="Arial"/>
        </w:rPr>
        <w:t>Chronic exposure above 500 ppm cause</w:t>
      </w:r>
      <w:r w:rsidR="004347B2">
        <w:rPr>
          <w:rFonts w:cs="Arial"/>
        </w:rPr>
        <w:t>s</w:t>
      </w:r>
      <w:r w:rsidR="006F33B8">
        <w:rPr>
          <w:rFonts w:cs="Arial"/>
        </w:rPr>
        <w:t xml:space="preserve"> loss of appetite, headaches, dizziness and cognitive disturbance</w:t>
      </w:r>
      <w:r w:rsidR="004347B2">
        <w:rPr>
          <w:rFonts w:cs="Arial"/>
        </w:rPr>
        <w:t xml:space="preserve"> in workers (ACGIH, 2018)</w:t>
      </w:r>
      <w:r w:rsidR="006616F6">
        <w:rPr>
          <w:rFonts w:cs="Arial"/>
        </w:rPr>
        <w:t>.</w:t>
      </w:r>
    </w:p>
    <w:p w14:paraId="0FDC175E" w14:textId="041A5EA9" w:rsidR="006F33B8" w:rsidRPr="004C23F4" w:rsidRDefault="006F33B8" w:rsidP="006639B4">
      <w:pPr>
        <w:rPr>
          <w:rFonts w:cs="Arial"/>
        </w:rPr>
      </w:pPr>
      <w:r>
        <w:rPr>
          <w:rFonts w:cs="Arial"/>
        </w:rPr>
        <w:t xml:space="preserve">The current TWA of 400 ppm </w:t>
      </w:r>
      <w:proofErr w:type="gramStart"/>
      <w:r>
        <w:rPr>
          <w:rFonts w:cs="Arial"/>
        </w:rPr>
        <w:t>is retained</w:t>
      </w:r>
      <w:proofErr w:type="gramEnd"/>
      <w:r>
        <w:rPr>
          <w:rFonts w:cs="Arial"/>
        </w:rPr>
        <w:t xml:space="preserve"> based on human exposure data indicat</w:t>
      </w:r>
      <w:r w:rsidR="00533A38">
        <w:rPr>
          <w:rFonts w:cs="Arial"/>
        </w:rPr>
        <w:t>ing</w:t>
      </w:r>
      <w:r>
        <w:rPr>
          <w:rFonts w:cs="Arial"/>
        </w:rPr>
        <w:t xml:space="preserve"> </w:t>
      </w:r>
      <w:r w:rsidR="00DD2235">
        <w:rPr>
          <w:rFonts w:cs="Arial"/>
        </w:rPr>
        <w:t xml:space="preserve">that systemically available substance causes no adverse effects at this concentration and reports that </w:t>
      </w:r>
      <w:r>
        <w:rPr>
          <w:rFonts w:cs="Arial"/>
        </w:rPr>
        <w:t>workplace concentrati</w:t>
      </w:r>
      <w:r w:rsidR="002D360A">
        <w:rPr>
          <w:rFonts w:cs="Arial"/>
        </w:rPr>
        <w:t>ons below 500 ppm are not injurious</w:t>
      </w:r>
      <w:r>
        <w:rPr>
          <w:rFonts w:cs="Arial"/>
        </w:rPr>
        <w:t xml:space="preserve"> or uncomfortable to acclimated workers (ACGIH, 2018). The current STEL of 500 ppm is also retained based </w:t>
      </w:r>
      <w:r w:rsidR="00613179">
        <w:rPr>
          <w:rFonts w:cs="Arial"/>
        </w:rPr>
        <w:t xml:space="preserve">on the absence of irritation at concentrations less than 500 ppm reported </w:t>
      </w:r>
      <w:r w:rsidR="008860F4">
        <w:rPr>
          <w:rFonts w:cs="Arial"/>
        </w:rPr>
        <w:t xml:space="preserve">in different </w:t>
      </w:r>
      <w:r w:rsidR="00DD2235">
        <w:rPr>
          <w:rFonts w:cs="Arial"/>
        </w:rPr>
        <w:t>studies (ACGIH, 2018) and is expected to be protective of dizziness that may be experienced in some individuals above</w:t>
      </w:r>
      <w:r>
        <w:rPr>
          <w:rFonts w:cs="Arial"/>
        </w:rPr>
        <w:t xml:space="preserve"> 2,000 ppm </w:t>
      </w:r>
      <w:r w:rsidR="00E66AA9">
        <w:rPr>
          <w:rFonts w:cs="Arial"/>
        </w:rPr>
        <w:t>(ACGIH, 2018)</w:t>
      </w:r>
      <w:r>
        <w:rPr>
          <w:rFonts w:cs="Arial"/>
        </w:rPr>
        <w:t xml:space="preserve">. </w:t>
      </w:r>
      <w:r w:rsidR="002D360A">
        <w:rPr>
          <w:rFonts w:cs="Arial"/>
        </w:rPr>
        <w:t>From</w:t>
      </w:r>
      <w:r>
        <w:rPr>
          <w:rFonts w:cs="Arial"/>
        </w:rPr>
        <w:t xml:space="preserve"> the available information, narcosis or anaesthesia </w:t>
      </w:r>
      <w:proofErr w:type="gramStart"/>
      <w:r>
        <w:rPr>
          <w:rFonts w:cs="Arial"/>
        </w:rPr>
        <w:t>are not expected</w:t>
      </w:r>
      <w:proofErr w:type="gramEnd"/>
      <w:r>
        <w:rPr>
          <w:rFonts w:cs="Arial"/>
        </w:rPr>
        <w:t xml:space="preserve"> to occur below 10% of the </w:t>
      </w:r>
      <w:r w:rsidR="005D2A26">
        <w:rPr>
          <w:rStyle w:val="checkbox"/>
          <w:rFonts w:ascii="Arial" w:hAnsi="Arial" w:cs="Arial"/>
        </w:rPr>
        <w:t>lower explosive limit</w:t>
      </w:r>
      <w:r>
        <w:rPr>
          <w:rFonts w:cs="Arial"/>
        </w:rPr>
        <w:t xml:space="preserve">, which </w:t>
      </w:r>
      <w:r w:rsidR="002D360A">
        <w:rPr>
          <w:rFonts w:cs="Arial"/>
        </w:rPr>
        <w:t>determines</w:t>
      </w:r>
      <w:r>
        <w:rPr>
          <w:rFonts w:cs="Arial"/>
        </w:rPr>
        <w:t xml:space="preserve"> the IDLH for ethyl ether (ACGIH, 2018; NIOSH, 1994).</w:t>
      </w:r>
    </w:p>
    <w:p w14:paraId="209CA6D7" w14:textId="77777777" w:rsidR="004529F0" w:rsidRPr="004C23F4" w:rsidRDefault="004529F0" w:rsidP="004529F0">
      <w:pPr>
        <w:pStyle w:val="Heading2"/>
      </w:pPr>
      <w:r>
        <w:t>Recommendation for notations</w:t>
      </w:r>
    </w:p>
    <w:p w14:paraId="637E191F" w14:textId="693C4DDC" w:rsidR="008C79ED" w:rsidRPr="008C79ED" w:rsidRDefault="008C79ED" w:rsidP="008C79ED">
      <w:pPr>
        <w:rPr>
          <w:rFonts w:cs="Arial"/>
        </w:rPr>
      </w:pPr>
      <w:r w:rsidRPr="008C79ED">
        <w:rPr>
          <w:rFonts w:cs="Arial"/>
        </w:rPr>
        <w:t>Not classified as a carcinogen according to the Globally Harmonized System of Classification and Labelling o</w:t>
      </w:r>
      <w:r w:rsidR="00533A38">
        <w:rPr>
          <w:rFonts w:cs="Arial"/>
        </w:rPr>
        <w:t>f</w:t>
      </w:r>
      <w:r w:rsidRPr="008C79ED">
        <w:rPr>
          <w:rFonts w:cs="Arial"/>
        </w:rPr>
        <w:t xml:space="preserve"> Chemicals (GHS). </w:t>
      </w:r>
    </w:p>
    <w:p w14:paraId="7796A4E2" w14:textId="4A4E6DAC" w:rsidR="008C79ED" w:rsidRPr="008C79ED" w:rsidRDefault="008C79ED" w:rsidP="008C79ED">
      <w:pPr>
        <w:rPr>
          <w:rFonts w:cs="Arial"/>
        </w:rPr>
      </w:pPr>
      <w:r w:rsidRPr="008C79ED">
        <w:rPr>
          <w:rFonts w:cs="Arial"/>
        </w:rPr>
        <w:lastRenderedPageBreak/>
        <w:t xml:space="preserve">Not classified as a skin </w:t>
      </w:r>
      <w:r w:rsidR="00533A38" w:rsidRPr="008C79ED">
        <w:rPr>
          <w:rFonts w:cs="Arial"/>
        </w:rPr>
        <w:t xml:space="preserve">sensitiser </w:t>
      </w:r>
      <w:r w:rsidRPr="008C79ED">
        <w:rPr>
          <w:rFonts w:cs="Arial"/>
        </w:rPr>
        <w:t>or respiratory sensitiser according to the GHS.</w:t>
      </w:r>
    </w:p>
    <w:p w14:paraId="005817CC" w14:textId="716C280A" w:rsidR="005E6979" w:rsidRPr="004C23F4" w:rsidRDefault="002D360A">
      <w:pPr>
        <w:rPr>
          <w:rFonts w:cs="Arial"/>
        </w:rPr>
        <w:sectPr w:rsidR="005E6979" w:rsidRPr="004C23F4" w:rsidSect="00B479A9">
          <w:headerReference w:type="even" r:id="rId11"/>
          <w:headerReference w:type="default" r:id="rId12"/>
          <w:footerReference w:type="even" r:id="rId13"/>
          <w:footerReference w:type="default" r:id="rId14"/>
          <w:headerReference w:type="first" r:id="rId15"/>
          <w:footerReference w:type="first" r:id="rId16"/>
          <w:pgSz w:w="11906" w:h="16838"/>
          <w:pgMar w:top="1985" w:right="1440" w:bottom="1440" w:left="1440" w:header="708" w:footer="283" w:gutter="0"/>
          <w:cols w:space="708"/>
          <w:docGrid w:linePitch="360"/>
        </w:sectPr>
      </w:pPr>
      <w:r w:rsidRPr="002D360A">
        <w:rPr>
          <w:rFonts w:cs="Arial"/>
        </w:rPr>
        <w:t xml:space="preserve">A skin notation </w:t>
      </w:r>
      <w:proofErr w:type="gramStart"/>
      <w:r w:rsidRPr="002D360A">
        <w:rPr>
          <w:rFonts w:cs="Arial"/>
        </w:rPr>
        <w:t>is not warranted</w:t>
      </w:r>
      <w:proofErr w:type="gramEnd"/>
      <w:r w:rsidRPr="002D360A">
        <w:rPr>
          <w:rFonts w:cs="Arial"/>
        </w:rPr>
        <w:t xml:space="preserve"> based on the available evidence.</w:t>
      </w:r>
    </w:p>
    <w:p w14:paraId="4E95AA2D" w14:textId="77777777" w:rsidR="0034744C" w:rsidRPr="004C23F4" w:rsidRDefault="005E6979" w:rsidP="005E6979">
      <w:pPr>
        <w:pStyle w:val="Heading1"/>
        <w:rPr>
          <w:rFonts w:ascii="Arial" w:hAnsi="Arial" w:cs="Arial"/>
        </w:rPr>
      </w:pPr>
      <w:r w:rsidRPr="004C23F4">
        <w:rPr>
          <w:rFonts w:ascii="Arial" w:hAnsi="Arial" w:cs="Arial"/>
        </w:rPr>
        <w:lastRenderedPageBreak/>
        <w:t>Appendix</w:t>
      </w:r>
    </w:p>
    <w:p w14:paraId="5EAE729B" w14:textId="77777777" w:rsidR="008D026D" w:rsidRPr="003365A5" w:rsidRDefault="00B479A9" w:rsidP="003365A5">
      <w:pPr>
        <w:pStyle w:val="Heading3"/>
      </w:pPr>
      <w:r w:rsidRPr="003365A5">
        <w:t>Primary sources with reports</w:t>
      </w:r>
    </w:p>
    <w:tbl>
      <w:tblPr>
        <w:tblStyle w:val="LightList"/>
        <w:tblW w:w="5008" w:type="pct"/>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tblBorders>
        <w:tblLayout w:type="fixed"/>
        <w:tblLook w:val="0600" w:firstRow="0" w:lastRow="0" w:firstColumn="0" w:lastColumn="0" w:noHBand="1" w:noVBand="1"/>
        <w:tblCaption w:val="Table"/>
        <w:tblDescription w:val="Listing primary sources with reports"/>
      </w:tblPr>
      <w:tblGrid>
        <w:gridCol w:w="9006"/>
        <w:gridCol w:w="14"/>
      </w:tblGrid>
      <w:tr w:rsidR="00C978F0" w:rsidRPr="00DA352E" w14:paraId="049A2333" w14:textId="77777777" w:rsidTr="00DE26E8">
        <w:trPr>
          <w:gridAfter w:val="1"/>
          <w:wAfter w:w="8" w:type="pct"/>
          <w:cantSplit/>
          <w:trHeight w:val="393"/>
          <w:tblHeader/>
        </w:trPr>
        <w:tc>
          <w:tcPr>
            <w:tcW w:w="4992" w:type="pct"/>
            <w:shd w:val="clear" w:color="auto" w:fill="BFBFBF" w:themeFill="background1" w:themeFillShade="BF"/>
            <w:vAlign w:val="center"/>
          </w:tcPr>
          <w:p w14:paraId="656F9453" w14:textId="77777777" w:rsidR="00C978F0" w:rsidRPr="00DA352E" w:rsidRDefault="00C978F0" w:rsidP="00C67FFB">
            <w:pPr>
              <w:pStyle w:val="Tableheader"/>
              <w:tabs>
                <w:tab w:val="left" w:pos="1418"/>
                <w:tab w:val="left" w:pos="2552"/>
                <w:tab w:val="right" w:pos="8489"/>
              </w:tabs>
            </w:pPr>
            <w:r w:rsidRPr="00DA352E">
              <w:t>Source</w:t>
            </w:r>
            <w:r w:rsidR="00DA352E">
              <w:tab/>
              <w:t>Year set</w:t>
            </w:r>
            <w:r w:rsidR="00DA352E">
              <w:tab/>
              <w:t>Standard</w:t>
            </w:r>
            <w:r w:rsidR="00974F2D">
              <w:tab/>
            </w:r>
          </w:p>
        </w:tc>
      </w:tr>
      <w:tr w:rsidR="00DE26E8" w:rsidRPr="003365A5" w14:paraId="7D771E5C" w14:textId="77777777" w:rsidTr="00DE26E8">
        <w:trPr>
          <w:cantSplit/>
        </w:trPr>
        <w:tc>
          <w:tcPr>
            <w:tcW w:w="5000" w:type="pct"/>
            <w:gridSpan w:val="2"/>
            <w:shd w:val="clear" w:color="auto" w:fill="F2F2F2" w:themeFill="background1" w:themeFillShade="F2"/>
          </w:tcPr>
          <w:p w14:paraId="28451659" w14:textId="6C26F7DB" w:rsidR="00DE26E8" w:rsidRPr="003365A5" w:rsidRDefault="00DE26E8" w:rsidP="0051509C">
            <w:pPr>
              <w:pStyle w:val="Tablerowheadingitalic"/>
              <w:tabs>
                <w:tab w:val="clear" w:pos="2268"/>
                <w:tab w:val="clear" w:pos="5670"/>
                <w:tab w:val="left" w:pos="1418"/>
                <w:tab w:val="left" w:pos="2552"/>
              </w:tabs>
            </w:pPr>
            <w:r w:rsidRPr="003365A5">
              <w:t>SWA</w:t>
            </w:r>
            <w:r w:rsidRPr="003365A5">
              <w:tab/>
            </w:r>
            <w:sdt>
              <w:sdtPr>
                <w:id w:val="-2034099983"/>
                <w:placeholder>
                  <w:docPart w:val="0A35AF4547E94E219E26BC12DBC33282"/>
                </w:placeholder>
                <w:text/>
              </w:sdtPr>
              <w:sdtEndPr/>
              <w:sdtContent>
                <w:r w:rsidR="008C79ED">
                  <w:t>1991</w:t>
                </w:r>
              </w:sdtContent>
            </w:sdt>
            <w:r w:rsidRPr="003365A5">
              <w:tab/>
            </w:r>
            <w:r>
              <w:tab/>
            </w:r>
            <w:sdt>
              <w:sdtPr>
                <w:alias w:val="SWA WES"/>
                <w:tag w:val="SWA WES"/>
                <w:id w:val="857077202"/>
                <w:placeholder>
                  <w:docPart w:val="81CFEC2FDBC5451289F394E66D92D1A0"/>
                </w:placeholder>
              </w:sdtPr>
              <w:sdtEndPr/>
              <w:sdtContent>
                <w:r w:rsidR="008C79ED">
                  <w:t>TWA: 400 ppm (1</w:t>
                </w:r>
                <w:r w:rsidR="00D85E9A">
                  <w:t>,</w:t>
                </w:r>
                <w:r w:rsidR="008C79ED">
                  <w:t>210 mg/m</w:t>
                </w:r>
                <w:r w:rsidR="008C79ED" w:rsidRPr="008C79ED">
                  <w:rPr>
                    <w:vertAlign w:val="superscript"/>
                  </w:rPr>
                  <w:t>3</w:t>
                </w:r>
                <w:r w:rsidR="008C79ED">
                  <w:t>); STEL: 500 ppm (1</w:t>
                </w:r>
                <w:r w:rsidR="00D85E9A">
                  <w:t>,</w:t>
                </w:r>
                <w:r w:rsidR="008C79ED">
                  <w:t>520 mg/m</w:t>
                </w:r>
                <w:r w:rsidR="008C79ED" w:rsidRPr="008C79ED">
                  <w:rPr>
                    <w:vertAlign w:val="superscript"/>
                  </w:rPr>
                  <w:t>3</w:t>
                </w:r>
                <w:r w:rsidR="008C79ED">
                  <w:t>)</w:t>
                </w:r>
              </w:sdtContent>
            </w:sdt>
          </w:p>
        </w:tc>
      </w:tr>
      <w:tr w:rsidR="00C978F0" w:rsidRPr="00DA352E" w14:paraId="40490291" w14:textId="77777777" w:rsidTr="00DE26E8">
        <w:trPr>
          <w:gridAfter w:val="1"/>
          <w:wAfter w:w="8" w:type="pct"/>
          <w:cantSplit/>
        </w:trPr>
        <w:tc>
          <w:tcPr>
            <w:tcW w:w="4992" w:type="pct"/>
          </w:tcPr>
          <w:p w14:paraId="5DD49AF1" w14:textId="77777777" w:rsidR="00C978F0" w:rsidRPr="00DA352E" w:rsidRDefault="00C978F0" w:rsidP="003365A5">
            <w:pPr>
              <w:pStyle w:val="Tabletextprimarysource"/>
            </w:pPr>
          </w:p>
        </w:tc>
      </w:tr>
      <w:tr w:rsidR="00C978F0" w:rsidRPr="00DA352E" w14:paraId="75699BA6" w14:textId="77777777" w:rsidTr="00DE26E8">
        <w:trPr>
          <w:gridAfter w:val="1"/>
          <w:wAfter w:w="8" w:type="pct"/>
          <w:cantSplit/>
        </w:trPr>
        <w:tc>
          <w:tcPr>
            <w:tcW w:w="4992" w:type="pct"/>
            <w:shd w:val="clear" w:color="auto" w:fill="F2F2F2" w:themeFill="background1" w:themeFillShade="F2"/>
          </w:tcPr>
          <w:p w14:paraId="4BF4478C" w14:textId="4F5DFF3C" w:rsidR="00C978F0" w:rsidRPr="00DA352E" w:rsidRDefault="00DA352E" w:rsidP="009A6941">
            <w:pPr>
              <w:pStyle w:val="Tablerowheadingitalic"/>
              <w:tabs>
                <w:tab w:val="clear" w:pos="2268"/>
                <w:tab w:val="clear" w:pos="5670"/>
                <w:tab w:val="left" w:pos="1418"/>
              </w:tabs>
            </w:pPr>
            <w:r w:rsidRPr="00DA352E">
              <w:t>ACGIH</w:t>
            </w:r>
            <w:r w:rsidR="00916EC0">
              <w:t xml:space="preserve"> </w:t>
            </w:r>
            <w:r w:rsidR="00916EC0" w:rsidRPr="003365A5">
              <w:tab/>
            </w:r>
            <w:sdt>
              <w:sdtPr>
                <w:id w:val="444816450"/>
                <w:placeholder>
                  <w:docPart w:val="C8FBF9621EB94FE084F687C8955AF85F"/>
                </w:placeholder>
                <w:text/>
              </w:sdtPr>
              <w:sdtEndPr/>
              <w:sdtContent>
                <w:r w:rsidR="008C79ED">
                  <w:t>2001</w:t>
                </w:r>
              </w:sdtContent>
            </w:sdt>
            <w:r w:rsidR="00916EC0" w:rsidRPr="003365A5">
              <w:tab/>
            </w:r>
            <w:sdt>
              <w:sdtPr>
                <w:alias w:val="ACGIH WES equivalent"/>
                <w:tag w:val="ACGIH WES equivalent"/>
                <w:id w:val="-1676410403"/>
                <w:placeholder>
                  <w:docPart w:val="522022AAE76B4622AC0DF750489702EB"/>
                </w:placeholder>
              </w:sdtPr>
              <w:sdtEndPr/>
              <w:sdtContent>
                <w:r w:rsidR="008C79ED">
                  <w:t>TLV-TWA: 400 ppm (1</w:t>
                </w:r>
                <w:r w:rsidR="00D85E9A">
                  <w:t>,</w:t>
                </w:r>
                <w:r w:rsidR="008C79ED">
                  <w:t>210 mg/m</w:t>
                </w:r>
                <w:r w:rsidR="008C79ED" w:rsidRPr="008C79ED">
                  <w:rPr>
                    <w:vertAlign w:val="superscript"/>
                  </w:rPr>
                  <w:t>3</w:t>
                </w:r>
                <w:r w:rsidR="008C79ED">
                  <w:t>); TLV-STEL: 500 ppm (1</w:t>
                </w:r>
                <w:r w:rsidR="00D85E9A">
                  <w:t>,</w:t>
                </w:r>
                <w:r w:rsidR="008C79ED">
                  <w:t>520 mg/m</w:t>
                </w:r>
                <w:r w:rsidR="008C79ED" w:rsidRPr="008C79ED">
                  <w:rPr>
                    <w:vertAlign w:val="superscript"/>
                  </w:rPr>
                  <w:t>3</w:t>
                </w:r>
                <w:r w:rsidR="008C79ED">
                  <w:t>)</w:t>
                </w:r>
              </w:sdtContent>
            </w:sdt>
          </w:p>
        </w:tc>
      </w:tr>
      <w:tr w:rsidR="00C978F0" w:rsidRPr="00DA352E" w14:paraId="635CC152" w14:textId="77777777" w:rsidTr="00DE26E8">
        <w:trPr>
          <w:gridAfter w:val="1"/>
          <w:wAfter w:w="8" w:type="pct"/>
          <w:cantSplit/>
        </w:trPr>
        <w:tc>
          <w:tcPr>
            <w:tcW w:w="4992" w:type="pct"/>
          </w:tcPr>
          <w:p w14:paraId="1555DD49" w14:textId="32B87D89" w:rsidR="00C978F0" w:rsidRDefault="00174FD8" w:rsidP="003365A5">
            <w:pPr>
              <w:pStyle w:val="Tabletextprimarysource"/>
            </w:pPr>
            <w:r>
              <w:t>TLV-TWA intended to protect for eye, nasal and respiratory tract irritation and narcosis that can lead to general anaesthesia. Chronic exposure causes loss of appetite, headache, cognitive disturbance and exhaustion. Insufficient data to recommend notations for carcinogenicity, skin absorption, or sensitisation.</w:t>
            </w:r>
          </w:p>
          <w:p w14:paraId="372EBABC" w14:textId="4A360556" w:rsidR="00174FD8" w:rsidRDefault="00174FD8" w:rsidP="003365A5">
            <w:pPr>
              <w:pStyle w:val="Tabletextprimarysource"/>
            </w:pPr>
            <w:r>
              <w:t>Summary of data:</w:t>
            </w:r>
          </w:p>
          <w:p w14:paraId="1577A17E" w14:textId="6B50B300" w:rsidR="00174FD8" w:rsidRDefault="00C03F3F" w:rsidP="003365A5">
            <w:pPr>
              <w:pStyle w:val="Tabletextprimarysource"/>
            </w:pPr>
            <w:r>
              <w:t>TLV-TWA and TLV-STEL derived from weight of evidence from volunteer</w:t>
            </w:r>
            <w:r w:rsidR="00E06E7B">
              <w:t xml:space="preserve"> and workplace</w:t>
            </w:r>
            <w:r>
              <w:t xml:space="preserve"> da</w:t>
            </w:r>
            <w:r w:rsidR="00E06E7B">
              <w:t xml:space="preserve">ta that indicate habituation to initial irritation effects may occur following prolonged exposure. </w:t>
            </w:r>
          </w:p>
          <w:p w14:paraId="4CAEEC17" w14:textId="3BA4D3BB" w:rsidR="00174FD8" w:rsidRDefault="00174FD8" w:rsidP="003365A5">
            <w:pPr>
              <w:pStyle w:val="Tabletextprimarysource"/>
            </w:pPr>
            <w:r>
              <w:t>Human data:</w:t>
            </w:r>
          </w:p>
          <w:p w14:paraId="3D5B705F" w14:textId="5B626469" w:rsidR="00174FD8" w:rsidRDefault="00174FD8" w:rsidP="00174FD8">
            <w:pPr>
              <w:pStyle w:val="Tabletextprimarysource"/>
              <w:numPr>
                <w:ilvl w:val="0"/>
                <w:numId w:val="1"/>
              </w:numPr>
            </w:pPr>
            <w:r>
              <w:t>General anaesthesia at 100,000–150,000 ppm, but may be lethal due to respiratory arrest</w:t>
            </w:r>
          </w:p>
          <w:p w14:paraId="68B2F6B8" w14:textId="3DF86F1C" w:rsidR="00174FD8" w:rsidRDefault="00576ED3" w:rsidP="00174FD8">
            <w:pPr>
              <w:pStyle w:val="Tabletextprimarysource"/>
              <w:numPr>
                <w:ilvl w:val="1"/>
                <w:numId w:val="1"/>
              </w:numPr>
            </w:pPr>
            <w:r>
              <w:t>a</w:t>
            </w:r>
            <w:r w:rsidR="00174FD8">
              <w:t>naesthesia maintained at 50,000 ppm, lowest anaesthetic limit: 19,000 ppm</w:t>
            </w:r>
          </w:p>
          <w:p w14:paraId="2FAACF53" w14:textId="12CAB5D9" w:rsidR="00174FD8" w:rsidRDefault="00576ED3" w:rsidP="00174FD8">
            <w:pPr>
              <w:pStyle w:val="Tabletextprimarysource"/>
              <w:numPr>
                <w:ilvl w:val="1"/>
                <w:numId w:val="1"/>
              </w:numPr>
            </w:pPr>
            <w:r>
              <w:t>a</w:t>
            </w:r>
            <w:r w:rsidR="00174FD8">
              <w:t>bnormal liver function reported in patients given ethyl ether as an anaesthetic</w:t>
            </w:r>
          </w:p>
          <w:p w14:paraId="289D324E" w14:textId="48EC94D7" w:rsidR="00174FD8" w:rsidRDefault="00D85E9A" w:rsidP="00174FD8">
            <w:pPr>
              <w:pStyle w:val="Tabletextprimarysource"/>
              <w:numPr>
                <w:ilvl w:val="0"/>
                <w:numId w:val="1"/>
              </w:numPr>
            </w:pPr>
            <w:r>
              <w:t>Tolerance/habituation may be acquired over repeated exposure</w:t>
            </w:r>
          </w:p>
          <w:p w14:paraId="3716CFCD" w14:textId="48836DB4" w:rsidR="00D85E9A" w:rsidRDefault="00D85E9A" w:rsidP="00174FD8">
            <w:pPr>
              <w:pStyle w:val="Tabletextprimarysource"/>
              <w:numPr>
                <w:ilvl w:val="0"/>
                <w:numId w:val="1"/>
              </w:numPr>
            </w:pPr>
            <w:r>
              <w:t>Albuminuria reported in chronically exposed workers</w:t>
            </w:r>
          </w:p>
          <w:p w14:paraId="43A70178" w14:textId="7C70D0FE" w:rsidR="00D85E9A" w:rsidRDefault="00D85E9A" w:rsidP="00D85E9A">
            <w:pPr>
              <w:pStyle w:val="Tabletextprimarysource"/>
              <w:numPr>
                <w:ilvl w:val="0"/>
                <w:numId w:val="1"/>
              </w:numPr>
            </w:pPr>
            <w:r>
              <w:t>Repeat skin exposure may cause drying/cracking of skin due to defatting; irritation to eyes and mucous membranes occurs on contact with liquid or saturated vapours</w:t>
            </w:r>
          </w:p>
          <w:p w14:paraId="0F0E8F9F" w14:textId="3006982A" w:rsidR="00D85E9A" w:rsidRDefault="006747B5" w:rsidP="00D85E9A">
            <w:pPr>
              <w:pStyle w:val="Tabletextprimarysource"/>
              <w:numPr>
                <w:ilvl w:val="0"/>
                <w:numId w:val="1"/>
              </w:numPr>
            </w:pPr>
            <w:r>
              <w:t>C</w:t>
            </w:r>
            <w:r w:rsidR="00D871D4">
              <w:t>omplaints of nasal irritation at 200 ppm in volunteers; 300 ppm considered objectionable for working conditions (no further information provided)</w:t>
            </w:r>
          </w:p>
          <w:p w14:paraId="2782A93F" w14:textId="62BC159C" w:rsidR="00D871D4" w:rsidRDefault="00D871D4" w:rsidP="00D85E9A">
            <w:pPr>
              <w:pStyle w:val="Tabletextprimarysource"/>
              <w:numPr>
                <w:ilvl w:val="0"/>
                <w:numId w:val="1"/>
              </w:numPr>
            </w:pPr>
            <w:r>
              <w:t>Exposure at 400 ppm calculated to deliver effective dose of 1.25 g in an individual of average weight and result in a blood concentration that is not associated with signs of intoxication (no further details provided)</w:t>
            </w:r>
          </w:p>
          <w:p w14:paraId="6495FA88" w14:textId="36649871" w:rsidR="00D871D4" w:rsidRDefault="00576ED3" w:rsidP="00C03F3F">
            <w:pPr>
              <w:pStyle w:val="Tabletextprimarysource"/>
              <w:numPr>
                <w:ilvl w:val="1"/>
                <w:numId w:val="1"/>
              </w:numPr>
            </w:pPr>
            <w:r>
              <w:t>e</w:t>
            </w:r>
            <w:r w:rsidR="00C03F3F">
              <w:t>xposure to 2,000 ppm would deliver 6.25 g and cause dizziness in some individuals (no further information provided)</w:t>
            </w:r>
          </w:p>
          <w:p w14:paraId="4CE188D1" w14:textId="140C8EFA" w:rsidR="00C03F3F" w:rsidRDefault="00C03F3F" w:rsidP="00C03F3F">
            <w:pPr>
              <w:pStyle w:val="Tabletextprimarysource"/>
              <w:pageBreakBefore/>
              <w:numPr>
                <w:ilvl w:val="0"/>
                <w:numId w:val="1"/>
              </w:numPr>
            </w:pPr>
            <w:r>
              <w:t>Cited study reports that concentrations &gt;500 ppm would lead to unsatisfactory exposure</w:t>
            </w:r>
          </w:p>
          <w:p w14:paraId="40D5C278" w14:textId="44719A1A" w:rsidR="00C03F3F" w:rsidRDefault="00DD2235" w:rsidP="007D19F6">
            <w:pPr>
              <w:pStyle w:val="Tabletextprimarysource"/>
              <w:pageBreakBefore/>
              <w:numPr>
                <w:ilvl w:val="0"/>
                <w:numId w:val="1"/>
              </w:numPr>
            </w:pPr>
            <w:r>
              <w:t>C</w:t>
            </w:r>
            <w:r w:rsidR="00C03F3F">
              <w:t xml:space="preserve">oncentrations of 500–1,000 ppm </w:t>
            </w:r>
            <w:r>
              <w:t xml:space="preserve">cause </w:t>
            </w:r>
            <w:r w:rsidR="00576ED3">
              <w:t>no</w:t>
            </w:r>
            <w:r w:rsidR="00C03F3F">
              <w:t xml:space="preserve"> observable injury to health, but 500</w:t>
            </w:r>
            <w:r>
              <w:t> </w:t>
            </w:r>
            <w:r w:rsidR="00C03F3F">
              <w:t>ppm is justifiable to avoid irritation and complaint</w:t>
            </w:r>
          </w:p>
          <w:p w14:paraId="26346806" w14:textId="4B6F02EF" w:rsidR="00C03F3F" w:rsidRDefault="00C03F3F" w:rsidP="00C03F3F">
            <w:pPr>
              <w:pStyle w:val="Tabletextprimarysource"/>
              <w:pageBreakBefore/>
              <w:numPr>
                <w:ilvl w:val="0"/>
                <w:numId w:val="1"/>
              </w:numPr>
            </w:pPr>
            <w:r>
              <w:t xml:space="preserve">No carcinogenicity or </w:t>
            </w:r>
            <w:proofErr w:type="spellStart"/>
            <w:r>
              <w:t>genotoxicity</w:t>
            </w:r>
            <w:proofErr w:type="spellEnd"/>
            <w:r>
              <w:t xml:space="preserve"> data presented</w:t>
            </w:r>
            <w:r w:rsidR="00576ED3">
              <w:t>.</w:t>
            </w:r>
          </w:p>
          <w:p w14:paraId="65BDB53D" w14:textId="77777777" w:rsidR="00174FD8" w:rsidRDefault="00174FD8" w:rsidP="003365A5">
            <w:pPr>
              <w:pStyle w:val="Tabletextprimarysource"/>
            </w:pPr>
            <w:r>
              <w:t>Animal data:</w:t>
            </w:r>
          </w:p>
          <w:p w14:paraId="721E132C" w14:textId="77777777" w:rsidR="00174FD8" w:rsidRDefault="00D871D4" w:rsidP="00D871D4">
            <w:pPr>
              <w:pStyle w:val="Tabletextprimarysource"/>
              <w:numPr>
                <w:ilvl w:val="0"/>
                <w:numId w:val="1"/>
              </w:numPr>
            </w:pPr>
            <w:r>
              <w:t>None presented</w:t>
            </w:r>
            <w:r w:rsidR="00C03F3F">
              <w:t>.</w:t>
            </w:r>
          </w:p>
          <w:p w14:paraId="6F852EAE" w14:textId="147F48F1" w:rsidR="00E24F4B" w:rsidRPr="00DA352E" w:rsidRDefault="00E24F4B" w:rsidP="007A5C69">
            <w:pPr>
              <w:pStyle w:val="Tabletextprimarysource"/>
              <w:ind w:left="720"/>
            </w:pPr>
          </w:p>
        </w:tc>
      </w:tr>
      <w:tr w:rsidR="00C978F0" w:rsidRPr="00DA352E" w14:paraId="2CC626C8" w14:textId="77777777" w:rsidTr="00DE26E8">
        <w:trPr>
          <w:gridAfter w:val="1"/>
          <w:wAfter w:w="8" w:type="pct"/>
          <w:cantSplit/>
        </w:trPr>
        <w:tc>
          <w:tcPr>
            <w:tcW w:w="4992" w:type="pct"/>
            <w:shd w:val="clear" w:color="auto" w:fill="F2F2F2" w:themeFill="background1" w:themeFillShade="F2"/>
          </w:tcPr>
          <w:p w14:paraId="78714738" w14:textId="4DDCCCB7" w:rsidR="00C978F0" w:rsidRPr="00DA352E" w:rsidRDefault="00DA352E" w:rsidP="0051509C">
            <w:pPr>
              <w:pStyle w:val="Tablerowheadingitalic"/>
              <w:tabs>
                <w:tab w:val="clear" w:pos="2268"/>
                <w:tab w:val="clear" w:pos="5670"/>
                <w:tab w:val="left" w:pos="1418"/>
                <w:tab w:val="left" w:pos="2552"/>
              </w:tabs>
            </w:pPr>
            <w:r w:rsidRPr="00DA352E">
              <w:lastRenderedPageBreak/>
              <w:t>DFG</w:t>
            </w:r>
            <w:r w:rsidR="00916EC0" w:rsidRPr="003365A5">
              <w:t xml:space="preserve"> </w:t>
            </w:r>
            <w:r w:rsidR="00916EC0" w:rsidRPr="003365A5">
              <w:tab/>
            </w:r>
            <w:sdt>
              <w:sdtPr>
                <w:id w:val="272751712"/>
                <w:placeholder>
                  <w:docPart w:val="6918C77959FE4E2CB3B6BD78ABC69E19"/>
                </w:placeholder>
                <w:text/>
              </w:sdtPr>
              <w:sdtEndPr/>
              <w:sdtContent>
                <w:r w:rsidR="008C79ED">
                  <w:t>1964</w:t>
                </w:r>
              </w:sdtContent>
            </w:sdt>
            <w:r w:rsidR="00916EC0" w:rsidRPr="003365A5">
              <w:tab/>
            </w:r>
            <w:r w:rsidR="0051509C">
              <w:tab/>
            </w:r>
            <w:sdt>
              <w:sdtPr>
                <w:alias w:val="DFG WES equivalent"/>
                <w:tag w:val="DFG WES equivalent"/>
                <w:id w:val="-736175395"/>
                <w:placeholder>
                  <w:docPart w:val="1ED9AEC91FDC4528B51A567B2B19EB9F"/>
                </w:placeholder>
              </w:sdtPr>
              <w:sdtEndPr/>
              <w:sdtContent>
                <w:r w:rsidR="008C79ED">
                  <w:t>MAK: 400 ppm (1</w:t>
                </w:r>
                <w:r w:rsidR="00D85E9A">
                  <w:t>,</w:t>
                </w:r>
                <w:r w:rsidR="008C79ED">
                  <w:t>200 mg/m</w:t>
                </w:r>
                <w:r w:rsidR="008C79ED" w:rsidRPr="008C79ED">
                  <w:rPr>
                    <w:vertAlign w:val="superscript"/>
                  </w:rPr>
                  <w:t>3</w:t>
                </w:r>
                <w:r w:rsidR="008C79ED">
                  <w:t>)</w:t>
                </w:r>
              </w:sdtContent>
            </w:sdt>
          </w:p>
        </w:tc>
      </w:tr>
      <w:tr w:rsidR="00C978F0" w:rsidRPr="00DA352E" w14:paraId="1DD59855" w14:textId="77777777" w:rsidTr="00DE26E8">
        <w:trPr>
          <w:gridAfter w:val="1"/>
          <w:wAfter w:w="8" w:type="pct"/>
          <w:cantSplit/>
        </w:trPr>
        <w:tc>
          <w:tcPr>
            <w:tcW w:w="4992" w:type="pct"/>
          </w:tcPr>
          <w:p w14:paraId="7D9F5DC8" w14:textId="4E7A6380" w:rsidR="00D45E07" w:rsidRDefault="00D45E07" w:rsidP="003365A5">
            <w:pPr>
              <w:pStyle w:val="Tabletextprimarysource"/>
            </w:pPr>
            <w:r>
              <w:t>Summary of additional data:</w:t>
            </w:r>
          </w:p>
          <w:p w14:paraId="0CDE5A33" w14:textId="41262444" w:rsidR="00C978F0" w:rsidRDefault="00D45E07" w:rsidP="003365A5">
            <w:pPr>
              <w:pStyle w:val="Tabletextprimarysource"/>
            </w:pPr>
            <w:r>
              <w:t xml:space="preserve">MAK </w:t>
            </w:r>
            <w:r w:rsidR="00024E22">
              <w:t xml:space="preserve">established in 1964 </w:t>
            </w:r>
            <w:r>
              <w:t>retained based on animal inhalation studies that do not suggest systemic toxicity below 1,000 ppm. Human exposure studies reporting irritation effects, also cited in ACGIH (2018), considered inadequately documented for derivation of a MAK.</w:t>
            </w:r>
          </w:p>
          <w:p w14:paraId="30619D5C" w14:textId="31F8909C" w:rsidR="00D45E07" w:rsidRDefault="00D45E07" w:rsidP="003365A5">
            <w:pPr>
              <w:pStyle w:val="Tabletextprimarysource"/>
            </w:pPr>
            <w:r>
              <w:t>Human data:</w:t>
            </w:r>
          </w:p>
          <w:p w14:paraId="27D08FAF" w14:textId="1DBC0008" w:rsidR="00D45E07" w:rsidRDefault="00D45E07" w:rsidP="00D45E07">
            <w:pPr>
              <w:pStyle w:val="Tabletextprimarysource"/>
              <w:numPr>
                <w:ilvl w:val="0"/>
                <w:numId w:val="1"/>
              </w:numPr>
            </w:pPr>
            <w:r>
              <w:t>Mucosal irritation observed when used as an anaesthetic at 19,000–200,000 ppm</w:t>
            </w:r>
          </w:p>
          <w:p w14:paraId="5059F9DD" w14:textId="3E27231D" w:rsidR="00E4153B" w:rsidRDefault="00576ED3" w:rsidP="00E4153B">
            <w:pPr>
              <w:pStyle w:val="Tabletextprimarysource"/>
              <w:numPr>
                <w:ilvl w:val="1"/>
                <w:numId w:val="1"/>
              </w:numPr>
            </w:pPr>
            <w:r>
              <w:t>a</w:t>
            </w:r>
            <w:r w:rsidR="00E4153B">
              <w:t>naesthesia can take up to 15 min at 100,000–200,000 ppm</w:t>
            </w:r>
          </w:p>
          <w:p w14:paraId="0427812B" w14:textId="52AFE33D" w:rsidR="00E4153B" w:rsidRDefault="00E4153B" w:rsidP="00D45E07">
            <w:pPr>
              <w:pStyle w:val="Tabletextprimarysource"/>
              <w:numPr>
                <w:ilvl w:val="0"/>
                <w:numId w:val="1"/>
              </w:numPr>
            </w:pPr>
            <w:r>
              <w:t>Acute lethal oral dose: 20,000–50,000 mg</w:t>
            </w:r>
          </w:p>
          <w:p w14:paraId="291FF805" w14:textId="77930E23" w:rsidR="00476F39" w:rsidRDefault="00476F39" w:rsidP="00476F39">
            <w:pPr>
              <w:pStyle w:val="Tabletextprimarysource"/>
              <w:numPr>
                <w:ilvl w:val="0"/>
                <w:numId w:val="1"/>
              </w:numPr>
            </w:pPr>
            <w:r>
              <w:t>Mucosal irritation at 200 ppm in volunteer study (n=10, 3–5 min); 300 ppm intolerable for workplace, 100 ppm considered acceptable</w:t>
            </w:r>
          </w:p>
          <w:p w14:paraId="5F924D6C" w14:textId="693EF38A" w:rsidR="00476F39" w:rsidRDefault="00576ED3" w:rsidP="00476F39">
            <w:pPr>
              <w:pStyle w:val="Tabletextprimarysource"/>
              <w:numPr>
                <w:ilvl w:val="1"/>
                <w:numId w:val="1"/>
              </w:numPr>
            </w:pPr>
            <w:r>
              <w:t>n</w:t>
            </w:r>
            <w:r w:rsidR="00476F39">
              <w:t>ot considered for agency’s assessment due to insufficient documentation and exposure duration</w:t>
            </w:r>
          </w:p>
          <w:p w14:paraId="67464743" w14:textId="3CBBB83D" w:rsidR="00476F39" w:rsidRDefault="00476F39" w:rsidP="00476F39">
            <w:pPr>
              <w:pStyle w:val="Tabletextprimarysource"/>
              <w:numPr>
                <w:ilvl w:val="0"/>
                <w:numId w:val="1"/>
              </w:numPr>
            </w:pPr>
            <w:r>
              <w:t>No evidence for sensitising potential based on weight of evidence of workplace reports</w:t>
            </w:r>
            <w:r w:rsidR="002D360A">
              <w:t xml:space="preserve"> of dermal exposures</w:t>
            </w:r>
          </w:p>
          <w:p w14:paraId="12022C87" w14:textId="6F7ACC58" w:rsidR="00476F39" w:rsidRDefault="00C71B1F" w:rsidP="0095102F">
            <w:pPr>
              <w:pStyle w:val="Tabletextprimarysource"/>
              <w:numPr>
                <w:ilvl w:val="0"/>
                <w:numId w:val="1"/>
              </w:numPr>
            </w:pPr>
            <w:r>
              <w:t>Inadequately conducted epidemiological studies report s</w:t>
            </w:r>
            <w:r w:rsidR="00476F39">
              <w:t>light increase in abortions in women exposed to anaesthetic concentratio</w:t>
            </w:r>
            <w:r>
              <w:t>ns in hospitals during pregnancy</w:t>
            </w:r>
            <w:r w:rsidR="00576ED3">
              <w:t>.</w:t>
            </w:r>
          </w:p>
          <w:p w14:paraId="15F80853" w14:textId="77777777" w:rsidR="00D45E07" w:rsidRDefault="00D45E07" w:rsidP="003365A5">
            <w:pPr>
              <w:pStyle w:val="Tabletextprimarysource"/>
            </w:pPr>
            <w:r>
              <w:t>Animal data:</w:t>
            </w:r>
          </w:p>
          <w:p w14:paraId="59857006" w14:textId="2A74B5AC" w:rsidR="00D45E07" w:rsidRDefault="00D45E07" w:rsidP="00D45E07">
            <w:pPr>
              <w:pStyle w:val="Tabletextprimarysource"/>
              <w:numPr>
                <w:ilvl w:val="0"/>
                <w:numId w:val="1"/>
              </w:numPr>
            </w:pPr>
            <w:r>
              <w:t>LD</w:t>
            </w:r>
            <w:r>
              <w:rPr>
                <w:vertAlign w:val="subscript"/>
              </w:rPr>
              <w:t>50</w:t>
            </w:r>
            <w:r w:rsidR="00533A38">
              <w:t>:</w:t>
            </w:r>
            <w:r>
              <w:t xml:space="preserve"> &gt;14,200 mg/kg (rabbits</w:t>
            </w:r>
            <w:r w:rsidR="00533A38">
              <w:t>, dermal</w:t>
            </w:r>
            <w:r>
              <w:t>)</w:t>
            </w:r>
          </w:p>
          <w:p w14:paraId="32601129" w14:textId="090A9504" w:rsidR="00D45E07" w:rsidRDefault="00C71B1F" w:rsidP="00D45E07">
            <w:pPr>
              <w:pStyle w:val="Tabletextprimarysource"/>
              <w:numPr>
                <w:ilvl w:val="0"/>
                <w:numId w:val="1"/>
              </w:numPr>
            </w:pPr>
            <w:r>
              <w:t>LC</w:t>
            </w:r>
            <w:r>
              <w:rPr>
                <w:vertAlign w:val="subscript"/>
              </w:rPr>
              <w:t>50</w:t>
            </w:r>
            <w:r>
              <w:t>: 31,300–65,000 ppm (rats, 1.5 h); 73,000 ppm (rats, 2.5 h)</w:t>
            </w:r>
          </w:p>
          <w:p w14:paraId="3ADFA220" w14:textId="2D5FEE83" w:rsidR="00C71B1F" w:rsidRDefault="00C71B1F" w:rsidP="00D45E07">
            <w:pPr>
              <w:pStyle w:val="Tabletextprimarysource"/>
              <w:numPr>
                <w:ilvl w:val="0"/>
                <w:numId w:val="1"/>
              </w:numPr>
            </w:pPr>
            <w:r>
              <w:t>LD</w:t>
            </w:r>
            <w:r>
              <w:rPr>
                <w:vertAlign w:val="subscript"/>
              </w:rPr>
              <w:t>50</w:t>
            </w:r>
            <w:r>
              <w:t>: 1,215–2,540 mg/kg (rats</w:t>
            </w:r>
            <w:r w:rsidR="00533A38">
              <w:t>, oral</w:t>
            </w:r>
            <w:r>
              <w:t>)</w:t>
            </w:r>
          </w:p>
          <w:p w14:paraId="2FD0F66A" w14:textId="257EBA89" w:rsidR="0095102F" w:rsidRDefault="0095102F" w:rsidP="00D45E07">
            <w:pPr>
              <w:pStyle w:val="Tabletextprimarysource"/>
              <w:numPr>
                <w:ilvl w:val="0"/>
                <w:numId w:val="1"/>
              </w:numPr>
            </w:pPr>
            <w:r>
              <w:t>No adverse changes to b</w:t>
            </w:r>
            <w:r w:rsidR="005D2A26">
              <w:t xml:space="preserve">ody </w:t>
            </w:r>
            <w:r>
              <w:t>w</w:t>
            </w:r>
            <w:r w:rsidR="005D2A26">
              <w:t>eight</w:t>
            </w:r>
            <w:r>
              <w:t>, haematological parameters, or histopathology at 2,000 ppm in repeat inhalation study (rats, rabbits, guinea pigs, 7 h/d, 5 d/</w:t>
            </w:r>
            <w:proofErr w:type="spellStart"/>
            <w:r>
              <w:t>wk</w:t>
            </w:r>
            <w:proofErr w:type="spellEnd"/>
            <w:r>
              <w:t xml:space="preserve">, 35 d); </w:t>
            </w:r>
          </w:p>
          <w:p w14:paraId="5041CE8E" w14:textId="0E166A0C" w:rsidR="0095102F" w:rsidRDefault="00576ED3" w:rsidP="0095102F">
            <w:pPr>
              <w:pStyle w:val="Tabletextprimarysource"/>
              <w:numPr>
                <w:ilvl w:val="1"/>
                <w:numId w:val="1"/>
              </w:numPr>
            </w:pPr>
            <w:r>
              <w:t>r</w:t>
            </w:r>
            <w:r w:rsidR="0095102F">
              <w:t>elative liver weights were increased in rabbits, but decreased in rats, cited study notes these changes may not have been treatment-related</w:t>
            </w:r>
          </w:p>
          <w:p w14:paraId="1B940578" w14:textId="11396600" w:rsidR="008D46BC" w:rsidRDefault="00576ED3" w:rsidP="0095102F">
            <w:pPr>
              <w:pStyle w:val="Tabletextprimarysource"/>
              <w:numPr>
                <w:ilvl w:val="1"/>
                <w:numId w:val="1"/>
              </w:numPr>
            </w:pPr>
            <w:r>
              <w:t>n</w:t>
            </w:r>
            <w:r w:rsidR="00746149">
              <w:t>o signs of irritation in any treated animals</w:t>
            </w:r>
          </w:p>
          <w:p w14:paraId="436E441D" w14:textId="158C1A80" w:rsidR="0095102F" w:rsidRDefault="0095102F" w:rsidP="0095102F">
            <w:pPr>
              <w:pStyle w:val="Tabletextprimarysource"/>
              <w:numPr>
                <w:ilvl w:val="0"/>
                <w:numId w:val="1"/>
              </w:numPr>
            </w:pPr>
            <w:r>
              <w:t>Separate repeat inhalation study at 1,000 ppm and 10,000 ppm (rats, mice, guinea pigs, 22</w:t>
            </w:r>
            <w:r w:rsidR="00642B5A">
              <w:t> </w:t>
            </w:r>
            <w:r>
              <w:t>h/d, 35 d);</w:t>
            </w:r>
          </w:p>
          <w:p w14:paraId="34384707" w14:textId="16FD801D" w:rsidR="0095102F" w:rsidRDefault="00576ED3" w:rsidP="0095102F">
            <w:pPr>
              <w:pStyle w:val="Tabletextprimarysource"/>
              <w:numPr>
                <w:ilvl w:val="1"/>
                <w:numId w:val="1"/>
              </w:numPr>
            </w:pPr>
            <w:r>
              <w:t>n</w:t>
            </w:r>
            <w:r w:rsidR="0095102F">
              <w:t>o adverse effects in rats at both concentrations</w:t>
            </w:r>
          </w:p>
          <w:p w14:paraId="6FEF503A" w14:textId="49180DA3" w:rsidR="0095102F" w:rsidRDefault="00576ED3" w:rsidP="0095102F">
            <w:pPr>
              <w:pStyle w:val="Tabletextprimarysource"/>
              <w:numPr>
                <w:ilvl w:val="1"/>
                <w:numId w:val="1"/>
              </w:numPr>
            </w:pPr>
            <w:r>
              <w:t>s</w:t>
            </w:r>
            <w:r w:rsidR="0095102F">
              <w:t xml:space="preserve">light delay in </w:t>
            </w:r>
            <w:r w:rsidR="005D2A26">
              <w:t>weight</w:t>
            </w:r>
            <w:r w:rsidR="005D2A26" w:rsidDel="005D2A26">
              <w:t xml:space="preserve"> </w:t>
            </w:r>
            <w:r w:rsidR="0095102F">
              <w:t xml:space="preserve">gain in guinea pigs at 1,000 ppm; </w:t>
            </w:r>
            <w:r w:rsidR="00EB38FA">
              <w:t xml:space="preserve">body weight </w:t>
            </w:r>
            <w:r w:rsidR="008D46BC">
              <w:t>loss</w:t>
            </w:r>
            <w:r w:rsidR="0095102F">
              <w:t xml:space="preserve"> and mortality in 10,000</w:t>
            </w:r>
            <w:r w:rsidR="00642B5A">
              <w:t> </w:t>
            </w:r>
            <w:r w:rsidR="0095102F">
              <w:t>ppm group, autopsy found enlarged livers</w:t>
            </w:r>
            <w:r w:rsidR="00B31829">
              <w:t xml:space="preserve"> without lesions</w:t>
            </w:r>
          </w:p>
          <w:p w14:paraId="7C861F9F" w14:textId="0B1415A3" w:rsidR="008D46BC" w:rsidRDefault="00576ED3" w:rsidP="0095102F">
            <w:pPr>
              <w:pStyle w:val="Tabletextprimarysource"/>
              <w:numPr>
                <w:ilvl w:val="1"/>
                <w:numId w:val="1"/>
              </w:numPr>
            </w:pPr>
            <w:r>
              <w:t>i</w:t>
            </w:r>
            <w:r w:rsidR="008D46BC">
              <w:t xml:space="preserve">ncreased </w:t>
            </w:r>
            <w:r w:rsidR="005D2A26">
              <w:t>body weight</w:t>
            </w:r>
            <w:r w:rsidR="005D2A26" w:rsidDel="005D2A26">
              <w:t xml:space="preserve"> </w:t>
            </w:r>
            <w:r w:rsidR="008D46BC">
              <w:t>gain in mice and increased liver weight in male mice at 1,000 ppm; mortality at 10,000 ppm and increased liver weights in both sexes</w:t>
            </w:r>
          </w:p>
          <w:p w14:paraId="1C8EC19E" w14:textId="73CB5B78" w:rsidR="004E5B7E" w:rsidRDefault="004E5B7E" w:rsidP="0095102F">
            <w:pPr>
              <w:pStyle w:val="Tabletextprimarysource"/>
              <w:numPr>
                <w:ilvl w:val="1"/>
                <w:numId w:val="1"/>
              </w:numPr>
            </w:pPr>
            <w:r>
              <w:t>occasional changes in organ weights not considered substance-related effects</w:t>
            </w:r>
          </w:p>
          <w:p w14:paraId="087820D6" w14:textId="5A82D5D0" w:rsidR="008D46BC" w:rsidRDefault="008D46BC" w:rsidP="008D46BC">
            <w:pPr>
              <w:pStyle w:val="Tabletextprimarysource"/>
              <w:numPr>
                <w:ilvl w:val="0"/>
                <w:numId w:val="1"/>
              </w:numPr>
            </w:pPr>
            <w:r>
              <w:t>Repeat gavage study with exposure groups 500, 2,000 and 3,500 mg/kg/d (rats, 90 d);</w:t>
            </w:r>
          </w:p>
          <w:p w14:paraId="14457CBE" w14:textId="77777777" w:rsidR="008D46BC" w:rsidRDefault="008D46BC" w:rsidP="008D46BC">
            <w:pPr>
              <w:pStyle w:val="Tabletextprimarysource"/>
              <w:numPr>
                <w:ilvl w:val="1"/>
                <w:numId w:val="1"/>
              </w:numPr>
            </w:pPr>
            <w:r>
              <w:t>NOAEL: 500 mg/kg/d</w:t>
            </w:r>
          </w:p>
          <w:p w14:paraId="4E277D68" w14:textId="0EC60651" w:rsidR="008D46BC" w:rsidRDefault="00576ED3" w:rsidP="008D46BC">
            <w:pPr>
              <w:pStyle w:val="Tabletextprimarysource"/>
              <w:numPr>
                <w:ilvl w:val="1"/>
                <w:numId w:val="1"/>
              </w:numPr>
            </w:pPr>
            <w:r>
              <w:t>m</w:t>
            </w:r>
            <w:r w:rsidR="008D46BC">
              <w:t xml:space="preserve">ortality of both sexes, delay in </w:t>
            </w:r>
            <w:r w:rsidR="005D2A26">
              <w:t>body weight</w:t>
            </w:r>
            <w:r w:rsidR="005D2A26" w:rsidDel="005D2A26">
              <w:t xml:space="preserve"> </w:t>
            </w:r>
            <w:r w:rsidR="008D46BC">
              <w:t>gain in males and increased liver weight in females of 2,000 mg/kg/d group</w:t>
            </w:r>
          </w:p>
          <w:p w14:paraId="7F2FDDAF" w14:textId="538C8938" w:rsidR="008D46BC" w:rsidRDefault="008D46BC" w:rsidP="008D46BC">
            <w:pPr>
              <w:pStyle w:val="Tabletextprimarysource"/>
              <w:numPr>
                <w:ilvl w:val="0"/>
                <w:numId w:val="1"/>
              </w:numPr>
            </w:pPr>
            <w:r>
              <w:t>No irritation to skin as non-occlusive patch; mild irritation when applied as liquid to eyes (rabbits)</w:t>
            </w:r>
          </w:p>
          <w:p w14:paraId="5179050E" w14:textId="164E45E5" w:rsidR="0047283B" w:rsidRDefault="0047283B" w:rsidP="008D46BC">
            <w:pPr>
              <w:pStyle w:val="Tabletextprimarysource"/>
              <w:numPr>
                <w:ilvl w:val="0"/>
                <w:numId w:val="1"/>
              </w:numPr>
            </w:pPr>
            <w:r>
              <w:t>Evidence for non-specific teratogenicity at anaesthetic concentrations (5–10% v/v) not considered relevant to workplace exposures; toxic reproductive effects are not expected from metabolites</w:t>
            </w:r>
          </w:p>
          <w:p w14:paraId="3FDACA05" w14:textId="77777777" w:rsidR="008D46BC" w:rsidRDefault="0047283B" w:rsidP="008D46BC">
            <w:pPr>
              <w:pStyle w:val="Tabletextprimarysource"/>
              <w:numPr>
                <w:ilvl w:val="0"/>
                <w:numId w:val="1"/>
              </w:numPr>
            </w:pPr>
            <w:r>
              <w:t xml:space="preserve">Non-mutagenic </w:t>
            </w:r>
            <w:r>
              <w:rPr>
                <w:i/>
              </w:rPr>
              <w:t>in vitro</w:t>
            </w:r>
            <w:r>
              <w:t>.</w:t>
            </w:r>
          </w:p>
          <w:p w14:paraId="48CA8ED0" w14:textId="2F9D47DE" w:rsidR="00E24F4B" w:rsidRPr="00DA352E" w:rsidRDefault="00E24F4B" w:rsidP="007A5C69">
            <w:pPr>
              <w:pStyle w:val="Tabletextprimarysource"/>
              <w:ind w:left="720"/>
            </w:pPr>
          </w:p>
        </w:tc>
      </w:tr>
      <w:tr w:rsidR="00C978F0" w:rsidRPr="00DA352E" w14:paraId="41D8A63A" w14:textId="77777777" w:rsidTr="00DE26E8">
        <w:trPr>
          <w:gridAfter w:val="1"/>
          <w:wAfter w:w="8" w:type="pct"/>
          <w:cantSplit/>
        </w:trPr>
        <w:tc>
          <w:tcPr>
            <w:tcW w:w="4992" w:type="pct"/>
            <w:shd w:val="clear" w:color="auto" w:fill="F2F2F2" w:themeFill="background1" w:themeFillShade="F2"/>
          </w:tcPr>
          <w:p w14:paraId="2641B565" w14:textId="24548749" w:rsidR="00C978F0" w:rsidRPr="00DA352E" w:rsidRDefault="00DA352E" w:rsidP="009A6941">
            <w:pPr>
              <w:pStyle w:val="Tablerowheadingitalic"/>
              <w:tabs>
                <w:tab w:val="clear" w:pos="2268"/>
                <w:tab w:val="clear" w:pos="5670"/>
                <w:tab w:val="left" w:pos="1418"/>
              </w:tabs>
            </w:pPr>
            <w:r w:rsidRPr="00DA352E">
              <w:lastRenderedPageBreak/>
              <w:t>SCOEL</w:t>
            </w:r>
            <w:r w:rsidR="00916EC0" w:rsidRPr="003365A5">
              <w:t xml:space="preserve"> </w:t>
            </w:r>
            <w:r w:rsidR="00916EC0" w:rsidRPr="003365A5">
              <w:tab/>
            </w:r>
            <w:sdt>
              <w:sdtPr>
                <w:id w:val="-768699850"/>
                <w:placeholder>
                  <w:docPart w:val="FDC2A24E7D2549238DA6EE03BD0A6AE0"/>
                </w:placeholder>
                <w:text/>
              </w:sdtPr>
              <w:sdtEndPr/>
              <w:sdtContent>
                <w:r w:rsidR="002F6060">
                  <w:t>1991</w:t>
                </w:r>
              </w:sdtContent>
            </w:sdt>
            <w:r w:rsidR="00D009AB">
              <w:t xml:space="preserve"> </w:t>
            </w:r>
            <w:sdt>
              <w:sdtPr>
                <w:alias w:val="SCOEL WES equivalent"/>
                <w:tag w:val="SCOEL WES equivalent"/>
                <w:id w:val="-1474213062"/>
                <w:placeholder>
                  <w:docPart w:val="9E827C9D0DA949E385F2E9AB4264125E"/>
                </w:placeholder>
              </w:sdtPr>
              <w:sdtEndPr/>
              <w:sdtContent>
                <w:r w:rsidR="002F6060" w:rsidRPr="002F6060">
                  <w:t>TWA</w:t>
                </w:r>
                <w:r w:rsidR="002F6060">
                  <w:t>: 100 ppm (308 mg/m</w:t>
                </w:r>
                <w:r w:rsidR="002F6060" w:rsidRPr="002F6060">
                  <w:rPr>
                    <w:vertAlign w:val="superscript"/>
                  </w:rPr>
                  <w:t>3</w:t>
                </w:r>
                <w:r w:rsidR="002F6060">
                  <w:t xml:space="preserve">); </w:t>
                </w:r>
                <w:r w:rsidR="009A6941">
                  <w:t>STEL</w:t>
                </w:r>
                <w:r w:rsidR="002F6060">
                  <w:t>: 200 ppm (616 mg/m</w:t>
                </w:r>
                <w:r w:rsidR="002F6060" w:rsidRPr="002F6060">
                  <w:rPr>
                    <w:vertAlign w:val="superscript"/>
                  </w:rPr>
                  <w:t>3</w:t>
                </w:r>
                <w:r w:rsidR="002F6060">
                  <w:t>)</w:t>
                </w:r>
              </w:sdtContent>
            </w:sdt>
          </w:p>
        </w:tc>
      </w:tr>
      <w:tr w:rsidR="00C978F0" w:rsidRPr="00DA352E" w14:paraId="25DC20A9" w14:textId="77777777" w:rsidTr="00DE26E8">
        <w:trPr>
          <w:gridAfter w:val="1"/>
          <w:wAfter w:w="8" w:type="pct"/>
          <w:cantSplit/>
        </w:trPr>
        <w:tc>
          <w:tcPr>
            <w:tcW w:w="4992" w:type="pct"/>
          </w:tcPr>
          <w:p w14:paraId="0CC90DC9" w14:textId="77777777" w:rsidR="00C978F0" w:rsidRDefault="00C71B1F" w:rsidP="003365A5">
            <w:pPr>
              <w:pStyle w:val="Tabletextprimarysource"/>
            </w:pPr>
            <w:r>
              <w:t>Summary of additional data:</w:t>
            </w:r>
          </w:p>
          <w:p w14:paraId="7CAA1BAD" w14:textId="3F9C2615" w:rsidR="00241725" w:rsidRDefault="00C71B1F" w:rsidP="00746149">
            <w:pPr>
              <w:pStyle w:val="Tabletextprimarysource"/>
              <w:numPr>
                <w:ilvl w:val="0"/>
                <w:numId w:val="1"/>
              </w:numPr>
            </w:pPr>
            <w:r>
              <w:t xml:space="preserve">TWA </w:t>
            </w:r>
            <w:r w:rsidR="00577984">
              <w:t xml:space="preserve">and STEL </w:t>
            </w:r>
            <w:r>
              <w:t xml:space="preserve">based on NOAEL of 100 ppm </w:t>
            </w:r>
            <w:r w:rsidR="00577984">
              <w:t xml:space="preserve">and LOAEL of 200 ppm for irritation effects </w:t>
            </w:r>
            <w:r>
              <w:t xml:space="preserve">in volunteer study (n=10, 3–5 min, cited by ACGIH, 2018 and DFG, 1999). </w:t>
            </w:r>
          </w:p>
          <w:p w14:paraId="12CBD986" w14:textId="3DAEF998" w:rsidR="00C71B1F" w:rsidRDefault="00577984" w:rsidP="00746149">
            <w:pPr>
              <w:pStyle w:val="Tabletextprimarysource"/>
              <w:numPr>
                <w:ilvl w:val="0"/>
                <w:numId w:val="1"/>
              </w:numPr>
            </w:pPr>
            <w:r>
              <w:t xml:space="preserve">TWA expected to be protective of systemic effects noted in 90-d gavage study above NOAEL of 500 mg/kg/d </w:t>
            </w:r>
            <w:r>
              <w:rPr>
                <w:rFonts w:cs="Arial"/>
              </w:rPr>
              <w:t>≡</w:t>
            </w:r>
            <w:r>
              <w:t>1,000</w:t>
            </w:r>
            <w:r w:rsidR="0021108A">
              <w:t xml:space="preserve"> </w:t>
            </w:r>
            <w:r>
              <w:t xml:space="preserve">ppm </w:t>
            </w:r>
          </w:p>
          <w:p w14:paraId="38A035EC" w14:textId="77777777" w:rsidR="00577984" w:rsidRDefault="00577984" w:rsidP="00746149">
            <w:pPr>
              <w:pStyle w:val="Tabletextprimarysource"/>
              <w:numPr>
                <w:ilvl w:val="0"/>
                <w:numId w:val="1"/>
              </w:numPr>
            </w:pPr>
            <w:r>
              <w:t xml:space="preserve">No evidence for </w:t>
            </w:r>
            <w:proofErr w:type="spellStart"/>
            <w:r>
              <w:t>genotoxicity</w:t>
            </w:r>
            <w:proofErr w:type="spellEnd"/>
            <w:r>
              <w:t xml:space="preserve"> </w:t>
            </w:r>
            <w:r>
              <w:rPr>
                <w:i/>
              </w:rPr>
              <w:t>in vitro</w:t>
            </w:r>
            <w:r>
              <w:t xml:space="preserve"> or </w:t>
            </w:r>
            <w:r>
              <w:rPr>
                <w:i/>
              </w:rPr>
              <w:t>in vivo</w:t>
            </w:r>
            <w:r>
              <w:t>.</w:t>
            </w:r>
          </w:p>
          <w:p w14:paraId="2F6DE44D" w14:textId="5865133F" w:rsidR="00E24F4B" w:rsidRPr="00577984" w:rsidRDefault="00E24F4B" w:rsidP="007A5C69">
            <w:pPr>
              <w:pStyle w:val="Tabletextprimarysource"/>
              <w:ind w:left="720"/>
            </w:pPr>
          </w:p>
        </w:tc>
      </w:tr>
      <w:tr w:rsidR="00DA352E" w:rsidRPr="00DA352E" w14:paraId="3E231EF9" w14:textId="77777777" w:rsidTr="00DE26E8">
        <w:trPr>
          <w:gridAfter w:val="1"/>
          <w:wAfter w:w="8" w:type="pct"/>
          <w:cantSplit/>
        </w:trPr>
        <w:tc>
          <w:tcPr>
            <w:tcW w:w="4992" w:type="pct"/>
            <w:shd w:val="clear" w:color="auto" w:fill="F2F2F2" w:themeFill="background1" w:themeFillShade="F2"/>
          </w:tcPr>
          <w:p w14:paraId="08DDC033" w14:textId="0A333DF5" w:rsidR="00DA352E" w:rsidRPr="00DA352E" w:rsidRDefault="00DA352E" w:rsidP="0051509C">
            <w:pPr>
              <w:pStyle w:val="Tablerowheadingitalic"/>
              <w:tabs>
                <w:tab w:val="clear" w:pos="2268"/>
                <w:tab w:val="clear" w:pos="5670"/>
                <w:tab w:val="left" w:pos="1418"/>
                <w:tab w:val="left" w:pos="2552"/>
              </w:tabs>
            </w:pPr>
            <w:r w:rsidRPr="00DA352E">
              <w:t>OARS/AIHA</w:t>
            </w:r>
            <w:r w:rsidR="00916EC0" w:rsidRPr="003365A5">
              <w:t xml:space="preserve"> </w:t>
            </w:r>
            <w:r w:rsidR="00916EC0" w:rsidRPr="003365A5">
              <w:tab/>
            </w:r>
            <w:sdt>
              <w:sdtPr>
                <w:id w:val="-936748013"/>
                <w:placeholder>
                  <w:docPart w:val="47E4EC2DB10B4B8E8A66F7A5C13653CB"/>
                </w:placeholder>
                <w:text/>
              </w:sdtPr>
              <w:sdtEndPr/>
              <w:sdtContent>
                <w:r w:rsidR="00B504D9">
                  <w:t>NA</w:t>
                </w:r>
              </w:sdtContent>
            </w:sdt>
            <w:r w:rsidR="00916EC0" w:rsidRPr="003365A5">
              <w:tab/>
            </w:r>
            <w:r w:rsidR="0051509C">
              <w:tab/>
            </w:r>
            <w:sdt>
              <w:sdtPr>
                <w:alias w:val="OARS/AIHA WES equivalent"/>
                <w:tag w:val="OARS/AIHA WES equivalent"/>
                <w:id w:val="-1320338798"/>
                <w:placeholder>
                  <w:docPart w:val="5E4DD00C3A334F93BF5CC79754EBC5EA"/>
                </w:placeholder>
              </w:sdtPr>
              <w:sdtEndPr/>
              <w:sdtContent>
                <w:proofErr w:type="spellStart"/>
                <w:r w:rsidR="00B504D9">
                  <w:t>NA</w:t>
                </w:r>
                <w:proofErr w:type="spellEnd"/>
              </w:sdtContent>
            </w:sdt>
          </w:p>
        </w:tc>
      </w:tr>
      <w:tr w:rsidR="00DA352E" w:rsidRPr="00DA352E" w14:paraId="056E9A7F" w14:textId="77777777" w:rsidTr="00DE26E8">
        <w:trPr>
          <w:gridAfter w:val="1"/>
          <w:wAfter w:w="8" w:type="pct"/>
          <w:cantSplit/>
        </w:trPr>
        <w:tc>
          <w:tcPr>
            <w:tcW w:w="4992" w:type="pct"/>
          </w:tcPr>
          <w:p w14:paraId="64680402" w14:textId="39A5BA6A" w:rsidR="00DA352E" w:rsidRPr="00DA352E" w:rsidRDefault="00B504D9" w:rsidP="003365A5">
            <w:pPr>
              <w:pStyle w:val="Tabletextprimarysource"/>
            </w:pPr>
            <w:r>
              <w:t>No report</w:t>
            </w:r>
            <w:r w:rsidR="00533A38">
              <w:t>.</w:t>
            </w:r>
          </w:p>
        </w:tc>
      </w:tr>
      <w:tr w:rsidR="00DA352E" w:rsidRPr="00DA352E" w14:paraId="7AB18BD4" w14:textId="77777777" w:rsidTr="00DE26E8">
        <w:trPr>
          <w:gridAfter w:val="1"/>
          <w:wAfter w:w="8" w:type="pct"/>
          <w:cantSplit/>
        </w:trPr>
        <w:tc>
          <w:tcPr>
            <w:tcW w:w="4992" w:type="pct"/>
            <w:shd w:val="clear" w:color="auto" w:fill="F2F2F2" w:themeFill="background1" w:themeFillShade="F2"/>
          </w:tcPr>
          <w:p w14:paraId="7F299E79" w14:textId="7320565E" w:rsidR="00DA352E" w:rsidRPr="00DA352E" w:rsidRDefault="00DA352E" w:rsidP="0051509C">
            <w:pPr>
              <w:pStyle w:val="Tablerowheadingitalic"/>
              <w:tabs>
                <w:tab w:val="clear" w:pos="2268"/>
                <w:tab w:val="clear" w:pos="5670"/>
                <w:tab w:val="left" w:pos="1418"/>
                <w:tab w:val="left" w:pos="2552"/>
              </w:tabs>
            </w:pPr>
            <w:r w:rsidRPr="00DA352E">
              <w:t>HCOTN</w:t>
            </w:r>
            <w:r w:rsidR="00916EC0" w:rsidRPr="003365A5">
              <w:t xml:space="preserve"> </w:t>
            </w:r>
            <w:r w:rsidR="00916EC0" w:rsidRPr="003365A5">
              <w:tab/>
            </w:r>
            <w:sdt>
              <w:sdtPr>
                <w:id w:val="1543090908"/>
                <w:placeholder>
                  <w:docPart w:val="EA1708404F1C4A3BB080A0D8EEB67D1D"/>
                </w:placeholder>
                <w:text/>
              </w:sdtPr>
              <w:sdtEndPr/>
              <w:sdtContent>
                <w:r w:rsidR="00B504D9">
                  <w:t>NA</w:t>
                </w:r>
              </w:sdtContent>
            </w:sdt>
            <w:r w:rsidR="00916EC0" w:rsidRPr="003365A5">
              <w:tab/>
            </w:r>
            <w:r w:rsidR="0051509C">
              <w:tab/>
            </w:r>
            <w:sdt>
              <w:sdtPr>
                <w:alias w:val="HCOTN WES equivalent"/>
                <w:tag w:val="HCOTN WES equivalent"/>
                <w:id w:val="1471562734"/>
                <w:placeholder>
                  <w:docPart w:val="F3D4204BA37A4A21A656C76DA4274412"/>
                </w:placeholder>
              </w:sdtPr>
              <w:sdtEndPr/>
              <w:sdtContent>
                <w:proofErr w:type="spellStart"/>
                <w:r w:rsidR="00B504D9">
                  <w:t>NA</w:t>
                </w:r>
                <w:proofErr w:type="spellEnd"/>
              </w:sdtContent>
            </w:sdt>
          </w:p>
        </w:tc>
      </w:tr>
      <w:tr w:rsidR="00DA352E" w:rsidRPr="00DA352E" w14:paraId="3BCFFEC9" w14:textId="77777777" w:rsidTr="00DE26E8">
        <w:trPr>
          <w:gridAfter w:val="1"/>
          <w:wAfter w:w="8" w:type="pct"/>
          <w:cantSplit/>
        </w:trPr>
        <w:tc>
          <w:tcPr>
            <w:tcW w:w="4992" w:type="pct"/>
          </w:tcPr>
          <w:p w14:paraId="084E383C" w14:textId="44449493" w:rsidR="00DA352E" w:rsidRPr="00DA352E" w:rsidRDefault="00B504D9" w:rsidP="003365A5">
            <w:pPr>
              <w:pStyle w:val="Tabletextprimarysource"/>
            </w:pPr>
            <w:r>
              <w:t>No report</w:t>
            </w:r>
            <w:r w:rsidR="00533A38">
              <w:t>.</w:t>
            </w:r>
          </w:p>
        </w:tc>
      </w:tr>
    </w:tbl>
    <w:p w14:paraId="356E2635" w14:textId="77777777" w:rsidR="00A20751" w:rsidRPr="004C23F4" w:rsidRDefault="00A20751" w:rsidP="003365A5">
      <w:pPr>
        <w:pStyle w:val="Heading3"/>
      </w:pPr>
      <w:bookmarkStart w:id="1" w:name="SecondSource"/>
      <w:r w:rsidRPr="004C23F4">
        <w:t xml:space="preserve">Secondary </w:t>
      </w:r>
      <w:r w:rsidR="0088798F">
        <w:t xml:space="preserve">source reports relied upon </w:t>
      </w:r>
    </w:p>
    <w:tbl>
      <w:tblPr>
        <w:tblStyle w:val="LightList"/>
        <w:tblW w:w="0" w:type="auto"/>
        <w:tblBorders>
          <w:top w:val="single" w:sz="8" w:space="0" w:color="BFBFBF" w:themeColor="background1" w:themeShade="BF"/>
          <w:left w:val="none" w:sz="0" w:space="0" w:color="auto"/>
          <w:bottom w:val="single" w:sz="8" w:space="0" w:color="BFBFBF" w:themeColor="background1" w:themeShade="BF"/>
          <w:right w:val="none" w:sz="0" w:space="0" w:color="auto"/>
          <w:insideH w:val="single" w:sz="8" w:space="0" w:color="BFBFBF" w:themeColor="background1" w:themeShade="BF"/>
        </w:tblBorders>
        <w:tblLook w:val="0600" w:firstRow="0" w:lastRow="0" w:firstColumn="0" w:lastColumn="0" w:noHBand="1" w:noVBand="1"/>
        <w:tblCaption w:val="Table"/>
        <w:tblDescription w:val="Listing secondary sources with reports"/>
      </w:tblPr>
      <w:tblGrid>
        <w:gridCol w:w="1498"/>
        <w:gridCol w:w="422"/>
        <w:gridCol w:w="661"/>
        <w:gridCol w:w="6445"/>
      </w:tblGrid>
      <w:tr w:rsidR="004966BF" w:rsidRPr="00263255" w14:paraId="54B1BA75" w14:textId="77777777" w:rsidTr="00533A38">
        <w:trPr>
          <w:cantSplit/>
          <w:trHeight w:val="393"/>
          <w:tblHeader/>
        </w:trPr>
        <w:tc>
          <w:tcPr>
            <w:tcW w:w="1498" w:type="dxa"/>
            <w:shd w:val="clear" w:color="auto" w:fill="BFBFBF" w:themeFill="background1" w:themeFillShade="BF"/>
            <w:vAlign w:val="center"/>
          </w:tcPr>
          <w:p w14:paraId="5DBC9A24" w14:textId="77777777" w:rsidR="004966BF" w:rsidRPr="00263255" w:rsidRDefault="004966BF" w:rsidP="00263255">
            <w:pPr>
              <w:pStyle w:val="Tableheader"/>
            </w:pPr>
            <w:r w:rsidRPr="00263255">
              <w:t>Source</w:t>
            </w:r>
          </w:p>
        </w:tc>
        <w:tc>
          <w:tcPr>
            <w:tcW w:w="422" w:type="dxa"/>
            <w:shd w:val="clear" w:color="auto" w:fill="BFBFBF" w:themeFill="background1" w:themeFillShade="BF"/>
            <w:vAlign w:val="center"/>
          </w:tcPr>
          <w:p w14:paraId="27723D95" w14:textId="77777777" w:rsidR="004966BF" w:rsidRPr="00263255" w:rsidRDefault="004966BF" w:rsidP="00263255">
            <w:pPr>
              <w:pStyle w:val="Tableheader"/>
            </w:pPr>
          </w:p>
        </w:tc>
        <w:tc>
          <w:tcPr>
            <w:tcW w:w="661" w:type="dxa"/>
            <w:shd w:val="clear" w:color="auto" w:fill="BFBFBF" w:themeFill="background1" w:themeFillShade="BF"/>
            <w:vAlign w:val="center"/>
          </w:tcPr>
          <w:p w14:paraId="64B1432F" w14:textId="77777777" w:rsidR="004966BF" w:rsidRPr="00263255" w:rsidRDefault="004966BF" w:rsidP="00263255">
            <w:pPr>
              <w:pStyle w:val="Tableheader"/>
            </w:pPr>
            <w:r>
              <w:t>Year</w:t>
            </w:r>
          </w:p>
        </w:tc>
        <w:tc>
          <w:tcPr>
            <w:tcW w:w="6445" w:type="dxa"/>
            <w:shd w:val="clear" w:color="auto" w:fill="BFBFBF" w:themeFill="background1" w:themeFillShade="BF"/>
            <w:vAlign w:val="center"/>
          </w:tcPr>
          <w:p w14:paraId="7F6B5BE7" w14:textId="77777777" w:rsidR="004966BF" w:rsidRPr="00263255" w:rsidRDefault="004966BF" w:rsidP="00263255">
            <w:pPr>
              <w:pStyle w:val="Tableheader"/>
            </w:pPr>
            <w:r>
              <w:t>Additional information</w:t>
            </w:r>
          </w:p>
        </w:tc>
      </w:tr>
      <w:tr w:rsidR="004966BF" w:rsidRPr="004C23F4" w14:paraId="28CC3B4B" w14:textId="77777777" w:rsidTr="00533A38">
        <w:trPr>
          <w:cantSplit/>
        </w:trPr>
        <w:tc>
          <w:tcPr>
            <w:tcW w:w="1498" w:type="dxa"/>
          </w:tcPr>
          <w:p w14:paraId="414AF8FD" w14:textId="77777777" w:rsidR="004966BF" w:rsidRPr="004C23F4" w:rsidRDefault="004966BF" w:rsidP="00224EE2">
            <w:pPr>
              <w:pStyle w:val="Tablefont"/>
            </w:pPr>
            <w:r>
              <w:t>HSE</w:t>
            </w:r>
          </w:p>
        </w:tc>
        <w:tc>
          <w:tcPr>
            <w:tcW w:w="422" w:type="dxa"/>
          </w:tcPr>
          <w:p w14:paraId="743EDD9F" w14:textId="10728C24" w:rsidR="004966BF" w:rsidRPr="00CE617F" w:rsidRDefault="009F4D5E" w:rsidP="00AB43C4">
            <w:pPr>
              <w:spacing w:before="40"/>
              <w:jc w:val="center"/>
              <w:rPr>
                <w:rStyle w:val="checkbox"/>
              </w:rPr>
            </w:pPr>
            <w:sdt>
              <w:sdtPr>
                <w:rPr>
                  <w:rStyle w:val="checkbox"/>
                </w:rPr>
                <w:id w:val="-1382551732"/>
                <w:placeholder>
                  <w:docPart w:val="8DD754E365844A4E82EC69A07E229629"/>
                </w:placeholder>
                <w:dropDownList>
                  <w:listItem w:displayText="" w:value=""/>
                  <w:listItem w:displayText="" w:value=""/>
                  <w:listItem w:displayText="" w:value=""/>
                </w:dropDownList>
              </w:sdtPr>
              <w:sdtEndPr>
                <w:rPr>
                  <w:rStyle w:val="checkbox"/>
                </w:rPr>
              </w:sdtEndPr>
              <w:sdtContent>
                <w:r w:rsidR="0047283B">
                  <w:rPr>
                    <w:rStyle w:val="checkbox"/>
                  </w:rPr>
                  <w:t></w:t>
                </w:r>
              </w:sdtContent>
            </w:sdt>
          </w:p>
        </w:tc>
        <w:tc>
          <w:tcPr>
            <w:tcW w:w="661" w:type="dxa"/>
          </w:tcPr>
          <w:p w14:paraId="2AC90331" w14:textId="0B6584F0" w:rsidR="004966BF" w:rsidRPr="004C23F4" w:rsidRDefault="0047283B" w:rsidP="00717D45">
            <w:pPr>
              <w:pStyle w:val="Tablefont"/>
            </w:pPr>
            <w:r>
              <w:t>2002</w:t>
            </w:r>
          </w:p>
        </w:tc>
        <w:tc>
          <w:tcPr>
            <w:tcW w:w="6445" w:type="dxa"/>
          </w:tcPr>
          <w:p w14:paraId="7C8C2DF6" w14:textId="703CA7C0" w:rsidR="004966BF" w:rsidRPr="0047283B" w:rsidRDefault="0047283B" w:rsidP="00576ED3">
            <w:pPr>
              <w:pStyle w:val="ListBullet"/>
            </w:pPr>
            <w:r w:rsidRPr="0047283B">
              <w:t>TWA: 100 ppm (308 mg/m</w:t>
            </w:r>
            <w:r w:rsidRPr="0047283B">
              <w:rPr>
                <w:vertAlign w:val="superscript"/>
              </w:rPr>
              <w:t>3</w:t>
            </w:r>
            <w:r w:rsidR="0094372E">
              <w:t>); STEL: 200 ppm (</w:t>
            </w:r>
            <w:r w:rsidR="0021108A">
              <w:t>616</w:t>
            </w:r>
            <w:r w:rsidR="00E24F4B">
              <w:t> </w:t>
            </w:r>
            <w:r w:rsidRPr="0047283B">
              <w:t>mg/m</w:t>
            </w:r>
            <w:r w:rsidRPr="0047283B">
              <w:rPr>
                <w:vertAlign w:val="superscript"/>
              </w:rPr>
              <w:t>3</w:t>
            </w:r>
            <w:r>
              <w:t>)</w:t>
            </w:r>
            <w:r w:rsidR="0021108A">
              <w:t>.</w:t>
            </w:r>
          </w:p>
        </w:tc>
      </w:tr>
      <w:tr w:rsidR="004966BF" w:rsidRPr="004C23F4" w14:paraId="55E9DA4D" w14:textId="77777777" w:rsidTr="00533A38">
        <w:trPr>
          <w:cantSplit/>
        </w:trPr>
        <w:tc>
          <w:tcPr>
            <w:tcW w:w="1498" w:type="dxa"/>
          </w:tcPr>
          <w:p w14:paraId="117828A2" w14:textId="77777777" w:rsidR="004966BF" w:rsidRPr="004C23F4" w:rsidRDefault="004966BF" w:rsidP="00224EE2">
            <w:pPr>
              <w:pStyle w:val="Tablefont"/>
            </w:pPr>
            <w:r>
              <w:t>Nordic Council</w:t>
            </w:r>
          </w:p>
        </w:tc>
        <w:tc>
          <w:tcPr>
            <w:tcW w:w="422" w:type="dxa"/>
          </w:tcPr>
          <w:p w14:paraId="49BB895F" w14:textId="07E9975D" w:rsidR="004966BF" w:rsidRPr="00CE617F" w:rsidRDefault="009F4D5E" w:rsidP="00AB43C4">
            <w:pPr>
              <w:spacing w:before="40"/>
              <w:jc w:val="center"/>
              <w:rPr>
                <w:rStyle w:val="checkbox"/>
              </w:rPr>
            </w:pPr>
            <w:sdt>
              <w:sdtPr>
                <w:rPr>
                  <w:rStyle w:val="checkbox"/>
                </w:rPr>
                <w:id w:val="-130487844"/>
                <w:placeholder>
                  <w:docPart w:val="CA68404C5F6B4780904F09DAAE62489A"/>
                </w:placeholder>
                <w:dropDownList>
                  <w:listItem w:displayText="" w:value=""/>
                  <w:listItem w:displayText="" w:value=""/>
                  <w:listItem w:displayText="" w:value=""/>
                </w:dropDownList>
              </w:sdtPr>
              <w:sdtEndPr>
                <w:rPr>
                  <w:rStyle w:val="checkbox"/>
                </w:rPr>
              </w:sdtEndPr>
              <w:sdtContent>
                <w:r w:rsidR="0094372E">
                  <w:rPr>
                    <w:rStyle w:val="checkbox"/>
                  </w:rPr>
                  <w:t></w:t>
                </w:r>
              </w:sdtContent>
            </w:sdt>
          </w:p>
        </w:tc>
        <w:tc>
          <w:tcPr>
            <w:tcW w:w="661" w:type="dxa"/>
          </w:tcPr>
          <w:p w14:paraId="3A91D608" w14:textId="27CFE636" w:rsidR="004966BF" w:rsidRPr="004C23F4" w:rsidRDefault="00E026DF" w:rsidP="00717D45">
            <w:pPr>
              <w:pStyle w:val="Tablefont"/>
              <w:rPr>
                <w:rStyle w:val="checkbox"/>
                <w:rFonts w:ascii="Arial" w:hAnsi="Arial" w:cs="Arial"/>
              </w:rPr>
            </w:pPr>
            <w:r>
              <w:rPr>
                <w:rStyle w:val="checkbox"/>
                <w:rFonts w:ascii="Arial" w:hAnsi="Arial" w:cs="Arial"/>
              </w:rPr>
              <w:t>1992</w:t>
            </w:r>
          </w:p>
        </w:tc>
        <w:tc>
          <w:tcPr>
            <w:tcW w:w="6445" w:type="dxa"/>
          </w:tcPr>
          <w:p w14:paraId="07CCC68E" w14:textId="22197EEF" w:rsidR="004966BF" w:rsidRPr="004C23F4" w:rsidRDefault="0094372E" w:rsidP="00576ED3">
            <w:pPr>
              <w:pStyle w:val="ListBullet"/>
              <w:rPr>
                <w:rStyle w:val="checkbox"/>
                <w:rFonts w:ascii="Arial" w:hAnsi="Arial" w:cs="Arial"/>
              </w:rPr>
            </w:pPr>
            <w:r>
              <w:rPr>
                <w:rStyle w:val="checkbox"/>
                <w:rFonts w:ascii="Arial" w:hAnsi="Arial" w:cs="Arial"/>
              </w:rPr>
              <w:t xml:space="preserve">Case of accidental fatal dermal exposure from occlusive patch on scalp as </w:t>
            </w:r>
            <w:proofErr w:type="spellStart"/>
            <w:r>
              <w:rPr>
                <w:rStyle w:val="checkbox"/>
                <w:rFonts w:ascii="Arial" w:hAnsi="Arial" w:cs="Arial"/>
              </w:rPr>
              <w:t>seborrh</w:t>
            </w:r>
            <w:r w:rsidR="00533A38">
              <w:rPr>
                <w:rStyle w:val="checkbox"/>
                <w:rFonts w:ascii="Arial" w:hAnsi="Arial" w:cs="Arial"/>
              </w:rPr>
              <w:t>o</w:t>
            </w:r>
            <w:r>
              <w:rPr>
                <w:rStyle w:val="checkbox"/>
                <w:rFonts w:ascii="Arial" w:hAnsi="Arial" w:cs="Arial"/>
              </w:rPr>
              <w:t>eic</w:t>
            </w:r>
            <w:proofErr w:type="spellEnd"/>
            <w:r>
              <w:rPr>
                <w:rStyle w:val="checkbox"/>
                <w:rFonts w:ascii="Arial" w:hAnsi="Arial" w:cs="Arial"/>
              </w:rPr>
              <w:t xml:space="preserve"> dermatitis treatment (no further information)</w:t>
            </w:r>
            <w:r w:rsidR="0021108A">
              <w:rPr>
                <w:rStyle w:val="checkbox"/>
                <w:rFonts w:ascii="Arial" w:hAnsi="Arial" w:cs="Arial"/>
              </w:rPr>
              <w:t>.</w:t>
            </w:r>
          </w:p>
        </w:tc>
      </w:tr>
      <w:tr w:rsidR="004966BF" w:rsidRPr="004C23F4" w14:paraId="703EFC3F" w14:textId="77777777" w:rsidTr="00533A38">
        <w:trPr>
          <w:cantSplit/>
        </w:trPr>
        <w:tc>
          <w:tcPr>
            <w:tcW w:w="1498" w:type="dxa"/>
          </w:tcPr>
          <w:p w14:paraId="076895F7" w14:textId="77777777" w:rsidR="004966BF" w:rsidRPr="004C23F4" w:rsidRDefault="004966BF" w:rsidP="00224EE2">
            <w:pPr>
              <w:pStyle w:val="Tablefont"/>
            </w:pPr>
            <w:r>
              <w:t>US EPA</w:t>
            </w:r>
          </w:p>
        </w:tc>
        <w:tc>
          <w:tcPr>
            <w:tcW w:w="422" w:type="dxa"/>
          </w:tcPr>
          <w:p w14:paraId="524DDDFA" w14:textId="127AF73B" w:rsidR="004966BF" w:rsidRPr="00CE617F" w:rsidRDefault="009F4D5E" w:rsidP="00AB43C4">
            <w:pPr>
              <w:spacing w:before="40"/>
              <w:jc w:val="center"/>
              <w:rPr>
                <w:rStyle w:val="checkbox"/>
              </w:rPr>
            </w:pPr>
            <w:sdt>
              <w:sdtPr>
                <w:rPr>
                  <w:rStyle w:val="checkbox"/>
                </w:rPr>
                <w:id w:val="1015498594"/>
                <w:placeholder>
                  <w:docPart w:val="CFFDE270CB50461B826B0194984892C5"/>
                </w:placeholder>
                <w:dropDownList>
                  <w:listItem w:displayText="" w:value=""/>
                  <w:listItem w:displayText="" w:value=""/>
                  <w:listItem w:displayText="" w:value=""/>
                </w:dropDownList>
              </w:sdtPr>
              <w:sdtEndPr>
                <w:rPr>
                  <w:rStyle w:val="checkbox"/>
                </w:rPr>
              </w:sdtEndPr>
              <w:sdtContent>
                <w:r w:rsidR="006F33B8">
                  <w:rPr>
                    <w:rStyle w:val="checkbox"/>
                  </w:rPr>
                  <w:t></w:t>
                </w:r>
              </w:sdtContent>
            </w:sdt>
          </w:p>
        </w:tc>
        <w:tc>
          <w:tcPr>
            <w:tcW w:w="661" w:type="dxa"/>
          </w:tcPr>
          <w:p w14:paraId="104990F9" w14:textId="6EB8DCED" w:rsidR="004966BF" w:rsidRPr="004C23F4" w:rsidRDefault="006F33B8" w:rsidP="00717D45">
            <w:pPr>
              <w:pStyle w:val="Tablefont"/>
              <w:rPr>
                <w:rStyle w:val="checkbox"/>
                <w:rFonts w:ascii="Arial" w:hAnsi="Arial" w:cs="Arial"/>
              </w:rPr>
            </w:pPr>
            <w:r>
              <w:rPr>
                <w:rStyle w:val="checkbox"/>
                <w:rFonts w:ascii="Arial" w:hAnsi="Arial" w:cs="Arial"/>
              </w:rPr>
              <w:t>1990</w:t>
            </w:r>
          </w:p>
        </w:tc>
        <w:tc>
          <w:tcPr>
            <w:tcW w:w="6445" w:type="dxa"/>
          </w:tcPr>
          <w:p w14:paraId="714B4911" w14:textId="330873FC" w:rsidR="00E06E7B" w:rsidRPr="004C23F4" w:rsidRDefault="00E06E7B" w:rsidP="00576ED3">
            <w:pPr>
              <w:pStyle w:val="ListBullet"/>
              <w:rPr>
                <w:rStyle w:val="checkbox"/>
                <w:rFonts w:ascii="Arial" w:hAnsi="Arial" w:cs="Arial"/>
              </w:rPr>
            </w:pPr>
            <w:r>
              <w:rPr>
                <w:rStyle w:val="checkbox"/>
                <w:rFonts w:ascii="Arial" w:hAnsi="Arial" w:cs="Arial"/>
              </w:rPr>
              <w:t>Repeat gavage study cited in DFG (1999) and SCOEL (1991) used as principal study to derive oral reference dose</w:t>
            </w:r>
            <w:r w:rsidR="0021108A">
              <w:rPr>
                <w:rStyle w:val="checkbox"/>
                <w:rFonts w:ascii="Arial" w:hAnsi="Arial" w:cs="Arial"/>
              </w:rPr>
              <w:t>.</w:t>
            </w:r>
          </w:p>
        </w:tc>
      </w:tr>
      <w:tr w:rsidR="004966BF" w:rsidRPr="004C23F4" w14:paraId="6068A058" w14:textId="77777777" w:rsidTr="00533A38">
        <w:trPr>
          <w:cantSplit/>
        </w:trPr>
        <w:tc>
          <w:tcPr>
            <w:tcW w:w="1498" w:type="dxa"/>
          </w:tcPr>
          <w:p w14:paraId="2E9C9BBE" w14:textId="77777777" w:rsidR="004966BF" w:rsidRDefault="004966BF" w:rsidP="00224EE2">
            <w:pPr>
              <w:pStyle w:val="Tablefont"/>
            </w:pPr>
            <w:r>
              <w:t>US NIOSH</w:t>
            </w:r>
          </w:p>
        </w:tc>
        <w:tc>
          <w:tcPr>
            <w:tcW w:w="422" w:type="dxa"/>
          </w:tcPr>
          <w:p w14:paraId="490F858A" w14:textId="24F47931" w:rsidR="004966BF" w:rsidRDefault="009F4D5E" w:rsidP="00AB43C4">
            <w:pPr>
              <w:spacing w:before="40"/>
              <w:jc w:val="center"/>
              <w:rPr>
                <w:rStyle w:val="checkbox"/>
              </w:rPr>
            </w:pPr>
            <w:sdt>
              <w:sdtPr>
                <w:rPr>
                  <w:rStyle w:val="checkbox"/>
                </w:rPr>
                <w:id w:val="-1814863282"/>
                <w:placeholder>
                  <w:docPart w:val="EA51C8540A4D4F0A9062F5B1698DCBB0"/>
                </w:placeholder>
                <w:dropDownList>
                  <w:listItem w:displayText="" w:value=""/>
                  <w:listItem w:displayText="" w:value=""/>
                  <w:listItem w:displayText="" w:value=""/>
                </w:dropDownList>
              </w:sdtPr>
              <w:sdtEndPr>
                <w:rPr>
                  <w:rStyle w:val="checkbox"/>
                </w:rPr>
              </w:sdtEndPr>
              <w:sdtContent>
                <w:r w:rsidR="0047283B">
                  <w:rPr>
                    <w:rStyle w:val="checkbox"/>
                  </w:rPr>
                  <w:t></w:t>
                </w:r>
              </w:sdtContent>
            </w:sdt>
          </w:p>
        </w:tc>
        <w:tc>
          <w:tcPr>
            <w:tcW w:w="661" w:type="dxa"/>
          </w:tcPr>
          <w:p w14:paraId="7382DDD7" w14:textId="62406DC4" w:rsidR="004966BF" w:rsidRPr="004C23F4" w:rsidRDefault="0047283B" w:rsidP="00717D45">
            <w:pPr>
              <w:pStyle w:val="Tablefont"/>
              <w:rPr>
                <w:rStyle w:val="checkbox"/>
                <w:rFonts w:ascii="Arial" w:hAnsi="Arial" w:cs="Arial"/>
              </w:rPr>
            </w:pPr>
            <w:r>
              <w:rPr>
                <w:rStyle w:val="checkbox"/>
                <w:rFonts w:ascii="Arial" w:hAnsi="Arial" w:cs="Arial"/>
              </w:rPr>
              <w:t>1994</w:t>
            </w:r>
          </w:p>
        </w:tc>
        <w:tc>
          <w:tcPr>
            <w:tcW w:w="6445" w:type="dxa"/>
          </w:tcPr>
          <w:p w14:paraId="7E8571B8" w14:textId="19B80E43" w:rsidR="004966BF" w:rsidRPr="004C23F4" w:rsidRDefault="0047283B" w:rsidP="00576ED3">
            <w:pPr>
              <w:pStyle w:val="ListBullet"/>
              <w:rPr>
                <w:rStyle w:val="checkbox"/>
                <w:rFonts w:ascii="Arial" w:hAnsi="Arial" w:cs="Arial"/>
              </w:rPr>
            </w:pPr>
            <w:r>
              <w:rPr>
                <w:rStyle w:val="checkbox"/>
                <w:rFonts w:ascii="Arial" w:hAnsi="Arial" w:cs="Arial"/>
              </w:rPr>
              <w:t>I</w:t>
            </w:r>
            <w:r w:rsidRPr="0047283B">
              <w:rPr>
                <w:rStyle w:val="checkbox"/>
                <w:rFonts w:ascii="Arial" w:hAnsi="Arial" w:cs="Arial"/>
              </w:rPr>
              <w:t>DLH based on 10% of th</w:t>
            </w:r>
            <w:r>
              <w:rPr>
                <w:rStyle w:val="checkbox"/>
                <w:rFonts w:ascii="Arial" w:hAnsi="Arial" w:cs="Arial"/>
              </w:rPr>
              <w:t>e lower explosive limit of (1.9%)</w:t>
            </w:r>
            <w:r w:rsidR="0021108A">
              <w:rPr>
                <w:rStyle w:val="checkbox"/>
                <w:rFonts w:ascii="Arial" w:hAnsi="Arial" w:cs="Arial"/>
              </w:rPr>
              <w:t>.</w:t>
            </w:r>
          </w:p>
        </w:tc>
      </w:tr>
    </w:tbl>
    <w:bookmarkEnd w:id="1"/>
    <w:p w14:paraId="243399BB" w14:textId="77777777" w:rsidR="007E2A4B" w:rsidRDefault="007E2A4B" w:rsidP="007E2A4B">
      <w:pPr>
        <w:pStyle w:val="Heading3"/>
      </w:pPr>
      <w:r>
        <w:t>Carcinogenicity — non-threshold based genotoxic carcinogens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w:tblDescription w:val="Listing secondary sources with reports"/>
      </w:tblPr>
      <w:tblGrid>
        <w:gridCol w:w="6597"/>
        <w:gridCol w:w="2429"/>
      </w:tblGrid>
      <w:tr w:rsidR="002E0D61" w14:paraId="7022D31B" w14:textId="77777777" w:rsidTr="00577984">
        <w:trPr>
          <w:trHeight w:val="454"/>
          <w:tblHeader/>
        </w:trPr>
        <w:tc>
          <w:tcPr>
            <w:tcW w:w="6597" w:type="dxa"/>
            <w:vAlign w:val="center"/>
          </w:tcPr>
          <w:p w14:paraId="6A9D6689" w14:textId="77777777" w:rsidR="002E0D61" w:rsidRDefault="00B1422A" w:rsidP="00C3091E">
            <w:pPr>
              <w:pStyle w:val="Tablefont"/>
              <w:keepNext/>
              <w:keepLines/>
              <w:spacing w:before="40" w:after="40"/>
            </w:pPr>
            <w:bookmarkStart w:id="2" w:name="GCQuest"/>
            <w:r>
              <w:t>Is the chemical mutagenic</w:t>
            </w:r>
            <w:r w:rsidR="002E0D61">
              <w:t>?</w:t>
            </w:r>
          </w:p>
        </w:tc>
        <w:sdt>
          <w:sdtPr>
            <w:id w:val="319705052"/>
            <w:placeholder>
              <w:docPart w:val="0168237C60E6479CAFA3D9A1A8409B78"/>
            </w:placeholder>
            <w:comboBox>
              <w:listItem w:value="Choose an item."/>
              <w:listItem w:displayText="Yes" w:value="Yes"/>
              <w:listItem w:displayText="No" w:value="No"/>
              <w:listItem w:displayText="Insufficient data" w:value="Insufficient data"/>
            </w:comboBox>
          </w:sdtPr>
          <w:sdtEndPr/>
          <w:sdtContent>
            <w:tc>
              <w:tcPr>
                <w:tcW w:w="2429" w:type="dxa"/>
                <w:vAlign w:val="center"/>
              </w:tcPr>
              <w:p w14:paraId="33737A2D" w14:textId="3738CFEC" w:rsidR="002E0D61" w:rsidRDefault="00577984" w:rsidP="00C3091E">
                <w:pPr>
                  <w:pStyle w:val="Tablefont"/>
                  <w:keepNext/>
                  <w:keepLines/>
                  <w:spacing w:before="40" w:after="40"/>
                </w:pPr>
                <w:r>
                  <w:t>No</w:t>
                </w:r>
              </w:p>
            </w:tc>
          </w:sdtContent>
        </w:sdt>
      </w:tr>
      <w:tr w:rsidR="008A36CF" w14:paraId="1B968FD5" w14:textId="77777777" w:rsidTr="00577984">
        <w:trPr>
          <w:trHeight w:val="454"/>
        </w:trPr>
        <w:tc>
          <w:tcPr>
            <w:tcW w:w="6597" w:type="dxa"/>
            <w:vAlign w:val="center"/>
          </w:tcPr>
          <w:p w14:paraId="0309ACF2" w14:textId="77777777" w:rsidR="008A36CF" w:rsidRDefault="008A36CF" w:rsidP="008A36CF">
            <w:pPr>
              <w:pStyle w:val="Tablefont"/>
              <w:keepNext/>
              <w:keepLines/>
              <w:spacing w:before="40" w:after="40"/>
            </w:pPr>
            <w:r>
              <w:t>Is the chemical carcinogenic with a mutagenic mechanism of action?</w:t>
            </w:r>
          </w:p>
        </w:tc>
        <w:sdt>
          <w:sdtPr>
            <w:id w:val="-1035572737"/>
            <w:placeholder>
              <w:docPart w:val="5CBFEC560F894890BBD09B93174FFAE0"/>
            </w:placeholder>
            <w:comboBox>
              <w:listItem w:value="Choose an item."/>
              <w:listItem w:displayText="Yes" w:value="Yes"/>
              <w:listItem w:displayText="No" w:value="No"/>
              <w:listItem w:displayText="Insufficient data" w:value="Insufficient data"/>
              <w:listItem w:displayText="NA" w:value="NA"/>
            </w:comboBox>
          </w:sdtPr>
          <w:sdtEndPr/>
          <w:sdtContent>
            <w:tc>
              <w:tcPr>
                <w:tcW w:w="2429" w:type="dxa"/>
                <w:vAlign w:val="center"/>
              </w:tcPr>
              <w:p w14:paraId="253C7664" w14:textId="2EEE2BA5" w:rsidR="008A36CF" w:rsidRDefault="00577984" w:rsidP="008A36CF">
                <w:pPr>
                  <w:pStyle w:val="Tablefont"/>
                  <w:keepNext/>
                  <w:keepLines/>
                  <w:spacing w:before="40" w:after="40"/>
                </w:pPr>
                <w:r>
                  <w:t>Insufficient data</w:t>
                </w:r>
              </w:p>
            </w:tc>
          </w:sdtContent>
        </w:sdt>
      </w:tr>
      <w:tr w:rsidR="008A36CF" w14:paraId="1F2E629C" w14:textId="77777777" w:rsidTr="00577984">
        <w:trPr>
          <w:trHeight w:val="454"/>
        </w:trPr>
        <w:sdt>
          <w:sdtPr>
            <w:rPr>
              <w:b/>
            </w:rPr>
            <w:id w:val="1830936485"/>
            <w:placeholder>
              <w:docPart w:val="CAD2D506A5824AB88D896BC2795BCEDE"/>
            </w:placeholder>
            <w:dropDownList>
              <w:listItem w:value="Choose an item."/>
              <w:listItem w:displayText="The chemical is a non-threshold based genotoxic carcinogen." w:value="The chemical is a non-threshold based genotoxic carcinogen."/>
              <w:listItem w:displayText="The chemical is not a non-threshold based genotoxic carcinogen." w:value="The chemical is not a non-threshold based genotoxic carcinogen."/>
              <w:listItem w:displayText="Insufficient data are available to determine if the chemical is a non-threshold based genotoxic carcinogen." w:value="Insufficient data are available to determine if the chemical is a non-threshold based genotoxic carcinogen."/>
            </w:dropDownList>
          </w:sdtPr>
          <w:sdtEndPr/>
          <w:sdtContent>
            <w:tc>
              <w:tcPr>
                <w:tcW w:w="6597" w:type="dxa"/>
                <w:vAlign w:val="center"/>
              </w:tcPr>
              <w:p w14:paraId="7A189D04" w14:textId="43C59ED2" w:rsidR="008A36CF" w:rsidRPr="006901A2" w:rsidRDefault="00577984" w:rsidP="008A36CF">
                <w:pPr>
                  <w:pStyle w:val="Tablefont"/>
                  <w:keepNext/>
                  <w:keepLines/>
                  <w:spacing w:before="40" w:after="40"/>
                  <w:rPr>
                    <w:b/>
                  </w:rPr>
                </w:pPr>
                <w:r>
                  <w:rPr>
                    <w:b/>
                  </w:rPr>
                  <w:t>The chemical is not a non-threshold based genotoxic carcinogen.</w:t>
                </w:r>
              </w:p>
            </w:tc>
          </w:sdtContent>
        </w:sdt>
        <w:tc>
          <w:tcPr>
            <w:tcW w:w="2429" w:type="dxa"/>
            <w:vAlign w:val="center"/>
          </w:tcPr>
          <w:p w14:paraId="1D4C9CF7" w14:textId="77777777" w:rsidR="008A36CF" w:rsidRDefault="008A36CF" w:rsidP="008A36CF">
            <w:pPr>
              <w:pStyle w:val="Tablefont"/>
              <w:keepNext/>
              <w:keepLines/>
              <w:spacing w:before="40" w:after="40"/>
            </w:pPr>
          </w:p>
        </w:tc>
      </w:tr>
    </w:tbl>
    <w:bookmarkEnd w:id="2"/>
    <w:p w14:paraId="343C7084" w14:textId="77777777" w:rsidR="00687890" w:rsidRPr="004C23F4" w:rsidRDefault="00B479A9" w:rsidP="00474E33">
      <w:pPr>
        <w:pStyle w:val="Heading2"/>
      </w:pPr>
      <w:r w:rsidRPr="004C23F4">
        <w:t>Notations</w:t>
      </w:r>
    </w:p>
    <w:tbl>
      <w:tblPr>
        <w:tblStyle w:val="LightList"/>
        <w:tblW w:w="5000" w:type="pct"/>
        <w:tblBorders>
          <w:top w:val="single" w:sz="8" w:space="0" w:color="BFBFBF" w:themeColor="background1" w:themeShade="BF"/>
          <w:left w:val="none" w:sz="0" w:space="0" w:color="auto"/>
          <w:bottom w:val="single" w:sz="8" w:space="0" w:color="BFBFBF" w:themeColor="background1" w:themeShade="BF"/>
          <w:right w:val="none" w:sz="0" w:space="0" w:color="auto"/>
          <w:insideH w:val="single" w:sz="8" w:space="0" w:color="BFBFBF" w:themeColor="background1" w:themeShade="BF"/>
        </w:tblBorders>
        <w:tblLayout w:type="fixed"/>
        <w:tblLook w:val="0600" w:firstRow="0" w:lastRow="0" w:firstColumn="0" w:lastColumn="0" w:noHBand="1" w:noVBand="1"/>
        <w:tblCaption w:val="Table"/>
        <w:tblDescription w:val="Listing notations"/>
      </w:tblPr>
      <w:tblGrid>
        <w:gridCol w:w="3153"/>
        <w:gridCol w:w="5873"/>
      </w:tblGrid>
      <w:tr w:rsidR="00687890" w:rsidRPr="004C23F4" w14:paraId="38CADE6C" w14:textId="77777777" w:rsidTr="00812887">
        <w:trPr>
          <w:cantSplit/>
          <w:tblHeader/>
        </w:trPr>
        <w:tc>
          <w:tcPr>
            <w:tcW w:w="3227" w:type="dxa"/>
            <w:shd w:val="clear" w:color="auto" w:fill="BFBFBF" w:themeFill="background1" w:themeFillShade="BF"/>
            <w:vAlign w:val="center"/>
          </w:tcPr>
          <w:p w14:paraId="0DB5588A" w14:textId="77777777" w:rsidR="00687890" w:rsidRPr="004C23F4" w:rsidRDefault="00687890" w:rsidP="00263255">
            <w:pPr>
              <w:pStyle w:val="Tableheader"/>
            </w:pPr>
            <w:bookmarkStart w:id="3" w:name="Notations"/>
            <w:r w:rsidRPr="004C23F4">
              <w:t>Source</w:t>
            </w:r>
          </w:p>
        </w:tc>
        <w:tc>
          <w:tcPr>
            <w:tcW w:w="6015" w:type="dxa"/>
            <w:shd w:val="clear" w:color="auto" w:fill="BFBFBF" w:themeFill="background1" w:themeFillShade="BF"/>
            <w:vAlign w:val="center"/>
          </w:tcPr>
          <w:p w14:paraId="01125EC8" w14:textId="77777777" w:rsidR="00687890" w:rsidRPr="004C23F4" w:rsidRDefault="00687890" w:rsidP="00F4402E">
            <w:pPr>
              <w:pStyle w:val="Tableheader"/>
              <w:tabs>
                <w:tab w:val="right" w:pos="5272"/>
              </w:tabs>
            </w:pPr>
            <w:r w:rsidRPr="004C23F4">
              <w:t>Notations</w:t>
            </w:r>
            <w:r w:rsidR="003A2B94">
              <w:tab/>
            </w:r>
          </w:p>
        </w:tc>
      </w:tr>
      <w:tr w:rsidR="00687890" w:rsidRPr="004C23F4" w14:paraId="4EEF13BB" w14:textId="77777777" w:rsidTr="00812887">
        <w:trPr>
          <w:cantSplit/>
        </w:trPr>
        <w:tc>
          <w:tcPr>
            <w:tcW w:w="3227" w:type="dxa"/>
          </w:tcPr>
          <w:p w14:paraId="59C39ED0" w14:textId="77777777" w:rsidR="004079B4" w:rsidRPr="004C23F4" w:rsidRDefault="00084513" w:rsidP="00F4402E">
            <w:pPr>
              <w:pStyle w:val="Tablefont"/>
            </w:pPr>
            <w:r w:rsidRPr="004C23F4">
              <w:t>SWA</w:t>
            </w:r>
          </w:p>
        </w:tc>
        <w:tc>
          <w:tcPr>
            <w:tcW w:w="6015" w:type="dxa"/>
          </w:tcPr>
          <w:p w14:paraId="40B0851A" w14:textId="677E1E2A" w:rsidR="00687890" w:rsidRPr="00DD2F9B" w:rsidRDefault="00B504D9" w:rsidP="00DD2F9B">
            <w:pPr>
              <w:pStyle w:val="Tablefont"/>
            </w:pPr>
            <w:r>
              <w:t>—</w:t>
            </w:r>
          </w:p>
        </w:tc>
      </w:tr>
      <w:tr w:rsidR="007925F0" w:rsidRPr="004C23F4" w14:paraId="1572FE5B" w14:textId="77777777" w:rsidTr="00812887">
        <w:trPr>
          <w:cantSplit/>
        </w:trPr>
        <w:tc>
          <w:tcPr>
            <w:tcW w:w="3227" w:type="dxa"/>
          </w:tcPr>
          <w:p w14:paraId="44D4CC3E" w14:textId="77777777" w:rsidR="004079B4" w:rsidRPr="004C23F4" w:rsidRDefault="007925F0" w:rsidP="00F4402E">
            <w:pPr>
              <w:pStyle w:val="Tablefont"/>
            </w:pPr>
            <w:r>
              <w:t>HCIS</w:t>
            </w:r>
          </w:p>
        </w:tc>
        <w:tc>
          <w:tcPr>
            <w:tcW w:w="6015" w:type="dxa"/>
          </w:tcPr>
          <w:p w14:paraId="32AC4229" w14:textId="5161EF15" w:rsidR="007925F0" w:rsidRPr="00DD2F9B" w:rsidRDefault="00B504D9" w:rsidP="00DD2F9B">
            <w:pPr>
              <w:pStyle w:val="Tablefont"/>
            </w:pPr>
            <w:r>
              <w:t>—</w:t>
            </w:r>
          </w:p>
        </w:tc>
      </w:tr>
      <w:tr w:rsidR="00AF483F" w:rsidRPr="004C23F4" w14:paraId="5E0E767A" w14:textId="77777777" w:rsidTr="00812887">
        <w:trPr>
          <w:cantSplit/>
        </w:trPr>
        <w:tc>
          <w:tcPr>
            <w:tcW w:w="3227" w:type="dxa"/>
          </w:tcPr>
          <w:p w14:paraId="7794AC44" w14:textId="77777777" w:rsidR="00AF483F" w:rsidRPr="004C23F4" w:rsidRDefault="00AF483F" w:rsidP="00F4402E">
            <w:pPr>
              <w:pStyle w:val="Tablefont"/>
            </w:pPr>
            <w:r>
              <w:t>NICNAS</w:t>
            </w:r>
          </w:p>
        </w:tc>
        <w:tc>
          <w:tcPr>
            <w:tcW w:w="6015" w:type="dxa"/>
          </w:tcPr>
          <w:p w14:paraId="1DA1AA49" w14:textId="63D12589" w:rsidR="00AF483F" w:rsidRPr="00DD2F9B" w:rsidRDefault="00B504D9" w:rsidP="00DD2F9B">
            <w:pPr>
              <w:pStyle w:val="Tablefont"/>
            </w:pPr>
            <w:r>
              <w:t>NA</w:t>
            </w:r>
          </w:p>
        </w:tc>
      </w:tr>
      <w:tr w:rsidR="00687890" w:rsidRPr="004C23F4" w14:paraId="46E65E44" w14:textId="77777777" w:rsidTr="00812887">
        <w:trPr>
          <w:cantSplit/>
        </w:trPr>
        <w:tc>
          <w:tcPr>
            <w:tcW w:w="3227" w:type="dxa"/>
          </w:tcPr>
          <w:p w14:paraId="6BE41CDB" w14:textId="77777777" w:rsidR="004079B4" w:rsidRPr="004C23F4" w:rsidRDefault="00687890" w:rsidP="00F4402E">
            <w:pPr>
              <w:pStyle w:val="Tablefont"/>
            </w:pPr>
            <w:r w:rsidRPr="004C23F4">
              <w:t>EU Annex</w:t>
            </w:r>
          </w:p>
        </w:tc>
        <w:tc>
          <w:tcPr>
            <w:tcW w:w="6015" w:type="dxa"/>
          </w:tcPr>
          <w:p w14:paraId="2933E509" w14:textId="11EF2395" w:rsidR="00687890" w:rsidRPr="00DD2F9B" w:rsidRDefault="00B504D9" w:rsidP="00DD2F9B">
            <w:pPr>
              <w:pStyle w:val="Tablefont"/>
            </w:pPr>
            <w:r>
              <w:t>NA</w:t>
            </w:r>
          </w:p>
        </w:tc>
      </w:tr>
      <w:tr w:rsidR="00E41A26" w:rsidRPr="004C23F4" w14:paraId="08B6A056" w14:textId="77777777" w:rsidTr="00812887">
        <w:trPr>
          <w:cantSplit/>
        </w:trPr>
        <w:tc>
          <w:tcPr>
            <w:tcW w:w="3227" w:type="dxa"/>
          </w:tcPr>
          <w:p w14:paraId="0EBB21EF" w14:textId="77777777" w:rsidR="00E41A26" w:rsidRDefault="00E41A26" w:rsidP="00F4402E">
            <w:pPr>
              <w:pStyle w:val="Tablefont"/>
            </w:pPr>
            <w:r>
              <w:t>ECHA</w:t>
            </w:r>
          </w:p>
        </w:tc>
        <w:tc>
          <w:tcPr>
            <w:tcW w:w="6015" w:type="dxa"/>
          </w:tcPr>
          <w:p w14:paraId="3C118F63" w14:textId="4FBC4688" w:rsidR="00E41A26" w:rsidRPr="00DD2F9B" w:rsidRDefault="00B504D9" w:rsidP="00DD2F9B">
            <w:pPr>
              <w:pStyle w:val="Tablefont"/>
            </w:pPr>
            <w:r>
              <w:t>—</w:t>
            </w:r>
          </w:p>
        </w:tc>
      </w:tr>
      <w:tr w:rsidR="002E0D61" w:rsidRPr="004C23F4" w14:paraId="1BE302EF" w14:textId="77777777" w:rsidTr="00812887">
        <w:trPr>
          <w:cantSplit/>
        </w:trPr>
        <w:tc>
          <w:tcPr>
            <w:tcW w:w="3227" w:type="dxa"/>
          </w:tcPr>
          <w:p w14:paraId="6131AEC6" w14:textId="77777777" w:rsidR="004079B4" w:rsidRPr="004C23F4" w:rsidRDefault="002E0D61" w:rsidP="00F4402E">
            <w:pPr>
              <w:pStyle w:val="Tablefont"/>
            </w:pPr>
            <w:r>
              <w:t>ACGIH</w:t>
            </w:r>
          </w:p>
        </w:tc>
        <w:tc>
          <w:tcPr>
            <w:tcW w:w="6015" w:type="dxa"/>
          </w:tcPr>
          <w:p w14:paraId="4A0AD039" w14:textId="60F61BB5" w:rsidR="002E0D61" w:rsidRPr="00DD2F9B" w:rsidRDefault="00B504D9" w:rsidP="00DD2F9B">
            <w:pPr>
              <w:pStyle w:val="Tablefont"/>
            </w:pPr>
            <w:r>
              <w:t>—</w:t>
            </w:r>
          </w:p>
        </w:tc>
      </w:tr>
      <w:tr w:rsidR="002E0D61" w:rsidRPr="004C23F4" w14:paraId="49498957" w14:textId="77777777" w:rsidTr="00812887">
        <w:trPr>
          <w:cantSplit/>
        </w:trPr>
        <w:tc>
          <w:tcPr>
            <w:tcW w:w="3227" w:type="dxa"/>
          </w:tcPr>
          <w:p w14:paraId="6EF457B3" w14:textId="77777777" w:rsidR="004079B4" w:rsidRPr="004C23F4" w:rsidRDefault="002E0D61" w:rsidP="00F4402E">
            <w:pPr>
              <w:pStyle w:val="Tablefont"/>
            </w:pPr>
            <w:r>
              <w:t>DFG</w:t>
            </w:r>
          </w:p>
        </w:tc>
        <w:tc>
          <w:tcPr>
            <w:tcW w:w="6015" w:type="dxa"/>
          </w:tcPr>
          <w:p w14:paraId="2ED555CE" w14:textId="2CD10612" w:rsidR="002E0D61" w:rsidRPr="00DD2F9B" w:rsidRDefault="00B504D9" w:rsidP="00DD2F9B">
            <w:pPr>
              <w:pStyle w:val="Tablefont"/>
            </w:pPr>
            <w:r>
              <w:t>—</w:t>
            </w:r>
          </w:p>
        </w:tc>
      </w:tr>
      <w:tr w:rsidR="002E0D61" w:rsidRPr="004C23F4" w14:paraId="3B4717C7" w14:textId="77777777" w:rsidTr="00812887">
        <w:trPr>
          <w:cantSplit/>
        </w:trPr>
        <w:tc>
          <w:tcPr>
            <w:tcW w:w="3227" w:type="dxa"/>
          </w:tcPr>
          <w:p w14:paraId="2526AFB7" w14:textId="77777777" w:rsidR="004079B4" w:rsidRPr="004C23F4" w:rsidRDefault="002E0D61" w:rsidP="00F4402E">
            <w:pPr>
              <w:pStyle w:val="Tablefont"/>
            </w:pPr>
            <w:r>
              <w:lastRenderedPageBreak/>
              <w:t>SCOEL</w:t>
            </w:r>
          </w:p>
        </w:tc>
        <w:tc>
          <w:tcPr>
            <w:tcW w:w="6015" w:type="dxa"/>
          </w:tcPr>
          <w:p w14:paraId="582FC28A" w14:textId="4E6E1309" w:rsidR="002E0D61" w:rsidRPr="00DD2F9B" w:rsidRDefault="00866933" w:rsidP="00DD2F9B">
            <w:pPr>
              <w:pStyle w:val="Tablefont"/>
            </w:pPr>
            <w:r>
              <w:t>—</w:t>
            </w:r>
          </w:p>
        </w:tc>
      </w:tr>
      <w:tr w:rsidR="002E0D61" w:rsidRPr="004C23F4" w14:paraId="0414F879" w14:textId="77777777" w:rsidTr="00812887">
        <w:trPr>
          <w:cantSplit/>
        </w:trPr>
        <w:tc>
          <w:tcPr>
            <w:tcW w:w="3227" w:type="dxa"/>
          </w:tcPr>
          <w:p w14:paraId="3167F97F" w14:textId="77777777" w:rsidR="004079B4" w:rsidRDefault="002E0D61" w:rsidP="00F4402E">
            <w:pPr>
              <w:pStyle w:val="Tablefont"/>
            </w:pPr>
            <w:r>
              <w:t>HCOTN</w:t>
            </w:r>
          </w:p>
        </w:tc>
        <w:tc>
          <w:tcPr>
            <w:tcW w:w="6015" w:type="dxa"/>
          </w:tcPr>
          <w:p w14:paraId="7CDB4C8F" w14:textId="513CB58E" w:rsidR="002E0D61" w:rsidRPr="00DD2F9B" w:rsidRDefault="00B504D9" w:rsidP="00DD2F9B">
            <w:pPr>
              <w:pStyle w:val="Tablefont"/>
            </w:pPr>
            <w:r>
              <w:t>NA</w:t>
            </w:r>
          </w:p>
        </w:tc>
      </w:tr>
      <w:tr w:rsidR="00386093" w:rsidRPr="004C23F4" w14:paraId="70966066" w14:textId="77777777" w:rsidTr="00812887">
        <w:trPr>
          <w:cantSplit/>
        </w:trPr>
        <w:tc>
          <w:tcPr>
            <w:tcW w:w="3227" w:type="dxa"/>
          </w:tcPr>
          <w:p w14:paraId="338CEA70" w14:textId="77777777" w:rsidR="004079B4" w:rsidRDefault="00386093" w:rsidP="00F4402E">
            <w:pPr>
              <w:pStyle w:val="Tablefont"/>
            </w:pPr>
            <w:r>
              <w:t>IARC</w:t>
            </w:r>
          </w:p>
        </w:tc>
        <w:tc>
          <w:tcPr>
            <w:tcW w:w="6015" w:type="dxa"/>
          </w:tcPr>
          <w:p w14:paraId="400A922B" w14:textId="3E274F05" w:rsidR="00386093" w:rsidRPr="00DD2F9B" w:rsidRDefault="00B504D9" w:rsidP="00DD2F9B">
            <w:pPr>
              <w:pStyle w:val="Tablefont"/>
            </w:pPr>
            <w:r>
              <w:t>NA</w:t>
            </w:r>
          </w:p>
        </w:tc>
      </w:tr>
      <w:tr w:rsidR="00386093" w:rsidRPr="004C23F4" w14:paraId="55A8D482" w14:textId="77777777" w:rsidTr="00812887">
        <w:trPr>
          <w:cantSplit/>
        </w:trPr>
        <w:tc>
          <w:tcPr>
            <w:tcW w:w="3227" w:type="dxa"/>
          </w:tcPr>
          <w:p w14:paraId="53FD0EA8" w14:textId="77777777" w:rsidR="004079B4" w:rsidRDefault="00386093" w:rsidP="00F4402E">
            <w:pPr>
              <w:pStyle w:val="Tablefont"/>
              <w:keepNext/>
            </w:pPr>
            <w:r>
              <w:t>US NIOSH</w:t>
            </w:r>
          </w:p>
        </w:tc>
        <w:tc>
          <w:tcPr>
            <w:tcW w:w="6015" w:type="dxa"/>
          </w:tcPr>
          <w:p w14:paraId="2E28288F" w14:textId="7DAC1577" w:rsidR="00386093" w:rsidRPr="00DD2F9B" w:rsidRDefault="00B504D9" w:rsidP="00D87570">
            <w:pPr>
              <w:pStyle w:val="Tablefont"/>
              <w:keepNext/>
            </w:pPr>
            <w:r>
              <w:t>NA</w:t>
            </w:r>
          </w:p>
        </w:tc>
      </w:tr>
    </w:tbl>
    <w:bookmarkEnd w:id="3"/>
    <w:p w14:paraId="48ED61E8" w14:textId="77777777" w:rsidR="00485BFD" w:rsidRDefault="00485BFD" w:rsidP="00485BFD">
      <w:pPr>
        <w:pStyle w:val="Tablefooter"/>
      </w:pPr>
      <w:r>
        <w:t>NA = not applicable (a recommendation has not been made by this Agency); —</w:t>
      </w:r>
      <w:r w:rsidR="00D87570">
        <w:t xml:space="preserve"> = the Agency has assessed available data for this chemical but has not recommended any notations</w:t>
      </w:r>
    </w:p>
    <w:p w14:paraId="55D1E396" w14:textId="77777777" w:rsidR="00474E33" w:rsidRDefault="00474E33" w:rsidP="00474E33">
      <w:pPr>
        <w:pStyle w:val="Heading3"/>
      </w:pPr>
      <w:r>
        <w:t>Skin notation assessment</w:t>
      </w:r>
    </w:p>
    <w:tbl>
      <w:tblPr>
        <w:tblStyle w:val="TableGrid"/>
        <w:tblW w:w="5000" w:type="pct"/>
        <w:tblBorders>
          <w:top w:val="single" w:sz="8" w:space="0" w:color="BFBFBF" w:themeColor="background1" w:themeShade="BF"/>
          <w:left w:val="none" w:sz="0" w:space="0" w:color="auto"/>
          <w:bottom w:val="single" w:sz="8" w:space="0" w:color="BFBFBF" w:themeColor="background1" w:themeShade="BF"/>
          <w:right w:val="none" w:sz="0" w:space="0" w:color="auto"/>
          <w:insideH w:val="single" w:sz="8" w:space="0" w:color="BFBFBF" w:themeColor="background1" w:themeShade="BF"/>
          <w:insideV w:val="none" w:sz="0" w:space="0" w:color="auto"/>
        </w:tblBorders>
        <w:tblLook w:val="04A0" w:firstRow="1" w:lastRow="0" w:firstColumn="1" w:lastColumn="0" w:noHBand="0" w:noVBand="1"/>
        <w:tblCaption w:val="Table"/>
        <w:tblDescription w:val="Skin notation assessment calculation"/>
      </w:tblPr>
      <w:tblGrid>
        <w:gridCol w:w="9026"/>
      </w:tblGrid>
      <w:tr w:rsidR="00932DCE" w:rsidRPr="004C23F4" w14:paraId="6A9538DB" w14:textId="77777777" w:rsidTr="00EA6243">
        <w:trPr>
          <w:cantSplit/>
          <w:tblHeader/>
        </w:trPr>
        <w:tc>
          <w:tcPr>
            <w:tcW w:w="5000" w:type="pct"/>
            <w:shd w:val="clear" w:color="auto" w:fill="BFBFBF" w:themeFill="background1" w:themeFillShade="BF"/>
            <w:vAlign w:val="center"/>
          </w:tcPr>
          <w:p w14:paraId="7014D751" w14:textId="77777777" w:rsidR="00932DCE" w:rsidRPr="004C23F4" w:rsidRDefault="00932DCE" w:rsidP="00F4402E">
            <w:pPr>
              <w:pStyle w:val="Tableheader"/>
              <w:keepNext/>
              <w:tabs>
                <w:tab w:val="right" w:pos="8800"/>
              </w:tabs>
            </w:pPr>
            <w:bookmarkStart w:id="4" w:name="SkinNot"/>
            <w:r>
              <w:t>Calculation</w:t>
            </w:r>
            <w:r w:rsidR="00177CA1">
              <w:tab/>
            </w:r>
          </w:p>
        </w:tc>
      </w:tr>
      <w:tr w:rsidR="00932DCE" w:rsidRPr="004C23F4" w14:paraId="68367C71" w14:textId="77777777" w:rsidTr="00EA6243">
        <w:trPr>
          <w:cantSplit/>
          <w:tblHeader/>
        </w:trPr>
        <w:tc>
          <w:tcPr>
            <w:tcW w:w="5000" w:type="pct"/>
            <w:vAlign w:val="center"/>
          </w:tcPr>
          <w:tbl>
            <w:tblPr>
              <w:tblW w:w="8936" w:type="dxa"/>
              <w:tblLook w:val="04A0" w:firstRow="1" w:lastRow="0" w:firstColumn="1" w:lastColumn="0" w:noHBand="0" w:noVBand="1"/>
            </w:tblPr>
            <w:tblGrid>
              <w:gridCol w:w="3664"/>
              <w:gridCol w:w="1081"/>
              <w:gridCol w:w="1081"/>
              <w:gridCol w:w="2984"/>
            </w:tblGrid>
            <w:tr w:rsidR="0094372E" w:rsidRPr="0094372E" w14:paraId="7B71A46A" w14:textId="77777777" w:rsidTr="0094372E">
              <w:trPr>
                <w:trHeight w:val="226"/>
              </w:trPr>
              <w:tc>
                <w:tcPr>
                  <w:tcW w:w="3718" w:type="dxa"/>
                  <w:tcBorders>
                    <w:top w:val="nil"/>
                    <w:left w:val="nil"/>
                    <w:bottom w:val="nil"/>
                    <w:right w:val="nil"/>
                  </w:tcBorders>
                  <w:shd w:val="clear" w:color="000000" w:fill="C5D9F1"/>
                  <w:noWrap/>
                  <w:vAlign w:val="center"/>
                  <w:hideMark/>
                </w:tcPr>
                <w:p w14:paraId="07B72E92" w14:textId="77777777" w:rsidR="0094372E" w:rsidRPr="0094372E" w:rsidRDefault="0094372E" w:rsidP="0094372E">
                  <w:pPr>
                    <w:spacing w:after="0" w:line="240" w:lineRule="auto"/>
                    <w:jc w:val="right"/>
                    <w:rPr>
                      <w:rFonts w:ascii="Segoe UI" w:eastAsia="Times New Roman" w:hAnsi="Segoe UI" w:cs="Segoe UI"/>
                      <w:color w:val="000000"/>
                      <w:sz w:val="18"/>
                      <w:szCs w:val="18"/>
                      <w:lang w:eastAsia="en-AU"/>
                    </w:rPr>
                  </w:pPr>
                  <w:r w:rsidRPr="0094372E">
                    <w:rPr>
                      <w:rFonts w:ascii="Segoe UI" w:eastAsia="Times New Roman" w:hAnsi="Segoe UI" w:cs="Segoe UI"/>
                      <w:color w:val="000000"/>
                      <w:sz w:val="18"/>
                      <w:szCs w:val="18"/>
                      <w:lang w:eastAsia="en-AU"/>
                    </w:rPr>
                    <w:t>Adverse effects in human case study:</w:t>
                  </w:r>
                </w:p>
              </w:tc>
              <w:tc>
                <w:tcPr>
                  <w:tcW w:w="1095" w:type="dxa"/>
                  <w:tcBorders>
                    <w:top w:val="nil"/>
                    <w:left w:val="nil"/>
                    <w:bottom w:val="nil"/>
                    <w:right w:val="nil"/>
                  </w:tcBorders>
                  <w:shd w:val="clear" w:color="000000" w:fill="C5D9F1"/>
                  <w:noWrap/>
                  <w:vAlign w:val="center"/>
                  <w:hideMark/>
                </w:tcPr>
                <w:p w14:paraId="1982462C" w14:textId="77777777" w:rsidR="0094372E" w:rsidRPr="0094372E" w:rsidRDefault="0094372E" w:rsidP="0094372E">
                  <w:pPr>
                    <w:spacing w:after="0" w:line="240" w:lineRule="auto"/>
                    <w:jc w:val="center"/>
                    <w:rPr>
                      <w:rFonts w:ascii="Segoe UI" w:eastAsia="Times New Roman" w:hAnsi="Segoe UI" w:cs="Segoe UI"/>
                      <w:color w:val="000000"/>
                      <w:sz w:val="18"/>
                      <w:szCs w:val="18"/>
                      <w:lang w:eastAsia="en-AU"/>
                    </w:rPr>
                  </w:pPr>
                  <w:r w:rsidRPr="0094372E">
                    <w:rPr>
                      <w:rFonts w:ascii="Segoe UI" w:eastAsia="Times New Roman" w:hAnsi="Segoe UI" w:cs="Segoe UI"/>
                      <w:color w:val="000000"/>
                      <w:sz w:val="18"/>
                      <w:szCs w:val="18"/>
                      <w:lang w:eastAsia="en-AU"/>
                    </w:rPr>
                    <w:t> </w:t>
                  </w:r>
                </w:p>
              </w:tc>
              <w:tc>
                <w:tcPr>
                  <w:tcW w:w="1095" w:type="dxa"/>
                  <w:tcBorders>
                    <w:top w:val="nil"/>
                    <w:left w:val="nil"/>
                    <w:bottom w:val="nil"/>
                    <w:right w:val="nil"/>
                  </w:tcBorders>
                  <w:shd w:val="clear" w:color="000000" w:fill="C5D9F1"/>
                  <w:noWrap/>
                  <w:vAlign w:val="center"/>
                  <w:hideMark/>
                </w:tcPr>
                <w:p w14:paraId="35CAC320" w14:textId="77777777" w:rsidR="0094372E" w:rsidRPr="0094372E" w:rsidRDefault="0094372E" w:rsidP="0094372E">
                  <w:pPr>
                    <w:spacing w:after="0" w:line="240" w:lineRule="auto"/>
                    <w:rPr>
                      <w:rFonts w:ascii="Segoe UI" w:eastAsia="Times New Roman" w:hAnsi="Segoe UI" w:cs="Segoe UI"/>
                      <w:color w:val="C5D9F1"/>
                      <w:sz w:val="18"/>
                      <w:szCs w:val="18"/>
                      <w:lang w:eastAsia="en-AU"/>
                    </w:rPr>
                  </w:pPr>
                  <w:r w:rsidRPr="0094372E">
                    <w:rPr>
                      <w:rFonts w:ascii="Segoe UI" w:eastAsia="Times New Roman" w:hAnsi="Segoe UI" w:cs="Segoe UI"/>
                      <w:color w:val="C5D9F1"/>
                      <w:sz w:val="18"/>
                      <w:szCs w:val="18"/>
                      <w:lang w:eastAsia="en-AU"/>
                    </w:rPr>
                    <w:t> </w:t>
                  </w:r>
                </w:p>
              </w:tc>
              <w:tc>
                <w:tcPr>
                  <w:tcW w:w="3028" w:type="dxa"/>
                  <w:tcBorders>
                    <w:top w:val="nil"/>
                    <w:left w:val="nil"/>
                    <w:bottom w:val="nil"/>
                    <w:right w:val="nil"/>
                  </w:tcBorders>
                  <w:shd w:val="clear" w:color="000000" w:fill="C5D9F1"/>
                  <w:noWrap/>
                  <w:vAlign w:val="center"/>
                  <w:hideMark/>
                </w:tcPr>
                <w:p w14:paraId="3EAC84DB" w14:textId="77777777" w:rsidR="0094372E" w:rsidRPr="0094372E" w:rsidRDefault="0094372E" w:rsidP="0094372E">
                  <w:pPr>
                    <w:spacing w:after="0" w:line="240" w:lineRule="auto"/>
                    <w:rPr>
                      <w:rFonts w:ascii="Segoe UI" w:eastAsia="Times New Roman" w:hAnsi="Segoe UI" w:cs="Segoe UI"/>
                      <w:color w:val="000000"/>
                      <w:sz w:val="18"/>
                      <w:szCs w:val="18"/>
                      <w:lang w:eastAsia="en-AU"/>
                    </w:rPr>
                  </w:pPr>
                  <w:r w:rsidRPr="0094372E">
                    <w:rPr>
                      <w:rFonts w:ascii="Segoe UI" w:eastAsia="Times New Roman" w:hAnsi="Segoe UI" w:cs="Segoe UI"/>
                      <w:color w:val="000000"/>
                      <w:sz w:val="18"/>
                      <w:szCs w:val="18"/>
                      <w:lang w:eastAsia="en-AU"/>
                    </w:rPr>
                    <w:t> </w:t>
                  </w:r>
                </w:p>
              </w:tc>
            </w:tr>
            <w:tr w:rsidR="0094372E" w:rsidRPr="0094372E" w14:paraId="49FF415E" w14:textId="77777777" w:rsidTr="0094372E">
              <w:trPr>
                <w:trHeight w:val="226"/>
              </w:trPr>
              <w:tc>
                <w:tcPr>
                  <w:tcW w:w="3718" w:type="dxa"/>
                  <w:tcBorders>
                    <w:top w:val="nil"/>
                    <w:left w:val="nil"/>
                    <w:bottom w:val="nil"/>
                    <w:right w:val="nil"/>
                  </w:tcBorders>
                  <w:shd w:val="clear" w:color="000000" w:fill="C5D9F1"/>
                  <w:noWrap/>
                  <w:vAlign w:val="center"/>
                  <w:hideMark/>
                </w:tcPr>
                <w:p w14:paraId="51BD7510" w14:textId="77777777" w:rsidR="0094372E" w:rsidRPr="0094372E" w:rsidRDefault="0094372E" w:rsidP="0094372E">
                  <w:pPr>
                    <w:spacing w:after="0" w:line="240" w:lineRule="auto"/>
                    <w:jc w:val="right"/>
                    <w:rPr>
                      <w:rFonts w:ascii="Segoe UI" w:eastAsia="Times New Roman" w:hAnsi="Segoe UI" w:cs="Segoe UI"/>
                      <w:color w:val="000000"/>
                      <w:sz w:val="18"/>
                      <w:szCs w:val="18"/>
                      <w:lang w:eastAsia="en-AU"/>
                    </w:rPr>
                  </w:pPr>
                  <w:r w:rsidRPr="0094372E">
                    <w:rPr>
                      <w:rFonts w:ascii="Segoe UI" w:eastAsia="Times New Roman" w:hAnsi="Segoe UI" w:cs="Segoe UI"/>
                      <w:color w:val="000000"/>
                      <w:sz w:val="18"/>
                      <w:szCs w:val="18"/>
                      <w:lang w:eastAsia="en-AU"/>
                    </w:rPr>
                    <w:t>Dermal LD</w:t>
                  </w:r>
                  <w:r w:rsidRPr="0094372E">
                    <w:rPr>
                      <w:rFonts w:ascii="Segoe UI" w:eastAsia="Times New Roman" w:hAnsi="Segoe UI" w:cs="Segoe UI"/>
                      <w:color w:val="000000"/>
                      <w:sz w:val="18"/>
                      <w:szCs w:val="18"/>
                      <w:vertAlign w:val="subscript"/>
                      <w:lang w:eastAsia="en-AU"/>
                    </w:rPr>
                    <w:t>50</w:t>
                  </w:r>
                  <w:r w:rsidRPr="0094372E">
                    <w:rPr>
                      <w:rFonts w:ascii="Segoe UI" w:eastAsia="Times New Roman" w:hAnsi="Segoe UI" w:cs="Segoe UI"/>
                      <w:color w:val="000000"/>
                      <w:sz w:val="18"/>
                      <w:szCs w:val="18"/>
                      <w:lang w:eastAsia="en-AU"/>
                    </w:rPr>
                    <w:t xml:space="preserve"> ≤1000 mg/kg:</w:t>
                  </w:r>
                </w:p>
              </w:tc>
              <w:tc>
                <w:tcPr>
                  <w:tcW w:w="1095" w:type="dxa"/>
                  <w:tcBorders>
                    <w:top w:val="nil"/>
                    <w:left w:val="nil"/>
                    <w:bottom w:val="nil"/>
                    <w:right w:val="nil"/>
                  </w:tcBorders>
                  <w:shd w:val="clear" w:color="000000" w:fill="C5D9F1"/>
                  <w:noWrap/>
                  <w:vAlign w:val="center"/>
                  <w:hideMark/>
                </w:tcPr>
                <w:p w14:paraId="6C40B8B5" w14:textId="77777777" w:rsidR="0094372E" w:rsidRPr="0094372E" w:rsidRDefault="0094372E" w:rsidP="0094372E">
                  <w:pPr>
                    <w:spacing w:after="0" w:line="240" w:lineRule="auto"/>
                    <w:jc w:val="center"/>
                    <w:rPr>
                      <w:rFonts w:ascii="Segoe UI" w:eastAsia="Times New Roman" w:hAnsi="Segoe UI" w:cs="Segoe UI"/>
                      <w:color w:val="000000"/>
                      <w:sz w:val="18"/>
                      <w:szCs w:val="18"/>
                      <w:lang w:eastAsia="en-AU"/>
                    </w:rPr>
                  </w:pPr>
                  <w:r w:rsidRPr="0094372E">
                    <w:rPr>
                      <w:rFonts w:ascii="Segoe UI" w:eastAsia="Times New Roman" w:hAnsi="Segoe UI" w:cs="Segoe UI"/>
                      <w:color w:val="000000"/>
                      <w:sz w:val="18"/>
                      <w:szCs w:val="18"/>
                      <w:lang w:eastAsia="en-AU"/>
                    </w:rPr>
                    <w:t>no</w:t>
                  </w:r>
                </w:p>
              </w:tc>
              <w:tc>
                <w:tcPr>
                  <w:tcW w:w="1095" w:type="dxa"/>
                  <w:tcBorders>
                    <w:top w:val="nil"/>
                    <w:left w:val="nil"/>
                    <w:bottom w:val="nil"/>
                    <w:right w:val="nil"/>
                  </w:tcBorders>
                  <w:shd w:val="clear" w:color="000000" w:fill="C5D9F1"/>
                  <w:noWrap/>
                  <w:vAlign w:val="center"/>
                  <w:hideMark/>
                </w:tcPr>
                <w:p w14:paraId="09FAE60D" w14:textId="77777777" w:rsidR="0094372E" w:rsidRPr="0094372E" w:rsidRDefault="0094372E" w:rsidP="0094372E">
                  <w:pPr>
                    <w:spacing w:after="0" w:line="240" w:lineRule="auto"/>
                    <w:rPr>
                      <w:rFonts w:ascii="Segoe UI" w:eastAsia="Times New Roman" w:hAnsi="Segoe UI" w:cs="Segoe UI"/>
                      <w:color w:val="C5D9F1"/>
                      <w:sz w:val="18"/>
                      <w:szCs w:val="18"/>
                      <w:lang w:eastAsia="en-AU"/>
                    </w:rPr>
                  </w:pPr>
                  <w:r w:rsidRPr="0094372E">
                    <w:rPr>
                      <w:rFonts w:ascii="Segoe UI" w:eastAsia="Times New Roman" w:hAnsi="Segoe UI" w:cs="Segoe UI"/>
                      <w:color w:val="C5D9F1"/>
                      <w:sz w:val="18"/>
                      <w:szCs w:val="18"/>
                      <w:lang w:eastAsia="en-AU"/>
                    </w:rPr>
                    <w:t> </w:t>
                  </w:r>
                </w:p>
              </w:tc>
              <w:tc>
                <w:tcPr>
                  <w:tcW w:w="3028" w:type="dxa"/>
                  <w:tcBorders>
                    <w:top w:val="nil"/>
                    <w:left w:val="nil"/>
                    <w:bottom w:val="nil"/>
                    <w:right w:val="nil"/>
                  </w:tcBorders>
                  <w:shd w:val="clear" w:color="000000" w:fill="C5D9F1"/>
                  <w:noWrap/>
                  <w:vAlign w:val="center"/>
                  <w:hideMark/>
                </w:tcPr>
                <w:p w14:paraId="79584295" w14:textId="77777777" w:rsidR="0094372E" w:rsidRPr="0094372E" w:rsidRDefault="0094372E" w:rsidP="0094372E">
                  <w:pPr>
                    <w:spacing w:after="0" w:line="240" w:lineRule="auto"/>
                    <w:rPr>
                      <w:rFonts w:ascii="Segoe UI" w:eastAsia="Times New Roman" w:hAnsi="Segoe UI" w:cs="Segoe UI"/>
                      <w:color w:val="000000"/>
                      <w:sz w:val="18"/>
                      <w:szCs w:val="18"/>
                      <w:lang w:eastAsia="en-AU"/>
                    </w:rPr>
                  </w:pPr>
                  <w:r w:rsidRPr="0094372E">
                    <w:rPr>
                      <w:rFonts w:ascii="Segoe UI" w:eastAsia="Times New Roman" w:hAnsi="Segoe UI" w:cs="Segoe UI"/>
                      <w:color w:val="000000"/>
                      <w:sz w:val="18"/>
                      <w:szCs w:val="18"/>
                      <w:lang w:eastAsia="en-AU"/>
                    </w:rPr>
                    <w:t> </w:t>
                  </w:r>
                </w:p>
              </w:tc>
            </w:tr>
            <w:tr w:rsidR="0094372E" w:rsidRPr="0094372E" w14:paraId="4F2A6928" w14:textId="77777777" w:rsidTr="0094372E">
              <w:trPr>
                <w:trHeight w:val="226"/>
              </w:trPr>
              <w:tc>
                <w:tcPr>
                  <w:tcW w:w="3718" w:type="dxa"/>
                  <w:tcBorders>
                    <w:top w:val="nil"/>
                    <w:left w:val="nil"/>
                    <w:bottom w:val="nil"/>
                    <w:right w:val="nil"/>
                  </w:tcBorders>
                  <w:shd w:val="clear" w:color="000000" w:fill="C5D9F1"/>
                  <w:noWrap/>
                  <w:vAlign w:val="center"/>
                  <w:hideMark/>
                </w:tcPr>
                <w:p w14:paraId="607B9B13" w14:textId="77777777" w:rsidR="0094372E" w:rsidRPr="0094372E" w:rsidRDefault="0094372E" w:rsidP="0094372E">
                  <w:pPr>
                    <w:spacing w:after="0" w:line="240" w:lineRule="auto"/>
                    <w:jc w:val="right"/>
                    <w:rPr>
                      <w:rFonts w:ascii="Segoe UI" w:eastAsia="Times New Roman" w:hAnsi="Segoe UI" w:cs="Segoe UI"/>
                      <w:color w:val="000000"/>
                      <w:sz w:val="18"/>
                      <w:szCs w:val="18"/>
                      <w:lang w:eastAsia="en-AU"/>
                    </w:rPr>
                  </w:pPr>
                  <w:r w:rsidRPr="0094372E">
                    <w:rPr>
                      <w:rFonts w:ascii="Segoe UI" w:eastAsia="Times New Roman" w:hAnsi="Segoe UI" w:cs="Segoe UI"/>
                      <w:color w:val="000000"/>
                      <w:sz w:val="18"/>
                      <w:szCs w:val="18"/>
                      <w:lang w:eastAsia="en-AU"/>
                    </w:rPr>
                    <w:t>Dermal repeat-dose NOAEL ≤200 mg/kg:</w:t>
                  </w:r>
                </w:p>
              </w:tc>
              <w:tc>
                <w:tcPr>
                  <w:tcW w:w="1095" w:type="dxa"/>
                  <w:tcBorders>
                    <w:top w:val="nil"/>
                    <w:left w:val="nil"/>
                    <w:bottom w:val="nil"/>
                    <w:right w:val="nil"/>
                  </w:tcBorders>
                  <w:shd w:val="clear" w:color="000000" w:fill="C5D9F1"/>
                  <w:noWrap/>
                  <w:vAlign w:val="center"/>
                  <w:hideMark/>
                </w:tcPr>
                <w:p w14:paraId="00F8FF46" w14:textId="77777777" w:rsidR="0094372E" w:rsidRPr="0094372E" w:rsidRDefault="0094372E" w:rsidP="0094372E">
                  <w:pPr>
                    <w:spacing w:after="0" w:line="240" w:lineRule="auto"/>
                    <w:jc w:val="center"/>
                    <w:rPr>
                      <w:rFonts w:ascii="Segoe UI" w:eastAsia="Times New Roman" w:hAnsi="Segoe UI" w:cs="Segoe UI"/>
                      <w:color w:val="000000"/>
                      <w:sz w:val="18"/>
                      <w:szCs w:val="18"/>
                      <w:lang w:eastAsia="en-AU"/>
                    </w:rPr>
                  </w:pPr>
                  <w:r w:rsidRPr="0094372E">
                    <w:rPr>
                      <w:rFonts w:ascii="Segoe UI" w:eastAsia="Times New Roman" w:hAnsi="Segoe UI" w:cs="Segoe UI"/>
                      <w:color w:val="000000"/>
                      <w:sz w:val="18"/>
                      <w:szCs w:val="18"/>
                      <w:lang w:eastAsia="en-AU"/>
                    </w:rPr>
                    <w:t> </w:t>
                  </w:r>
                </w:p>
              </w:tc>
              <w:tc>
                <w:tcPr>
                  <w:tcW w:w="1095" w:type="dxa"/>
                  <w:tcBorders>
                    <w:top w:val="nil"/>
                    <w:left w:val="nil"/>
                    <w:bottom w:val="nil"/>
                    <w:right w:val="nil"/>
                  </w:tcBorders>
                  <w:shd w:val="clear" w:color="000000" w:fill="C5D9F1"/>
                  <w:noWrap/>
                  <w:vAlign w:val="center"/>
                  <w:hideMark/>
                </w:tcPr>
                <w:p w14:paraId="6B65CBF6" w14:textId="77777777" w:rsidR="0094372E" w:rsidRPr="0094372E" w:rsidRDefault="0094372E" w:rsidP="0094372E">
                  <w:pPr>
                    <w:spacing w:after="0" w:line="240" w:lineRule="auto"/>
                    <w:rPr>
                      <w:rFonts w:ascii="Segoe UI" w:eastAsia="Times New Roman" w:hAnsi="Segoe UI" w:cs="Segoe UI"/>
                      <w:color w:val="C5D9F1"/>
                      <w:sz w:val="18"/>
                      <w:szCs w:val="18"/>
                      <w:lang w:eastAsia="en-AU"/>
                    </w:rPr>
                  </w:pPr>
                  <w:r w:rsidRPr="0094372E">
                    <w:rPr>
                      <w:rFonts w:ascii="Segoe UI" w:eastAsia="Times New Roman" w:hAnsi="Segoe UI" w:cs="Segoe UI"/>
                      <w:color w:val="C5D9F1"/>
                      <w:sz w:val="18"/>
                      <w:szCs w:val="18"/>
                      <w:lang w:eastAsia="en-AU"/>
                    </w:rPr>
                    <w:t> </w:t>
                  </w:r>
                </w:p>
              </w:tc>
              <w:tc>
                <w:tcPr>
                  <w:tcW w:w="3028" w:type="dxa"/>
                  <w:tcBorders>
                    <w:top w:val="nil"/>
                    <w:left w:val="nil"/>
                    <w:bottom w:val="nil"/>
                    <w:right w:val="nil"/>
                  </w:tcBorders>
                  <w:shd w:val="clear" w:color="000000" w:fill="C5D9F1"/>
                  <w:noWrap/>
                  <w:vAlign w:val="center"/>
                  <w:hideMark/>
                </w:tcPr>
                <w:p w14:paraId="3B4E8AAA" w14:textId="77777777" w:rsidR="0094372E" w:rsidRPr="0094372E" w:rsidRDefault="0094372E" w:rsidP="0094372E">
                  <w:pPr>
                    <w:spacing w:after="0" w:line="240" w:lineRule="auto"/>
                    <w:rPr>
                      <w:rFonts w:ascii="Segoe UI" w:eastAsia="Times New Roman" w:hAnsi="Segoe UI" w:cs="Segoe UI"/>
                      <w:color w:val="000000"/>
                      <w:sz w:val="18"/>
                      <w:szCs w:val="18"/>
                      <w:lang w:eastAsia="en-AU"/>
                    </w:rPr>
                  </w:pPr>
                  <w:r w:rsidRPr="0094372E">
                    <w:rPr>
                      <w:rFonts w:ascii="Segoe UI" w:eastAsia="Times New Roman" w:hAnsi="Segoe UI" w:cs="Segoe UI"/>
                      <w:color w:val="000000"/>
                      <w:sz w:val="18"/>
                      <w:szCs w:val="18"/>
                      <w:lang w:eastAsia="en-AU"/>
                    </w:rPr>
                    <w:t> </w:t>
                  </w:r>
                </w:p>
              </w:tc>
            </w:tr>
            <w:tr w:rsidR="0094372E" w:rsidRPr="0094372E" w14:paraId="2AB5CD2E" w14:textId="77777777" w:rsidTr="0094372E">
              <w:trPr>
                <w:trHeight w:val="226"/>
              </w:trPr>
              <w:tc>
                <w:tcPr>
                  <w:tcW w:w="3718" w:type="dxa"/>
                  <w:tcBorders>
                    <w:top w:val="nil"/>
                    <w:left w:val="nil"/>
                    <w:bottom w:val="nil"/>
                    <w:right w:val="nil"/>
                  </w:tcBorders>
                  <w:shd w:val="clear" w:color="000000" w:fill="C5D9F1"/>
                  <w:noWrap/>
                  <w:vAlign w:val="center"/>
                  <w:hideMark/>
                </w:tcPr>
                <w:p w14:paraId="291115B9" w14:textId="77777777" w:rsidR="0094372E" w:rsidRPr="0094372E" w:rsidRDefault="0094372E" w:rsidP="0094372E">
                  <w:pPr>
                    <w:spacing w:after="0" w:line="240" w:lineRule="auto"/>
                    <w:jc w:val="right"/>
                    <w:rPr>
                      <w:rFonts w:ascii="Segoe UI" w:eastAsia="Times New Roman" w:hAnsi="Segoe UI" w:cs="Segoe UI"/>
                      <w:color w:val="000000"/>
                      <w:sz w:val="18"/>
                      <w:szCs w:val="18"/>
                      <w:lang w:eastAsia="en-AU"/>
                    </w:rPr>
                  </w:pPr>
                  <w:r w:rsidRPr="0094372E">
                    <w:rPr>
                      <w:rFonts w:ascii="Segoe UI" w:eastAsia="Times New Roman" w:hAnsi="Segoe UI" w:cs="Segoe UI"/>
                      <w:color w:val="000000"/>
                      <w:sz w:val="18"/>
                      <w:szCs w:val="18"/>
                      <w:lang w:eastAsia="en-AU"/>
                    </w:rPr>
                    <w:t>Dermal LD</w:t>
                  </w:r>
                  <w:r w:rsidRPr="0094372E">
                    <w:rPr>
                      <w:rFonts w:ascii="Segoe UI" w:eastAsia="Times New Roman" w:hAnsi="Segoe UI" w:cs="Segoe UI"/>
                      <w:color w:val="000000"/>
                      <w:sz w:val="18"/>
                      <w:szCs w:val="18"/>
                      <w:vertAlign w:val="subscript"/>
                      <w:lang w:eastAsia="en-AU"/>
                    </w:rPr>
                    <w:t>50</w:t>
                  </w:r>
                  <w:r w:rsidRPr="0094372E">
                    <w:rPr>
                      <w:rFonts w:ascii="Segoe UI" w:eastAsia="Times New Roman" w:hAnsi="Segoe UI" w:cs="Segoe UI"/>
                      <w:color w:val="000000"/>
                      <w:sz w:val="18"/>
                      <w:szCs w:val="18"/>
                      <w:lang w:eastAsia="en-AU"/>
                    </w:rPr>
                    <w:t>/Inhalation LD</w:t>
                  </w:r>
                  <w:r w:rsidRPr="0094372E">
                    <w:rPr>
                      <w:rFonts w:ascii="Segoe UI" w:eastAsia="Times New Roman" w:hAnsi="Segoe UI" w:cs="Segoe UI"/>
                      <w:color w:val="000000"/>
                      <w:sz w:val="18"/>
                      <w:szCs w:val="18"/>
                      <w:vertAlign w:val="subscript"/>
                      <w:lang w:eastAsia="en-AU"/>
                    </w:rPr>
                    <w:t>50</w:t>
                  </w:r>
                  <w:r w:rsidRPr="0094372E">
                    <w:rPr>
                      <w:rFonts w:ascii="Segoe UI" w:eastAsia="Times New Roman" w:hAnsi="Segoe UI" w:cs="Segoe UI"/>
                      <w:color w:val="000000"/>
                      <w:sz w:val="18"/>
                      <w:szCs w:val="18"/>
                      <w:lang w:eastAsia="en-AU"/>
                    </w:rPr>
                    <w:t xml:space="preserve"> &lt;10:</w:t>
                  </w:r>
                </w:p>
              </w:tc>
              <w:tc>
                <w:tcPr>
                  <w:tcW w:w="1095" w:type="dxa"/>
                  <w:tcBorders>
                    <w:top w:val="nil"/>
                    <w:left w:val="nil"/>
                    <w:bottom w:val="nil"/>
                    <w:right w:val="nil"/>
                  </w:tcBorders>
                  <w:shd w:val="clear" w:color="000000" w:fill="C5D9F1"/>
                  <w:noWrap/>
                  <w:vAlign w:val="center"/>
                  <w:hideMark/>
                </w:tcPr>
                <w:p w14:paraId="0F7B2D28" w14:textId="77777777" w:rsidR="0094372E" w:rsidRPr="0094372E" w:rsidRDefault="0094372E" w:rsidP="0094372E">
                  <w:pPr>
                    <w:spacing w:after="0" w:line="240" w:lineRule="auto"/>
                    <w:jc w:val="center"/>
                    <w:rPr>
                      <w:rFonts w:ascii="Segoe UI" w:eastAsia="Times New Roman" w:hAnsi="Segoe UI" w:cs="Segoe UI"/>
                      <w:color w:val="000000"/>
                      <w:sz w:val="18"/>
                      <w:szCs w:val="18"/>
                      <w:lang w:eastAsia="en-AU"/>
                    </w:rPr>
                  </w:pPr>
                  <w:r w:rsidRPr="0094372E">
                    <w:rPr>
                      <w:rFonts w:ascii="Segoe UI" w:eastAsia="Times New Roman" w:hAnsi="Segoe UI" w:cs="Segoe UI"/>
                      <w:color w:val="000000"/>
                      <w:sz w:val="18"/>
                      <w:szCs w:val="18"/>
                      <w:lang w:eastAsia="en-AU"/>
                    </w:rPr>
                    <w:t> </w:t>
                  </w:r>
                </w:p>
              </w:tc>
              <w:tc>
                <w:tcPr>
                  <w:tcW w:w="1095" w:type="dxa"/>
                  <w:tcBorders>
                    <w:top w:val="nil"/>
                    <w:left w:val="nil"/>
                    <w:bottom w:val="nil"/>
                    <w:right w:val="nil"/>
                  </w:tcBorders>
                  <w:shd w:val="clear" w:color="000000" w:fill="C5D9F1"/>
                  <w:noWrap/>
                  <w:vAlign w:val="center"/>
                  <w:hideMark/>
                </w:tcPr>
                <w:p w14:paraId="03800DEF" w14:textId="77777777" w:rsidR="0094372E" w:rsidRPr="0094372E" w:rsidRDefault="0094372E" w:rsidP="0094372E">
                  <w:pPr>
                    <w:spacing w:after="0" w:line="240" w:lineRule="auto"/>
                    <w:rPr>
                      <w:rFonts w:ascii="Segoe UI" w:eastAsia="Times New Roman" w:hAnsi="Segoe UI" w:cs="Segoe UI"/>
                      <w:color w:val="C5D9F1"/>
                      <w:sz w:val="18"/>
                      <w:szCs w:val="18"/>
                      <w:lang w:eastAsia="en-AU"/>
                    </w:rPr>
                  </w:pPr>
                  <w:r w:rsidRPr="0094372E">
                    <w:rPr>
                      <w:rFonts w:ascii="Segoe UI" w:eastAsia="Times New Roman" w:hAnsi="Segoe UI" w:cs="Segoe UI"/>
                      <w:color w:val="C5D9F1"/>
                      <w:sz w:val="18"/>
                      <w:szCs w:val="18"/>
                      <w:lang w:eastAsia="en-AU"/>
                    </w:rPr>
                    <w:t> </w:t>
                  </w:r>
                </w:p>
              </w:tc>
              <w:tc>
                <w:tcPr>
                  <w:tcW w:w="3028" w:type="dxa"/>
                  <w:tcBorders>
                    <w:top w:val="nil"/>
                    <w:left w:val="nil"/>
                    <w:bottom w:val="nil"/>
                    <w:right w:val="nil"/>
                  </w:tcBorders>
                  <w:shd w:val="clear" w:color="000000" w:fill="C5D9F1"/>
                  <w:noWrap/>
                  <w:vAlign w:val="center"/>
                  <w:hideMark/>
                </w:tcPr>
                <w:p w14:paraId="62A3385A" w14:textId="77777777" w:rsidR="0094372E" w:rsidRPr="0094372E" w:rsidRDefault="0094372E" w:rsidP="0094372E">
                  <w:pPr>
                    <w:spacing w:after="0" w:line="240" w:lineRule="auto"/>
                    <w:rPr>
                      <w:rFonts w:ascii="Segoe UI" w:eastAsia="Times New Roman" w:hAnsi="Segoe UI" w:cs="Segoe UI"/>
                      <w:color w:val="000000"/>
                      <w:sz w:val="18"/>
                      <w:szCs w:val="18"/>
                      <w:lang w:eastAsia="en-AU"/>
                    </w:rPr>
                  </w:pPr>
                  <w:r w:rsidRPr="0094372E">
                    <w:rPr>
                      <w:rFonts w:ascii="Segoe UI" w:eastAsia="Times New Roman" w:hAnsi="Segoe UI" w:cs="Segoe UI"/>
                      <w:color w:val="000000"/>
                      <w:sz w:val="18"/>
                      <w:szCs w:val="18"/>
                      <w:lang w:eastAsia="en-AU"/>
                    </w:rPr>
                    <w:t> </w:t>
                  </w:r>
                </w:p>
              </w:tc>
            </w:tr>
            <w:tr w:rsidR="0094372E" w:rsidRPr="0094372E" w14:paraId="693A0A92" w14:textId="77777777" w:rsidTr="0094372E">
              <w:trPr>
                <w:trHeight w:val="226"/>
              </w:trPr>
              <w:tc>
                <w:tcPr>
                  <w:tcW w:w="3718" w:type="dxa"/>
                  <w:tcBorders>
                    <w:top w:val="nil"/>
                    <w:left w:val="nil"/>
                    <w:bottom w:val="nil"/>
                    <w:right w:val="nil"/>
                  </w:tcBorders>
                  <w:shd w:val="clear" w:color="000000" w:fill="C5D9F1"/>
                  <w:noWrap/>
                  <w:vAlign w:val="center"/>
                  <w:hideMark/>
                </w:tcPr>
                <w:p w14:paraId="1B8D3A8D" w14:textId="77777777" w:rsidR="0094372E" w:rsidRPr="0094372E" w:rsidRDefault="0094372E" w:rsidP="0094372E">
                  <w:pPr>
                    <w:spacing w:after="0" w:line="240" w:lineRule="auto"/>
                    <w:jc w:val="right"/>
                    <w:rPr>
                      <w:rFonts w:ascii="Segoe UI" w:eastAsia="Times New Roman" w:hAnsi="Segoe UI" w:cs="Segoe UI"/>
                      <w:i/>
                      <w:iCs/>
                      <w:color w:val="000000"/>
                      <w:sz w:val="18"/>
                      <w:szCs w:val="18"/>
                      <w:lang w:eastAsia="en-AU"/>
                    </w:rPr>
                  </w:pPr>
                  <w:r w:rsidRPr="0094372E">
                    <w:rPr>
                      <w:rFonts w:ascii="Segoe UI" w:eastAsia="Times New Roman" w:hAnsi="Segoe UI" w:cs="Segoe UI"/>
                      <w:i/>
                      <w:iCs/>
                      <w:color w:val="000000"/>
                      <w:sz w:val="18"/>
                      <w:szCs w:val="18"/>
                      <w:lang w:eastAsia="en-AU"/>
                    </w:rPr>
                    <w:t>In vivo</w:t>
                  </w:r>
                  <w:r w:rsidRPr="0094372E">
                    <w:rPr>
                      <w:rFonts w:ascii="Segoe UI" w:eastAsia="Times New Roman" w:hAnsi="Segoe UI" w:cs="Segoe UI"/>
                      <w:color w:val="000000"/>
                      <w:sz w:val="18"/>
                      <w:szCs w:val="18"/>
                      <w:lang w:eastAsia="en-AU"/>
                    </w:rPr>
                    <w:t xml:space="preserve"> dermal absorption rate &gt;10%:</w:t>
                  </w:r>
                </w:p>
              </w:tc>
              <w:tc>
                <w:tcPr>
                  <w:tcW w:w="1095" w:type="dxa"/>
                  <w:tcBorders>
                    <w:top w:val="nil"/>
                    <w:left w:val="nil"/>
                    <w:bottom w:val="nil"/>
                    <w:right w:val="nil"/>
                  </w:tcBorders>
                  <w:shd w:val="clear" w:color="000000" w:fill="C5D9F1"/>
                  <w:noWrap/>
                  <w:vAlign w:val="center"/>
                  <w:hideMark/>
                </w:tcPr>
                <w:p w14:paraId="140BE8B9" w14:textId="77777777" w:rsidR="0094372E" w:rsidRPr="0094372E" w:rsidRDefault="0094372E" w:rsidP="0094372E">
                  <w:pPr>
                    <w:spacing w:after="0" w:line="240" w:lineRule="auto"/>
                    <w:jc w:val="center"/>
                    <w:rPr>
                      <w:rFonts w:ascii="Segoe UI" w:eastAsia="Times New Roman" w:hAnsi="Segoe UI" w:cs="Segoe UI"/>
                      <w:color w:val="000000"/>
                      <w:sz w:val="18"/>
                      <w:szCs w:val="18"/>
                      <w:lang w:eastAsia="en-AU"/>
                    </w:rPr>
                  </w:pPr>
                  <w:r w:rsidRPr="0094372E">
                    <w:rPr>
                      <w:rFonts w:ascii="Segoe UI" w:eastAsia="Times New Roman" w:hAnsi="Segoe UI" w:cs="Segoe UI"/>
                      <w:color w:val="000000"/>
                      <w:sz w:val="18"/>
                      <w:szCs w:val="18"/>
                      <w:lang w:eastAsia="en-AU"/>
                    </w:rPr>
                    <w:t>no</w:t>
                  </w:r>
                </w:p>
              </w:tc>
              <w:tc>
                <w:tcPr>
                  <w:tcW w:w="1095" w:type="dxa"/>
                  <w:tcBorders>
                    <w:top w:val="nil"/>
                    <w:left w:val="nil"/>
                    <w:bottom w:val="nil"/>
                    <w:right w:val="nil"/>
                  </w:tcBorders>
                  <w:shd w:val="clear" w:color="000000" w:fill="C5D9F1"/>
                  <w:noWrap/>
                  <w:vAlign w:val="center"/>
                  <w:hideMark/>
                </w:tcPr>
                <w:p w14:paraId="27EBCF36" w14:textId="77777777" w:rsidR="0094372E" w:rsidRPr="0094372E" w:rsidRDefault="0094372E" w:rsidP="0094372E">
                  <w:pPr>
                    <w:spacing w:after="0" w:line="240" w:lineRule="auto"/>
                    <w:jc w:val="right"/>
                    <w:rPr>
                      <w:rFonts w:ascii="Segoe UI" w:eastAsia="Times New Roman" w:hAnsi="Segoe UI" w:cs="Segoe UI"/>
                      <w:color w:val="C5D9F1"/>
                      <w:sz w:val="18"/>
                      <w:szCs w:val="18"/>
                      <w:lang w:eastAsia="en-AU"/>
                    </w:rPr>
                  </w:pPr>
                  <w:r w:rsidRPr="0094372E">
                    <w:rPr>
                      <w:rFonts w:ascii="Segoe UI" w:eastAsia="Times New Roman" w:hAnsi="Segoe UI" w:cs="Segoe UI"/>
                      <w:color w:val="C5D9F1"/>
                      <w:sz w:val="18"/>
                      <w:szCs w:val="18"/>
                      <w:lang w:eastAsia="en-AU"/>
                    </w:rPr>
                    <w:t>-3.00</w:t>
                  </w:r>
                </w:p>
              </w:tc>
              <w:tc>
                <w:tcPr>
                  <w:tcW w:w="3028" w:type="dxa"/>
                  <w:tcBorders>
                    <w:top w:val="nil"/>
                    <w:left w:val="nil"/>
                    <w:bottom w:val="nil"/>
                    <w:right w:val="nil"/>
                  </w:tcBorders>
                  <w:shd w:val="clear" w:color="000000" w:fill="C5D9F1"/>
                  <w:noWrap/>
                  <w:vAlign w:val="center"/>
                  <w:hideMark/>
                </w:tcPr>
                <w:p w14:paraId="1C790178" w14:textId="77777777" w:rsidR="0094372E" w:rsidRPr="0094372E" w:rsidRDefault="0094372E" w:rsidP="0094372E">
                  <w:pPr>
                    <w:spacing w:after="0" w:line="240" w:lineRule="auto"/>
                    <w:rPr>
                      <w:rFonts w:ascii="Segoe UI" w:eastAsia="Times New Roman" w:hAnsi="Segoe UI" w:cs="Segoe UI"/>
                      <w:color w:val="000000"/>
                      <w:sz w:val="18"/>
                      <w:szCs w:val="18"/>
                      <w:lang w:eastAsia="en-AU"/>
                    </w:rPr>
                  </w:pPr>
                  <w:r w:rsidRPr="0094372E">
                    <w:rPr>
                      <w:rFonts w:ascii="Segoe UI" w:eastAsia="Times New Roman" w:hAnsi="Segoe UI" w:cs="Segoe UI"/>
                      <w:color w:val="000000"/>
                      <w:sz w:val="18"/>
                      <w:szCs w:val="18"/>
                      <w:lang w:eastAsia="en-AU"/>
                    </w:rPr>
                    <w:t> </w:t>
                  </w:r>
                </w:p>
              </w:tc>
            </w:tr>
            <w:tr w:rsidR="0094372E" w:rsidRPr="0094372E" w14:paraId="757B896D" w14:textId="77777777" w:rsidTr="0094372E">
              <w:trPr>
                <w:trHeight w:val="226"/>
              </w:trPr>
              <w:tc>
                <w:tcPr>
                  <w:tcW w:w="3718" w:type="dxa"/>
                  <w:tcBorders>
                    <w:top w:val="nil"/>
                    <w:left w:val="nil"/>
                    <w:bottom w:val="nil"/>
                    <w:right w:val="nil"/>
                  </w:tcBorders>
                  <w:shd w:val="clear" w:color="000000" w:fill="C5D9F1"/>
                  <w:noWrap/>
                  <w:vAlign w:val="center"/>
                  <w:hideMark/>
                </w:tcPr>
                <w:p w14:paraId="72B462CB" w14:textId="77777777" w:rsidR="0094372E" w:rsidRPr="0094372E" w:rsidRDefault="0094372E" w:rsidP="0094372E">
                  <w:pPr>
                    <w:spacing w:after="0" w:line="240" w:lineRule="auto"/>
                    <w:jc w:val="right"/>
                    <w:rPr>
                      <w:rFonts w:ascii="Segoe UI" w:eastAsia="Times New Roman" w:hAnsi="Segoe UI" w:cs="Segoe UI"/>
                      <w:color w:val="000000"/>
                      <w:sz w:val="18"/>
                      <w:szCs w:val="18"/>
                      <w:lang w:eastAsia="en-AU"/>
                    </w:rPr>
                  </w:pPr>
                  <w:r w:rsidRPr="0094372E">
                    <w:rPr>
                      <w:rFonts w:ascii="Segoe UI" w:eastAsia="Times New Roman" w:hAnsi="Segoe UI" w:cs="Segoe UI"/>
                      <w:color w:val="000000"/>
                      <w:sz w:val="18"/>
                      <w:szCs w:val="18"/>
                      <w:lang w:eastAsia="en-AU"/>
                    </w:rPr>
                    <w:t>Estimated dermal exposure at WES &gt;10%:</w:t>
                  </w:r>
                </w:p>
              </w:tc>
              <w:tc>
                <w:tcPr>
                  <w:tcW w:w="1095" w:type="dxa"/>
                  <w:tcBorders>
                    <w:top w:val="nil"/>
                    <w:left w:val="nil"/>
                    <w:bottom w:val="nil"/>
                    <w:right w:val="nil"/>
                  </w:tcBorders>
                  <w:shd w:val="clear" w:color="000000" w:fill="C5D9F1"/>
                  <w:noWrap/>
                  <w:vAlign w:val="center"/>
                  <w:hideMark/>
                </w:tcPr>
                <w:p w14:paraId="0D3F0B32" w14:textId="77777777" w:rsidR="0094372E" w:rsidRPr="0094372E" w:rsidRDefault="0094372E" w:rsidP="0094372E">
                  <w:pPr>
                    <w:spacing w:after="0" w:line="240" w:lineRule="auto"/>
                    <w:jc w:val="center"/>
                    <w:rPr>
                      <w:rFonts w:ascii="Segoe UI" w:eastAsia="Times New Roman" w:hAnsi="Segoe UI" w:cs="Segoe UI"/>
                      <w:color w:val="000000"/>
                      <w:sz w:val="18"/>
                      <w:szCs w:val="18"/>
                      <w:lang w:eastAsia="en-AU"/>
                    </w:rPr>
                  </w:pPr>
                  <w:r w:rsidRPr="0094372E">
                    <w:rPr>
                      <w:rFonts w:ascii="Segoe UI" w:eastAsia="Times New Roman" w:hAnsi="Segoe UI" w:cs="Segoe UI"/>
                      <w:color w:val="000000"/>
                      <w:sz w:val="18"/>
                      <w:szCs w:val="18"/>
                      <w:lang w:eastAsia="en-AU"/>
                    </w:rPr>
                    <w:t> </w:t>
                  </w:r>
                </w:p>
              </w:tc>
              <w:tc>
                <w:tcPr>
                  <w:tcW w:w="1095" w:type="dxa"/>
                  <w:tcBorders>
                    <w:top w:val="nil"/>
                    <w:left w:val="nil"/>
                    <w:bottom w:val="nil"/>
                    <w:right w:val="nil"/>
                  </w:tcBorders>
                  <w:shd w:val="clear" w:color="000000" w:fill="C5D9F1"/>
                  <w:noWrap/>
                  <w:vAlign w:val="center"/>
                  <w:hideMark/>
                </w:tcPr>
                <w:p w14:paraId="469D43F9" w14:textId="77777777" w:rsidR="0094372E" w:rsidRPr="0094372E" w:rsidRDefault="0094372E" w:rsidP="0094372E">
                  <w:pPr>
                    <w:spacing w:after="0" w:line="240" w:lineRule="auto"/>
                    <w:rPr>
                      <w:rFonts w:ascii="Segoe UI" w:eastAsia="Times New Roman" w:hAnsi="Segoe UI" w:cs="Segoe UI"/>
                      <w:color w:val="C5D9F1"/>
                      <w:sz w:val="18"/>
                      <w:szCs w:val="18"/>
                      <w:lang w:eastAsia="en-AU"/>
                    </w:rPr>
                  </w:pPr>
                  <w:r w:rsidRPr="0094372E">
                    <w:rPr>
                      <w:rFonts w:ascii="Segoe UI" w:eastAsia="Times New Roman" w:hAnsi="Segoe UI" w:cs="Segoe UI"/>
                      <w:color w:val="C5D9F1"/>
                      <w:sz w:val="18"/>
                      <w:szCs w:val="18"/>
                      <w:lang w:eastAsia="en-AU"/>
                    </w:rPr>
                    <w:t> </w:t>
                  </w:r>
                </w:p>
              </w:tc>
              <w:tc>
                <w:tcPr>
                  <w:tcW w:w="3028" w:type="dxa"/>
                  <w:tcBorders>
                    <w:top w:val="nil"/>
                    <w:left w:val="nil"/>
                    <w:bottom w:val="nil"/>
                    <w:right w:val="nil"/>
                  </w:tcBorders>
                  <w:shd w:val="clear" w:color="000000" w:fill="C5D9F1"/>
                  <w:noWrap/>
                  <w:vAlign w:val="center"/>
                  <w:hideMark/>
                </w:tcPr>
                <w:p w14:paraId="1A4573E3" w14:textId="77777777" w:rsidR="0094372E" w:rsidRPr="0094372E" w:rsidRDefault="0094372E" w:rsidP="0094372E">
                  <w:pPr>
                    <w:spacing w:after="0" w:line="240" w:lineRule="auto"/>
                    <w:rPr>
                      <w:rFonts w:ascii="Segoe UI" w:eastAsia="Times New Roman" w:hAnsi="Segoe UI" w:cs="Segoe UI"/>
                      <w:color w:val="000000"/>
                      <w:sz w:val="18"/>
                      <w:szCs w:val="18"/>
                      <w:lang w:eastAsia="en-AU"/>
                    </w:rPr>
                  </w:pPr>
                  <w:r w:rsidRPr="0094372E">
                    <w:rPr>
                      <w:rFonts w:ascii="Segoe UI" w:eastAsia="Times New Roman" w:hAnsi="Segoe UI" w:cs="Segoe UI"/>
                      <w:color w:val="000000"/>
                      <w:sz w:val="18"/>
                      <w:szCs w:val="18"/>
                      <w:lang w:eastAsia="en-AU"/>
                    </w:rPr>
                    <w:t> </w:t>
                  </w:r>
                </w:p>
              </w:tc>
            </w:tr>
            <w:tr w:rsidR="0094372E" w:rsidRPr="0094372E" w14:paraId="69426D2A" w14:textId="77777777" w:rsidTr="0094372E">
              <w:trPr>
                <w:trHeight w:val="226"/>
              </w:trPr>
              <w:tc>
                <w:tcPr>
                  <w:tcW w:w="3718" w:type="dxa"/>
                  <w:tcBorders>
                    <w:top w:val="nil"/>
                    <w:left w:val="nil"/>
                    <w:bottom w:val="nil"/>
                    <w:right w:val="nil"/>
                  </w:tcBorders>
                  <w:shd w:val="clear" w:color="000000" w:fill="C5D9F1"/>
                  <w:noWrap/>
                  <w:vAlign w:val="center"/>
                  <w:hideMark/>
                </w:tcPr>
                <w:p w14:paraId="1F54231F" w14:textId="77777777" w:rsidR="0094372E" w:rsidRPr="0094372E" w:rsidRDefault="0094372E" w:rsidP="0094372E">
                  <w:pPr>
                    <w:spacing w:after="0" w:line="240" w:lineRule="auto"/>
                    <w:jc w:val="right"/>
                    <w:rPr>
                      <w:rFonts w:ascii="Segoe UI" w:eastAsia="Times New Roman" w:hAnsi="Segoe UI" w:cs="Segoe UI"/>
                      <w:color w:val="000000"/>
                      <w:sz w:val="18"/>
                      <w:szCs w:val="18"/>
                      <w:lang w:eastAsia="en-AU"/>
                    </w:rPr>
                  </w:pPr>
                  <w:r w:rsidRPr="0094372E">
                    <w:rPr>
                      <w:rFonts w:ascii="Segoe UI" w:eastAsia="Times New Roman" w:hAnsi="Segoe UI" w:cs="Segoe UI"/>
                      <w:color w:val="000000"/>
                      <w:sz w:val="18"/>
                      <w:szCs w:val="18"/>
                      <w:lang w:eastAsia="en-AU"/>
                    </w:rPr>
                    <w:t> </w:t>
                  </w:r>
                </w:p>
              </w:tc>
              <w:tc>
                <w:tcPr>
                  <w:tcW w:w="1095" w:type="dxa"/>
                  <w:tcBorders>
                    <w:top w:val="nil"/>
                    <w:left w:val="nil"/>
                    <w:bottom w:val="nil"/>
                    <w:right w:val="nil"/>
                  </w:tcBorders>
                  <w:shd w:val="clear" w:color="000000" w:fill="C5D9F1"/>
                  <w:noWrap/>
                  <w:vAlign w:val="center"/>
                  <w:hideMark/>
                </w:tcPr>
                <w:p w14:paraId="79D40DF0" w14:textId="77777777" w:rsidR="0094372E" w:rsidRPr="0094372E" w:rsidRDefault="0094372E" w:rsidP="0094372E">
                  <w:pPr>
                    <w:spacing w:after="0" w:line="240" w:lineRule="auto"/>
                    <w:jc w:val="center"/>
                    <w:rPr>
                      <w:rFonts w:ascii="Segoe UI" w:eastAsia="Times New Roman" w:hAnsi="Segoe UI" w:cs="Segoe UI"/>
                      <w:color w:val="000000"/>
                      <w:sz w:val="18"/>
                      <w:szCs w:val="18"/>
                      <w:lang w:eastAsia="en-AU"/>
                    </w:rPr>
                  </w:pPr>
                  <w:r w:rsidRPr="0094372E">
                    <w:rPr>
                      <w:rFonts w:ascii="Segoe UI" w:eastAsia="Times New Roman" w:hAnsi="Segoe UI" w:cs="Segoe UI"/>
                      <w:color w:val="000000"/>
                      <w:sz w:val="18"/>
                      <w:szCs w:val="18"/>
                      <w:lang w:eastAsia="en-AU"/>
                    </w:rPr>
                    <w:t> </w:t>
                  </w:r>
                </w:p>
              </w:tc>
              <w:tc>
                <w:tcPr>
                  <w:tcW w:w="1095" w:type="dxa"/>
                  <w:tcBorders>
                    <w:top w:val="nil"/>
                    <w:left w:val="nil"/>
                    <w:bottom w:val="nil"/>
                    <w:right w:val="nil"/>
                  </w:tcBorders>
                  <w:shd w:val="clear" w:color="000000" w:fill="C5D9F1"/>
                  <w:noWrap/>
                  <w:vAlign w:val="center"/>
                  <w:hideMark/>
                </w:tcPr>
                <w:p w14:paraId="57279A6F" w14:textId="77777777" w:rsidR="0094372E" w:rsidRPr="0094372E" w:rsidRDefault="0094372E" w:rsidP="0094372E">
                  <w:pPr>
                    <w:spacing w:after="0" w:line="240" w:lineRule="auto"/>
                    <w:jc w:val="right"/>
                    <w:rPr>
                      <w:rFonts w:ascii="Segoe UI" w:eastAsia="Times New Roman" w:hAnsi="Segoe UI" w:cs="Segoe UI"/>
                      <w:color w:val="C5D9F1"/>
                      <w:sz w:val="18"/>
                      <w:szCs w:val="18"/>
                      <w:lang w:eastAsia="en-AU"/>
                    </w:rPr>
                  </w:pPr>
                  <w:r w:rsidRPr="0094372E">
                    <w:rPr>
                      <w:rFonts w:ascii="Segoe UI" w:eastAsia="Times New Roman" w:hAnsi="Segoe UI" w:cs="Segoe UI"/>
                      <w:color w:val="C5D9F1"/>
                      <w:sz w:val="18"/>
                      <w:szCs w:val="18"/>
                      <w:lang w:eastAsia="en-AU"/>
                    </w:rPr>
                    <w:t>-3</w:t>
                  </w:r>
                </w:p>
              </w:tc>
              <w:tc>
                <w:tcPr>
                  <w:tcW w:w="3028" w:type="dxa"/>
                  <w:tcBorders>
                    <w:top w:val="nil"/>
                    <w:left w:val="nil"/>
                    <w:bottom w:val="nil"/>
                    <w:right w:val="nil"/>
                  </w:tcBorders>
                  <w:shd w:val="clear" w:color="000000" w:fill="C5D9F1"/>
                  <w:noWrap/>
                  <w:vAlign w:val="center"/>
                  <w:hideMark/>
                </w:tcPr>
                <w:p w14:paraId="255C840B" w14:textId="77777777" w:rsidR="0094372E" w:rsidRPr="0094372E" w:rsidRDefault="0094372E" w:rsidP="0094372E">
                  <w:pPr>
                    <w:spacing w:after="0" w:line="240" w:lineRule="auto"/>
                    <w:rPr>
                      <w:rFonts w:ascii="Segoe UI" w:eastAsia="Times New Roman" w:hAnsi="Segoe UI" w:cs="Segoe UI"/>
                      <w:b/>
                      <w:bCs/>
                      <w:color w:val="000000"/>
                      <w:sz w:val="18"/>
                      <w:szCs w:val="18"/>
                      <w:lang w:eastAsia="en-AU"/>
                    </w:rPr>
                  </w:pPr>
                  <w:r w:rsidRPr="0094372E">
                    <w:rPr>
                      <w:rFonts w:ascii="Segoe UI" w:eastAsia="Times New Roman" w:hAnsi="Segoe UI" w:cs="Segoe UI"/>
                      <w:b/>
                      <w:bCs/>
                      <w:color w:val="000000"/>
                      <w:sz w:val="18"/>
                      <w:szCs w:val="18"/>
                      <w:lang w:eastAsia="en-AU"/>
                    </w:rPr>
                    <w:t>a skin notation is not warranted</w:t>
                  </w:r>
                </w:p>
              </w:tc>
            </w:tr>
          </w:tbl>
          <w:p w14:paraId="79B32244" w14:textId="77777777" w:rsidR="00932DCE" w:rsidRPr="004C23F4" w:rsidRDefault="00932DCE" w:rsidP="00F9496B">
            <w:pPr>
              <w:pStyle w:val="Tablefont"/>
            </w:pPr>
          </w:p>
        </w:tc>
      </w:tr>
    </w:tbl>
    <w:bookmarkEnd w:id="4"/>
    <w:p w14:paraId="0D50F111" w14:textId="77777777" w:rsidR="00EB3D1B" w:rsidRDefault="00EB3D1B" w:rsidP="00EB3D1B">
      <w:pPr>
        <w:pStyle w:val="Heading3"/>
      </w:pPr>
      <w:r>
        <w:t>IDLH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DLH Table"/>
        <w:tblDescription w:val="Poses question: Ist here a suitable IDLH value available"/>
      </w:tblPr>
      <w:tblGrid>
        <w:gridCol w:w="4266"/>
        <w:gridCol w:w="4760"/>
      </w:tblGrid>
      <w:tr w:rsidR="00EB3D1B" w14:paraId="3F15505E" w14:textId="77777777" w:rsidTr="00610F2E">
        <w:trPr>
          <w:trHeight w:val="454"/>
          <w:tblHeader/>
        </w:trPr>
        <w:tc>
          <w:tcPr>
            <w:tcW w:w="4361" w:type="dxa"/>
            <w:vAlign w:val="center"/>
          </w:tcPr>
          <w:p w14:paraId="753CCFDF" w14:textId="77777777" w:rsidR="00EB3D1B" w:rsidRDefault="00EB3D1B" w:rsidP="00D87570">
            <w:pPr>
              <w:pStyle w:val="Tablefont"/>
            </w:pPr>
            <w:r>
              <w:t xml:space="preserve">Is there a </w:t>
            </w:r>
            <w:r w:rsidR="006E5D05">
              <w:t>suitable</w:t>
            </w:r>
            <w:r>
              <w:t xml:space="preserve"> IDLH value available?</w:t>
            </w:r>
          </w:p>
        </w:tc>
        <w:sdt>
          <w:sdtPr>
            <w:id w:val="1781757649"/>
            <w:placeholder>
              <w:docPart w:val="F426C563814E402488AC06CC39354A11"/>
            </w:placeholder>
            <w:comboBox>
              <w:listItem w:value="Choose an item."/>
              <w:listItem w:displayText="Yes" w:value="Yes"/>
              <w:listItem w:displayText="Yes, based on LEL" w:value="Yes, based on LEL"/>
              <w:listItem w:displayText="No" w:value="No"/>
              <w:listItem w:displayText="No, the chemical is a genotoxic carcinogen" w:value="No, the chemical is a genotoxic carcinogen"/>
            </w:comboBox>
          </w:sdtPr>
          <w:sdtEndPr/>
          <w:sdtContent>
            <w:tc>
              <w:tcPr>
                <w:tcW w:w="4881" w:type="dxa"/>
                <w:vAlign w:val="center"/>
              </w:tcPr>
              <w:p w14:paraId="38FF8EC8" w14:textId="39DE8891" w:rsidR="00EB3D1B" w:rsidRDefault="008C79ED" w:rsidP="00EB3D1B">
                <w:pPr>
                  <w:pStyle w:val="Tablefont"/>
                </w:pPr>
                <w:r>
                  <w:t>Yes, based on LEL</w:t>
                </w:r>
              </w:p>
            </w:tc>
          </w:sdtContent>
        </w:sdt>
      </w:tr>
    </w:tbl>
    <w:p w14:paraId="2FB90B74" w14:textId="77777777" w:rsidR="00687890" w:rsidRPr="004C23F4" w:rsidRDefault="00B479A9" w:rsidP="00474E33">
      <w:pPr>
        <w:pStyle w:val="Heading2"/>
      </w:pPr>
      <w:r w:rsidRPr="004C23F4">
        <w:t>Additional information</w:t>
      </w:r>
    </w:p>
    <w:tbl>
      <w:tblPr>
        <w:tblStyle w:val="TableGrid"/>
        <w:tblW w:w="5000" w:type="pct"/>
        <w:tblBorders>
          <w:top w:val="single" w:sz="8" w:space="0" w:color="BFBFBF" w:themeColor="background1" w:themeShade="BF"/>
          <w:left w:val="none" w:sz="0" w:space="0" w:color="auto"/>
          <w:bottom w:val="single" w:sz="8" w:space="0" w:color="BFBFBF" w:themeColor="background1" w:themeShade="BF"/>
          <w:right w:val="none" w:sz="0" w:space="0" w:color="auto"/>
          <w:insideH w:val="single" w:sz="8" w:space="0" w:color="BFBFBF" w:themeColor="background1" w:themeShade="BF"/>
          <w:insideV w:val="none" w:sz="0" w:space="0" w:color="auto"/>
        </w:tblBorders>
        <w:tblLook w:val="04A0" w:firstRow="1" w:lastRow="0" w:firstColumn="1" w:lastColumn="0" w:noHBand="0" w:noVBand="1"/>
        <w:tblCaption w:val="Table"/>
        <w:tblDescription w:val="Showing additional information"/>
      </w:tblPr>
      <w:tblGrid>
        <w:gridCol w:w="3996"/>
        <w:gridCol w:w="5030"/>
      </w:tblGrid>
      <w:tr w:rsidR="001B79E5" w:rsidRPr="004C23F4" w14:paraId="1EEAD291" w14:textId="77777777" w:rsidTr="00EA6243">
        <w:trPr>
          <w:cantSplit/>
          <w:tblHeader/>
        </w:trPr>
        <w:tc>
          <w:tcPr>
            <w:tcW w:w="4077" w:type="dxa"/>
            <w:vAlign w:val="center"/>
          </w:tcPr>
          <w:p w14:paraId="68F92ACB" w14:textId="77777777" w:rsidR="001B79E5" w:rsidRDefault="001B79E5" w:rsidP="00A31D99">
            <w:pPr>
              <w:pStyle w:val="Tablefont"/>
            </w:pPr>
            <w:r>
              <w:t>Molecular weight:</w:t>
            </w:r>
          </w:p>
        </w:tc>
        <w:sdt>
          <w:sdtPr>
            <w:id w:val="2058126578"/>
            <w:placeholder>
              <w:docPart w:val="0DAD3FB9ACEF4778B961F088737E2361"/>
            </w:placeholder>
          </w:sdtPr>
          <w:sdtEndPr/>
          <w:sdtContent>
            <w:tc>
              <w:tcPr>
                <w:tcW w:w="5165" w:type="dxa"/>
                <w:vAlign w:val="center"/>
              </w:tcPr>
              <w:p w14:paraId="39EB9CCA" w14:textId="7960E3E8" w:rsidR="001B79E5" w:rsidRDefault="00B504D9" w:rsidP="001B79E5">
                <w:pPr>
                  <w:pStyle w:val="Tablefont"/>
                </w:pPr>
                <w:r w:rsidRPr="00B504D9">
                  <w:t>74.12</w:t>
                </w:r>
              </w:p>
            </w:tc>
          </w:sdtContent>
        </w:sdt>
      </w:tr>
      <w:tr w:rsidR="00A31D99" w:rsidRPr="004C23F4" w14:paraId="4EB96F95" w14:textId="77777777" w:rsidTr="00EA6243">
        <w:trPr>
          <w:cantSplit/>
          <w:tblHeader/>
        </w:trPr>
        <w:tc>
          <w:tcPr>
            <w:tcW w:w="4077" w:type="dxa"/>
            <w:vAlign w:val="center"/>
          </w:tcPr>
          <w:p w14:paraId="319CCEB5" w14:textId="77777777" w:rsidR="00A31D99" w:rsidRPr="00263255" w:rsidRDefault="00A31D99" w:rsidP="00A31D99">
            <w:pPr>
              <w:pStyle w:val="Tablefont"/>
            </w:pPr>
            <w:r>
              <w:t>Conversion factors at 25</w:t>
            </w:r>
            <w:r>
              <w:rPr>
                <w:rFonts w:cs="Arial"/>
              </w:rPr>
              <w:t>°</w:t>
            </w:r>
            <w:r>
              <w:t xml:space="preserve">C and 101.3 </w:t>
            </w:r>
            <w:proofErr w:type="spellStart"/>
            <w:r>
              <w:t>kPa</w:t>
            </w:r>
            <w:proofErr w:type="spellEnd"/>
            <w:r>
              <w:t xml:space="preserve">: </w:t>
            </w:r>
          </w:p>
        </w:tc>
        <w:tc>
          <w:tcPr>
            <w:tcW w:w="5165" w:type="dxa"/>
            <w:vAlign w:val="center"/>
          </w:tcPr>
          <w:p w14:paraId="67B2BAE9" w14:textId="5F95DDD6" w:rsidR="00A31D99" w:rsidRDefault="00A0643F" w:rsidP="00A174CC">
            <w:pPr>
              <w:pStyle w:val="Tablefont"/>
            </w:pPr>
            <w:r>
              <w:t xml:space="preserve">1 ppm = </w:t>
            </w:r>
            <w:sdt>
              <w:sdtPr>
                <w:id w:val="-371151491"/>
                <w:placeholder>
                  <w:docPart w:val="A7231FB73EFF4B2B92EB3BD21C0CEA01"/>
                </w:placeholder>
              </w:sdtPr>
              <w:sdtEndPr/>
              <w:sdtContent>
                <w:r w:rsidR="00B504D9">
                  <w:t>3.03</w:t>
                </w:r>
              </w:sdtContent>
            </w:sdt>
            <w:r>
              <w:t xml:space="preserve"> mg/m</w:t>
            </w:r>
            <w:r w:rsidRPr="00D83761">
              <w:rPr>
                <w:vertAlign w:val="superscript"/>
              </w:rPr>
              <w:t>3</w:t>
            </w:r>
            <w:r>
              <w:t>; 1 mg/m</w:t>
            </w:r>
            <w:r w:rsidRPr="00D83761">
              <w:rPr>
                <w:vertAlign w:val="superscript"/>
              </w:rPr>
              <w:t>3</w:t>
            </w:r>
            <w:r>
              <w:t xml:space="preserve"> = </w:t>
            </w:r>
            <w:sdt>
              <w:sdtPr>
                <w:id w:val="-1913150218"/>
                <w:placeholder>
                  <w:docPart w:val="5D98FA8C84704C71B6F1557317AE5303"/>
                </w:placeholder>
              </w:sdtPr>
              <w:sdtEndPr/>
              <w:sdtContent>
                <w:r w:rsidR="00B504D9">
                  <w:t>0.330</w:t>
                </w:r>
              </w:sdtContent>
            </w:sdt>
            <w:r>
              <w:t xml:space="preserve"> ppm</w:t>
            </w:r>
          </w:p>
        </w:tc>
      </w:tr>
      <w:tr w:rsidR="00687890" w:rsidRPr="004C23F4" w14:paraId="146DBFF4" w14:textId="77777777" w:rsidTr="00EA6243">
        <w:trPr>
          <w:cantSplit/>
          <w:tblHeader/>
        </w:trPr>
        <w:tc>
          <w:tcPr>
            <w:tcW w:w="4077" w:type="dxa"/>
            <w:vAlign w:val="center"/>
          </w:tcPr>
          <w:p w14:paraId="3AFA9965" w14:textId="77777777" w:rsidR="00687890" w:rsidRPr="00263255" w:rsidRDefault="00687890" w:rsidP="00263255">
            <w:pPr>
              <w:pStyle w:val="Tablefont"/>
            </w:pPr>
            <w:r w:rsidRPr="00263255">
              <w:t>This chemical is used as a pesticide:</w:t>
            </w:r>
          </w:p>
        </w:tc>
        <w:sdt>
          <w:sdtPr>
            <w:id w:val="1704441067"/>
            <w14:checkbox>
              <w14:checked w14:val="0"/>
              <w14:checkedState w14:val="00FC" w14:font="Wingdings"/>
              <w14:uncheckedState w14:val="2610" w14:font="MS Gothic"/>
            </w14:checkbox>
          </w:sdtPr>
          <w:sdtEndPr/>
          <w:sdtContent>
            <w:tc>
              <w:tcPr>
                <w:tcW w:w="5165" w:type="dxa"/>
                <w:vAlign w:val="center"/>
              </w:tcPr>
              <w:p w14:paraId="3ADB919B" w14:textId="77777777" w:rsidR="00687890" w:rsidRPr="004C23F4" w:rsidRDefault="00E46BCB" w:rsidP="00717D45">
                <w:pPr>
                  <w:pStyle w:val="Tablefont"/>
                </w:pPr>
                <w:r w:rsidRPr="004C23F4">
                  <w:rPr>
                    <w:rFonts w:ascii="MS Gothic" w:eastAsia="MS Gothic" w:hAnsi="MS Gothic" w:cs="MS Gothic" w:hint="eastAsia"/>
                  </w:rPr>
                  <w:t>☐</w:t>
                </w:r>
              </w:p>
            </w:tc>
          </w:sdtContent>
        </w:sdt>
      </w:tr>
      <w:tr w:rsidR="00687890" w:rsidRPr="004C23F4" w14:paraId="40C4AE19" w14:textId="77777777" w:rsidTr="00EA6243">
        <w:trPr>
          <w:cantSplit/>
        </w:trPr>
        <w:tc>
          <w:tcPr>
            <w:tcW w:w="4077" w:type="dxa"/>
            <w:vAlign w:val="center"/>
          </w:tcPr>
          <w:p w14:paraId="5169A28C" w14:textId="77777777" w:rsidR="00687890" w:rsidRPr="00263255" w:rsidRDefault="00687890" w:rsidP="00263255">
            <w:pPr>
              <w:pStyle w:val="Tablefont"/>
            </w:pPr>
            <w:r w:rsidRPr="00263255">
              <w:t>This chemical is a biological product:</w:t>
            </w:r>
          </w:p>
        </w:tc>
        <w:sdt>
          <w:sdtPr>
            <w:id w:val="-659616774"/>
            <w14:checkbox>
              <w14:checked w14:val="0"/>
              <w14:checkedState w14:val="00FC" w14:font="Wingdings"/>
              <w14:uncheckedState w14:val="2610" w14:font="MS Gothic"/>
            </w14:checkbox>
          </w:sdtPr>
          <w:sdtEndPr/>
          <w:sdtContent>
            <w:tc>
              <w:tcPr>
                <w:tcW w:w="5165" w:type="dxa"/>
                <w:vAlign w:val="center"/>
              </w:tcPr>
              <w:p w14:paraId="5C8DA375" w14:textId="77777777" w:rsidR="00687890" w:rsidRPr="004C23F4" w:rsidRDefault="00A20751" w:rsidP="00717D45">
                <w:pPr>
                  <w:pStyle w:val="Tablefont"/>
                </w:pPr>
                <w:r w:rsidRPr="004C23F4">
                  <w:rPr>
                    <w:rFonts w:ascii="MS Gothic" w:eastAsia="MS Gothic" w:hAnsi="MS Gothic" w:cs="MS Gothic" w:hint="eastAsia"/>
                  </w:rPr>
                  <w:t>☐</w:t>
                </w:r>
              </w:p>
            </w:tc>
          </w:sdtContent>
        </w:sdt>
      </w:tr>
      <w:tr w:rsidR="00687890" w:rsidRPr="004C23F4" w14:paraId="46EBC27C" w14:textId="77777777" w:rsidTr="00EA6243">
        <w:trPr>
          <w:cantSplit/>
        </w:trPr>
        <w:tc>
          <w:tcPr>
            <w:tcW w:w="4077" w:type="dxa"/>
            <w:vAlign w:val="center"/>
          </w:tcPr>
          <w:p w14:paraId="5457D2D1" w14:textId="77777777" w:rsidR="00687890" w:rsidRPr="00263255" w:rsidRDefault="00687890" w:rsidP="00263255">
            <w:pPr>
              <w:pStyle w:val="Tablefont"/>
            </w:pPr>
            <w:r w:rsidRPr="00263255">
              <w:t>This chemical is a by-product of a process:</w:t>
            </w:r>
          </w:p>
        </w:tc>
        <w:sdt>
          <w:sdtPr>
            <w:id w:val="-863134491"/>
            <w14:checkbox>
              <w14:checked w14:val="0"/>
              <w14:checkedState w14:val="00FC" w14:font="Wingdings"/>
              <w14:uncheckedState w14:val="2610" w14:font="MS Gothic"/>
            </w14:checkbox>
          </w:sdtPr>
          <w:sdtEndPr/>
          <w:sdtContent>
            <w:tc>
              <w:tcPr>
                <w:tcW w:w="5165" w:type="dxa"/>
                <w:vAlign w:val="center"/>
              </w:tcPr>
              <w:p w14:paraId="483F7EAE" w14:textId="77777777" w:rsidR="00687890" w:rsidRPr="004C23F4" w:rsidRDefault="00687890" w:rsidP="00717D45">
                <w:pPr>
                  <w:pStyle w:val="Tablefont"/>
                </w:pPr>
                <w:r w:rsidRPr="004C23F4">
                  <w:rPr>
                    <w:rFonts w:ascii="MS Gothic" w:eastAsia="MS Gothic" w:hAnsi="MS Gothic" w:cs="MS Gothic" w:hint="eastAsia"/>
                  </w:rPr>
                  <w:t>☐</w:t>
                </w:r>
              </w:p>
            </w:tc>
          </w:sdtContent>
        </w:sdt>
      </w:tr>
      <w:tr w:rsidR="00E06F40" w:rsidRPr="004C23F4" w14:paraId="33C96CA0" w14:textId="77777777" w:rsidTr="00EA6243">
        <w:trPr>
          <w:cantSplit/>
        </w:trPr>
        <w:tc>
          <w:tcPr>
            <w:tcW w:w="4077" w:type="dxa"/>
            <w:vAlign w:val="center"/>
          </w:tcPr>
          <w:p w14:paraId="5D90F0C0" w14:textId="77777777" w:rsidR="00E06F40" w:rsidRPr="00263255" w:rsidRDefault="00E06F40" w:rsidP="00084513">
            <w:pPr>
              <w:pStyle w:val="Tablefont"/>
            </w:pPr>
            <w:r w:rsidRPr="00263255">
              <w:t xml:space="preserve">A biological exposure index has been recommended by </w:t>
            </w:r>
            <w:r w:rsidR="00084513">
              <w:t>these agencies</w:t>
            </w:r>
            <w:r w:rsidRPr="00263255">
              <w:t>:</w:t>
            </w:r>
          </w:p>
        </w:tc>
        <w:tc>
          <w:tcPr>
            <w:tcW w:w="5165" w:type="dxa"/>
            <w:vAlign w:val="center"/>
          </w:tcPr>
          <w:p w14:paraId="1C70F08F" w14:textId="77777777" w:rsidR="00E06F40" w:rsidRPr="00A006A0" w:rsidRDefault="009F4D5E" w:rsidP="00B40C60">
            <w:pPr>
              <w:pStyle w:val="Tablefont"/>
              <w:tabs>
                <w:tab w:val="left" w:pos="1310"/>
                <w:tab w:val="left" w:pos="2444"/>
                <w:tab w:val="left" w:pos="3861"/>
              </w:tabs>
            </w:pPr>
            <w:sdt>
              <w:sdtPr>
                <w:id w:val="92759666"/>
                <w14:checkbox>
                  <w14:checked w14:val="0"/>
                  <w14:checkedState w14:val="00FC" w14:font="Wingdings"/>
                  <w14:uncheckedState w14:val="2610" w14:font="MS Gothic"/>
                </w14:checkbox>
              </w:sdtPr>
              <w:sdtEndPr/>
              <w:sdtContent>
                <w:r w:rsidR="00E06F40" w:rsidRPr="004C23F4">
                  <w:rPr>
                    <w:rFonts w:ascii="MS Gothic" w:eastAsia="MS Gothic" w:hAnsi="MS Gothic" w:cs="MS Gothic" w:hint="eastAsia"/>
                  </w:rPr>
                  <w:t>☐</w:t>
                </w:r>
              </w:sdtContent>
            </w:sdt>
            <w:r w:rsidR="00E06F40" w:rsidRPr="00A006A0">
              <w:t xml:space="preserve"> ACGIH</w:t>
            </w:r>
            <w:r w:rsidR="00E06F40">
              <w:tab/>
            </w:r>
            <w:sdt>
              <w:sdtPr>
                <w:id w:val="129367724"/>
                <w14:checkbox>
                  <w14:checked w14:val="0"/>
                  <w14:checkedState w14:val="00FC" w14:font="Wingdings"/>
                  <w14:uncheckedState w14:val="2610" w14:font="MS Gothic"/>
                </w14:checkbox>
              </w:sdtPr>
              <w:sdtEndPr/>
              <w:sdtContent>
                <w:r w:rsidR="00E06F40" w:rsidRPr="004C23F4">
                  <w:rPr>
                    <w:rFonts w:ascii="MS Gothic" w:eastAsia="MS Gothic" w:hAnsi="MS Gothic" w:cs="MS Gothic" w:hint="eastAsia"/>
                  </w:rPr>
                  <w:t>☐</w:t>
                </w:r>
              </w:sdtContent>
            </w:sdt>
            <w:r w:rsidR="00E06F40" w:rsidRPr="00A006A0">
              <w:t xml:space="preserve"> DFG</w:t>
            </w:r>
            <w:r w:rsidR="00E06F40">
              <w:tab/>
            </w:r>
            <w:sdt>
              <w:sdtPr>
                <w:id w:val="-1535876012"/>
                <w14:checkbox>
                  <w14:checked w14:val="0"/>
                  <w14:checkedState w14:val="00FC" w14:font="Wingdings"/>
                  <w14:uncheckedState w14:val="2610" w14:font="MS Gothic"/>
                </w14:checkbox>
              </w:sdtPr>
              <w:sdtEndPr/>
              <w:sdtContent>
                <w:r w:rsidR="00E06F40" w:rsidRPr="004C23F4">
                  <w:rPr>
                    <w:rFonts w:ascii="MS Gothic" w:eastAsia="MS Gothic" w:hAnsi="MS Gothic" w:cs="MS Gothic" w:hint="eastAsia"/>
                  </w:rPr>
                  <w:t>☐</w:t>
                </w:r>
              </w:sdtContent>
            </w:sdt>
            <w:r w:rsidR="00E06F40" w:rsidRPr="00A006A0">
              <w:t xml:space="preserve"> SCOEL</w:t>
            </w:r>
            <w:r w:rsidR="00E06F40">
              <w:tab/>
            </w:r>
          </w:p>
        </w:tc>
      </w:tr>
    </w:tbl>
    <w:p w14:paraId="51590553" w14:textId="77777777" w:rsidR="007F1005" w:rsidRPr="004C23F4" w:rsidRDefault="007F1005" w:rsidP="00EB3D1B">
      <w:pPr>
        <w:pStyle w:val="Heading2"/>
        <w:keepLines/>
      </w:pPr>
      <w:r w:rsidRPr="004C23F4">
        <w:t xml:space="preserve">Workplace exposure </w:t>
      </w:r>
      <w:r w:rsidR="00B479A9" w:rsidRPr="004C23F4">
        <w:t>standard history</w:t>
      </w:r>
    </w:p>
    <w:tbl>
      <w:tblPr>
        <w:tblStyle w:val="TableGrid"/>
        <w:tblW w:w="5000" w:type="pct"/>
        <w:tblBorders>
          <w:top w:val="single" w:sz="8" w:space="0" w:color="BFBFBF" w:themeColor="background1" w:themeShade="BF"/>
          <w:left w:val="none" w:sz="0" w:space="0" w:color="auto"/>
          <w:bottom w:val="single" w:sz="8" w:space="0" w:color="BFBFBF" w:themeColor="background1" w:themeShade="BF"/>
          <w:right w:val="none" w:sz="0" w:space="0" w:color="auto"/>
          <w:insideH w:val="single" w:sz="8" w:space="0" w:color="BFBFBF" w:themeColor="background1" w:themeShade="BF"/>
          <w:insideV w:val="none" w:sz="0" w:space="0" w:color="auto"/>
        </w:tblBorders>
        <w:tblLook w:val="04A0" w:firstRow="1" w:lastRow="0" w:firstColumn="1" w:lastColumn="0" w:noHBand="0" w:noVBand="1"/>
        <w:tblCaption w:val="Table"/>
        <w:tblDescription w:val="Showing Workplace Exposure Standard history"/>
      </w:tblPr>
      <w:tblGrid>
        <w:gridCol w:w="3979"/>
        <w:gridCol w:w="5047"/>
      </w:tblGrid>
      <w:tr w:rsidR="00224EE2" w:rsidRPr="004C23F4" w14:paraId="69A406A1" w14:textId="77777777" w:rsidTr="00F053FA">
        <w:trPr>
          <w:tblHeader/>
        </w:trPr>
        <w:tc>
          <w:tcPr>
            <w:tcW w:w="4077" w:type="dxa"/>
            <w:shd w:val="clear" w:color="auto" w:fill="BFBFBF" w:themeFill="background1" w:themeFillShade="BF"/>
            <w:vAlign w:val="center"/>
          </w:tcPr>
          <w:p w14:paraId="5F2E1AC4" w14:textId="77777777" w:rsidR="00224EE2" w:rsidRPr="004C23F4" w:rsidRDefault="00224EE2" w:rsidP="00EB3D1B">
            <w:pPr>
              <w:pStyle w:val="Tableheader"/>
              <w:keepNext/>
              <w:keepLines/>
            </w:pPr>
            <w:bookmarkStart w:id="5" w:name="History" w:colFirst="0" w:colLast="1"/>
            <w:r>
              <w:t>Year</w:t>
            </w:r>
          </w:p>
        </w:tc>
        <w:tc>
          <w:tcPr>
            <w:tcW w:w="5165" w:type="dxa"/>
            <w:shd w:val="clear" w:color="auto" w:fill="BFBFBF" w:themeFill="background1" w:themeFillShade="BF"/>
            <w:vAlign w:val="center"/>
          </w:tcPr>
          <w:p w14:paraId="06C5B456" w14:textId="77777777" w:rsidR="00224EE2" w:rsidRPr="004C23F4" w:rsidRDefault="00224EE2" w:rsidP="00EB3D1B">
            <w:pPr>
              <w:pStyle w:val="Tableheader"/>
              <w:keepNext/>
              <w:keepLines/>
            </w:pPr>
            <w:r>
              <w:t>Standard</w:t>
            </w:r>
          </w:p>
        </w:tc>
      </w:tr>
      <w:tr w:rsidR="007F1005" w:rsidRPr="004C23F4" w14:paraId="544EB16F" w14:textId="77777777" w:rsidTr="00F053FA">
        <w:trPr>
          <w:tblHeader/>
        </w:trPr>
        <w:sdt>
          <w:sdtPr>
            <w:id w:val="-25557549"/>
            <w:placeholder>
              <w:docPart w:val="2BF891C0AB704CDAB9BC6E80D556473F"/>
            </w:placeholder>
            <w:showingPlcHdr/>
            <w:text/>
          </w:sdtPr>
          <w:sdtEndPr/>
          <w:sdtContent>
            <w:tc>
              <w:tcPr>
                <w:tcW w:w="4077" w:type="dxa"/>
                <w:vAlign w:val="center"/>
              </w:tcPr>
              <w:p w14:paraId="549F41F4" w14:textId="77777777" w:rsidR="007F1005" w:rsidRPr="004C23F4" w:rsidRDefault="00131092" w:rsidP="00EB3D1B">
                <w:pPr>
                  <w:pStyle w:val="Tablefont"/>
                  <w:keepLines/>
                </w:pPr>
                <w:r w:rsidRPr="004C23F4">
                  <w:rPr>
                    <w:rStyle w:val="PlaceholderText"/>
                    <w:rFonts w:cs="Arial"/>
                  </w:rPr>
                  <w:t>Click here to enter year</w:t>
                </w:r>
              </w:p>
            </w:tc>
          </w:sdtContent>
        </w:sdt>
        <w:tc>
          <w:tcPr>
            <w:tcW w:w="5165" w:type="dxa"/>
            <w:vAlign w:val="center"/>
          </w:tcPr>
          <w:p w14:paraId="7CB203F4" w14:textId="77777777" w:rsidR="007F1005" w:rsidRPr="004C23F4" w:rsidRDefault="007F1005" w:rsidP="00EB3D1B">
            <w:pPr>
              <w:pStyle w:val="Tablefont"/>
              <w:keepLines/>
            </w:pPr>
          </w:p>
        </w:tc>
      </w:tr>
    </w:tbl>
    <w:bookmarkEnd w:id="5"/>
    <w:p w14:paraId="69F9CAA9" w14:textId="77777777" w:rsidR="00F87D92" w:rsidRDefault="00F87D92" w:rsidP="00EF7F78">
      <w:pPr>
        <w:pStyle w:val="Heading2"/>
        <w:tabs>
          <w:tab w:val="right" w:pos="8505"/>
        </w:tabs>
      </w:pPr>
      <w:r>
        <w:t>References</w:t>
      </w:r>
      <w:r w:rsidR="00EF7F78">
        <w:tab/>
      </w:r>
    </w:p>
    <w:p w14:paraId="2EE09F58" w14:textId="3C6DA50E" w:rsidR="007F1005" w:rsidRDefault="006650FE" w:rsidP="00084859">
      <w:r>
        <w:t>American Conference of Industrial Hygienists (ACGIH</w:t>
      </w:r>
      <w:r>
        <w:rPr>
          <w:vertAlign w:val="superscript"/>
        </w:rPr>
        <w:t>®</w:t>
      </w:r>
      <w:r>
        <w:t>) (201</w:t>
      </w:r>
      <w:r w:rsidR="00F67BBB">
        <w:t>8</w:t>
      </w:r>
      <w:r>
        <w:t>) TLVs</w:t>
      </w:r>
      <w:r>
        <w:rPr>
          <w:vertAlign w:val="superscript"/>
        </w:rPr>
        <w:t>®</w:t>
      </w:r>
      <w:r>
        <w:t xml:space="preserve"> and BEIs</w:t>
      </w:r>
      <w:r>
        <w:rPr>
          <w:vertAlign w:val="superscript"/>
        </w:rPr>
        <w:t>®</w:t>
      </w:r>
      <w:r>
        <w:t xml:space="preserve"> with 7</w:t>
      </w:r>
      <w:r>
        <w:rPr>
          <w:vertAlign w:val="superscript"/>
        </w:rPr>
        <w:t>th</w:t>
      </w:r>
      <w:r>
        <w:t xml:space="preserve"> Edition Documentation, CD-ROM, Single User Version. Copyright 201</w:t>
      </w:r>
      <w:r w:rsidR="00F67BBB">
        <w:t>8</w:t>
      </w:r>
      <w:r>
        <w:t xml:space="preserve">. Reprinted with permission. See the </w:t>
      </w:r>
      <w:hyperlink r:id="rId17" w:history="1">
        <w:r>
          <w:rPr>
            <w:rStyle w:val="Hyperlink"/>
            <w:i/>
          </w:rPr>
          <w:t>TLVs</w:t>
        </w:r>
        <w:r>
          <w:rPr>
            <w:rStyle w:val="Hyperlink"/>
            <w:i/>
            <w:vertAlign w:val="superscript"/>
          </w:rPr>
          <w:t>®</w:t>
        </w:r>
        <w:r>
          <w:rPr>
            <w:rStyle w:val="Hyperlink"/>
            <w:i/>
          </w:rPr>
          <w:t xml:space="preserve"> and BEIs</w:t>
        </w:r>
        <w:r>
          <w:rPr>
            <w:rStyle w:val="Hyperlink"/>
            <w:i/>
            <w:vertAlign w:val="superscript"/>
          </w:rPr>
          <w:t>®</w:t>
        </w:r>
        <w:r>
          <w:rPr>
            <w:rStyle w:val="Hyperlink"/>
            <w:i/>
          </w:rPr>
          <w:t xml:space="preserve"> Guidelines section</w:t>
        </w:r>
      </w:hyperlink>
      <w:r>
        <w:t xml:space="preserve"> on the ACGIH website.</w:t>
      </w:r>
    </w:p>
    <w:p w14:paraId="0FCB31A3" w14:textId="587A8673" w:rsidR="00B504D9" w:rsidRDefault="00B504D9" w:rsidP="00084859">
      <w:r w:rsidRPr="002022B6">
        <w:t xml:space="preserve">Deutsche </w:t>
      </w:r>
      <w:proofErr w:type="spellStart"/>
      <w:r w:rsidRPr="002022B6">
        <w:t>Forschungsgemeinschaft</w:t>
      </w:r>
      <w:proofErr w:type="spellEnd"/>
      <w:r w:rsidRPr="002022B6">
        <w:t xml:space="preserve"> (DFG)</w:t>
      </w:r>
      <w:r>
        <w:t xml:space="preserve"> (1999) </w:t>
      </w:r>
      <w:r w:rsidRPr="00B504D9">
        <w:t>Diethyl ether</w:t>
      </w:r>
      <w:r>
        <w:t xml:space="preserve"> – MAK value documentation.</w:t>
      </w:r>
    </w:p>
    <w:p w14:paraId="529094C3" w14:textId="77777777" w:rsidR="0021108A" w:rsidRDefault="0021108A" w:rsidP="0021108A">
      <w:r>
        <w:t xml:space="preserve">European Chemicals Agency (ECHA) (2019) </w:t>
      </w:r>
      <w:r w:rsidRPr="00B504D9">
        <w:t>Ethyl ether</w:t>
      </w:r>
      <w:r>
        <w:t xml:space="preserve"> – REACH assessment.</w:t>
      </w:r>
    </w:p>
    <w:p w14:paraId="6F84DD3D" w14:textId="3522480A" w:rsidR="00866933" w:rsidRDefault="00866933" w:rsidP="00084859">
      <w:r w:rsidRPr="002022B6">
        <w:t xml:space="preserve">EU Scientific Committee </w:t>
      </w:r>
      <w:proofErr w:type="gramStart"/>
      <w:r w:rsidRPr="002022B6">
        <w:t>on Occupational Exposure Limits (SCOEL)</w:t>
      </w:r>
      <w:r>
        <w:t xml:space="preserve"> (1991) Recommendation from the Scientific Committee on Occupational Exposure Limits for Diethyl ether</w:t>
      </w:r>
      <w:proofErr w:type="gramEnd"/>
      <w:r>
        <w:t>. SCOEL/SUM/15B.</w:t>
      </w:r>
    </w:p>
    <w:p w14:paraId="5A74000C" w14:textId="77777777" w:rsidR="0021108A" w:rsidRPr="00351FE0" w:rsidRDefault="0021108A" w:rsidP="0021108A">
      <w:r w:rsidRPr="002022B6">
        <w:t>Nordic Expert Group for Criteria Documentation of Health Risks of Chemicals</w:t>
      </w:r>
      <w:r>
        <w:t xml:space="preserve"> (1992) Ethyl ether. NR 1992:30</w:t>
      </w:r>
      <w:r w:rsidRPr="000A11D8">
        <w:t>.</w:t>
      </w:r>
    </w:p>
    <w:p w14:paraId="5D0E9294" w14:textId="77777777" w:rsidR="00533A38" w:rsidRDefault="00533A38" w:rsidP="00533A38">
      <w:r w:rsidRPr="00E026DF">
        <w:t>UK Health and Safety Executive (HSE) (2002) EH40/2005 Workplace exposure limits.</w:t>
      </w:r>
    </w:p>
    <w:p w14:paraId="7F3264B2" w14:textId="00773C34" w:rsidR="006F33B8" w:rsidRDefault="00E026DF" w:rsidP="00084859">
      <w:r w:rsidRPr="00E026DF">
        <w:t>US Environmental Protection Authority (US EPA) (</w:t>
      </w:r>
      <w:r>
        <w:t>1990</w:t>
      </w:r>
      <w:r w:rsidRPr="00E026DF">
        <w:t xml:space="preserve">) Integrated Risk Information System (IRIS) Chemical Assessment Summary – </w:t>
      </w:r>
      <w:r>
        <w:t>Ethyl ether.</w:t>
      </w:r>
    </w:p>
    <w:p w14:paraId="0113052F" w14:textId="02A64DB2" w:rsidR="006F33B8" w:rsidRDefault="00E026DF" w:rsidP="00084859">
      <w:r w:rsidRPr="00E026DF">
        <w:t xml:space="preserve">US National Institute for Occupational Safety and Health (NIOSH) (1994) </w:t>
      </w:r>
      <w:proofErr w:type="gramStart"/>
      <w:r w:rsidRPr="00E026DF">
        <w:t>Immediately</w:t>
      </w:r>
      <w:proofErr w:type="gramEnd"/>
      <w:r w:rsidRPr="00E026DF">
        <w:t xml:space="preserve"> dangerous to life or health concentrations – </w:t>
      </w:r>
      <w:r>
        <w:t>ethyl ether.</w:t>
      </w:r>
    </w:p>
    <w:bookmarkEnd w:id="0"/>
    <w:p w14:paraId="71B10F48" w14:textId="11ADEAF5" w:rsidR="00E026DF" w:rsidRPr="00351FE0" w:rsidRDefault="00E026DF" w:rsidP="00084859"/>
    <w:sectPr w:rsidR="00E026DF" w:rsidRPr="00351FE0" w:rsidSect="00B87D4C">
      <w:headerReference w:type="even" r:id="rId18"/>
      <w:headerReference w:type="default" r:id="rId19"/>
      <w:headerReference w:type="first" r:id="rId20"/>
      <w:pgSz w:w="11906" w:h="16838"/>
      <w:pgMar w:top="1440" w:right="1440" w:bottom="1440" w:left="1440" w:header="708" w:footer="28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EB3295" w16cid:durableId="219345F0"/>
  <w16cid:commentId w16cid:paraId="4F92C9A6" w16cid:durableId="219345F1"/>
  <w16cid:commentId w16cid:paraId="2AD3BA87" w16cid:durableId="2188CFFB"/>
  <w16cid:commentId w16cid:paraId="7E21CD84" w16cid:durableId="2188D147"/>
  <w16cid:commentId w16cid:paraId="569C79BC" w16cid:durableId="219345F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37E64" w14:textId="77777777" w:rsidR="00E92318" w:rsidRDefault="00E92318" w:rsidP="00F43AD5">
      <w:pPr>
        <w:spacing w:after="0" w:line="240" w:lineRule="auto"/>
      </w:pPr>
      <w:r>
        <w:separator/>
      </w:r>
    </w:p>
  </w:endnote>
  <w:endnote w:type="continuationSeparator" w:id="0">
    <w:p w14:paraId="3DB549BD" w14:textId="77777777" w:rsidR="00E92318" w:rsidRDefault="00E92318" w:rsidP="00F43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48604" w14:textId="77777777" w:rsidR="00F96EBC" w:rsidRDefault="00F96E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787447"/>
      <w:docPartObj>
        <w:docPartGallery w:val="Page Numbers (Bottom of Page)"/>
        <w:docPartUnique/>
      </w:docPartObj>
    </w:sdtPr>
    <w:sdtEndPr>
      <w:rPr>
        <w:noProof/>
        <w:sz w:val="18"/>
        <w:szCs w:val="18"/>
      </w:rPr>
    </w:sdtEndPr>
    <w:sdtContent>
      <w:p w14:paraId="1B28AEC8" w14:textId="1E7FECEA" w:rsidR="00746149" w:rsidRDefault="00746149" w:rsidP="0034744C">
        <w:pPr>
          <w:pStyle w:val="Footer"/>
          <w:rPr>
            <w:sz w:val="18"/>
            <w:szCs w:val="18"/>
          </w:rPr>
        </w:pPr>
        <w:r w:rsidRPr="008C79ED">
          <w:rPr>
            <w:b/>
            <w:sz w:val="18"/>
            <w:szCs w:val="18"/>
          </w:rPr>
          <w:t>Ethyl ether</w:t>
        </w:r>
        <w:r>
          <w:rPr>
            <w:b/>
            <w:sz w:val="18"/>
            <w:szCs w:val="18"/>
          </w:rPr>
          <w:t xml:space="preserve"> (</w:t>
        </w:r>
        <w:r w:rsidRPr="008C79ED">
          <w:rPr>
            <w:b/>
            <w:sz w:val="18"/>
            <w:szCs w:val="18"/>
          </w:rPr>
          <w:t>60-29-7</w:t>
        </w:r>
        <w:proofErr w:type="gramStart"/>
        <w:r>
          <w:rPr>
            <w:b/>
            <w:sz w:val="18"/>
            <w:szCs w:val="18"/>
          </w:rPr>
          <w:t>)</w:t>
        </w:r>
        <w:proofErr w:type="gramEnd"/>
        <w:r w:rsidRPr="00F43AD5">
          <w:rPr>
            <w:sz w:val="18"/>
            <w:szCs w:val="18"/>
          </w:rPr>
          <w:br/>
          <w:t xml:space="preserve">Safe Work Australia </w:t>
        </w:r>
        <w:r w:rsidRPr="00F43AD5">
          <w:rPr>
            <w:rFonts w:ascii="Courier New" w:hAnsi="Courier New" w:cs="Courier New"/>
            <w:sz w:val="18"/>
            <w:szCs w:val="18"/>
          </w:rPr>
          <w:t>—</w:t>
        </w:r>
        <w:r w:rsidRPr="00F43AD5">
          <w:rPr>
            <w:sz w:val="18"/>
            <w:szCs w:val="18"/>
          </w:rPr>
          <w:t xml:space="preserve"> 201</w:t>
        </w:r>
        <w:r>
          <w:rPr>
            <w:sz w:val="18"/>
            <w:szCs w:val="18"/>
          </w:rPr>
          <w:t>9</w:t>
        </w:r>
      </w:p>
      <w:p w14:paraId="02C5FBC3" w14:textId="01FC221C" w:rsidR="00746149" w:rsidRPr="00F43AD5" w:rsidRDefault="00746149" w:rsidP="00A27E2D">
        <w:pPr>
          <w:pStyle w:val="Footer"/>
          <w:jc w:val="right"/>
          <w:rPr>
            <w:sz w:val="18"/>
            <w:szCs w:val="18"/>
          </w:rPr>
        </w:pPr>
        <w:r w:rsidRPr="00F43AD5">
          <w:rPr>
            <w:sz w:val="18"/>
            <w:szCs w:val="18"/>
          </w:rPr>
          <w:fldChar w:fldCharType="begin"/>
        </w:r>
        <w:r w:rsidRPr="00F43AD5">
          <w:rPr>
            <w:sz w:val="18"/>
            <w:szCs w:val="18"/>
          </w:rPr>
          <w:instrText xml:space="preserve"> PAGE   \* MERGEFORMAT </w:instrText>
        </w:r>
        <w:r w:rsidRPr="00F43AD5">
          <w:rPr>
            <w:sz w:val="18"/>
            <w:szCs w:val="18"/>
          </w:rPr>
          <w:fldChar w:fldCharType="separate"/>
        </w:r>
        <w:r w:rsidR="009F4D5E">
          <w:rPr>
            <w:noProof/>
            <w:sz w:val="18"/>
            <w:szCs w:val="18"/>
          </w:rPr>
          <w:t>7</w:t>
        </w:r>
        <w:r w:rsidRPr="00F43AD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B1E8B" w14:textId="77777777" w:rsidR="00F96EBC" w:rsidRDefault="00F96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0D2B1" w14:textId="77777777" w:rsidR="00E92318" w:rsidRDefault="00E92318" w:rsidP="00F43AD5">
      <w:pPr>
        <w:spacing w:after="0" w:line="240" w:lineRule="auto"/>
      </w:pPr>
      <w:r>
        <w:separator/>
      </w:r>
    </w:p>
  </w:footnote>
  <w:footnote w:type="continuationSeparator" w:id="0">
    <w:p w14:paraId="1E0F55EC" w14:textId="77777777" w:rsidR="00E92318" w:rsidRDefault="00E92318" w:rsidP="00F43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57751" w14:textId="736E990A" w:rsidR="00F96EBC" w:rsidRDefault="006515CC">
    <w:pPr>
      <w:pStyle w:val="Header"/>
    </w:pPr>
    <w:r>
      <w:rPr>
        <w:noProof/>
      </w:rPr>
      <w:pict w14:anchorId="01F01B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912032" o:spid="_x0000_s8194"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09CBB" w14:textId="6DE02D03" w:rsidR="00746149" w:rsidRDefault="006515CC" w:rsidP="00F43AD5">
    <w:pPr>
      <w:pStyle w:val="Header"/>
      <w:jc w:val="right"/>
    </w:pPr>
    <w:r>
      <w:rPr>
        <w:noProof/>
      </w:rPr>
      <w:pict w14:anchorId="146B27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912033" o:spid="_x0000_s8195" type="#_x0000_t136" style="position:absolute;left:0;text-align:left;margin-left:0;margin-top:0;width:454.5pt;height:181.8pt;rotation:315;z-index:-251653120;mso-position-horizontal:center;mso-position-horizontal-relative:margin;mso-position-vertical:center;mso-position-vertical-relative:margin" o:allowincell="f" fillcolor="silver" stroked="f">
          <v:fill opacity=".5"/>
          <v:textpath style="font-family:&quot;Arial&quot;;font-size:1pt" string="DRAFT"/>
        </v:shape>
      </w:pict>
    </w:r>
    <w:r w:rsidR="00746149">
      <w:rPr>
        <w:noProof/>
        <w:lang w:eastAsia="en-AU"/>
      </w:rPr>
      <w:drawing>
        <wp:inline distT="0" distB="0" distL="0" distR="0" wp14:anchorId="1F50867D" wp14:editId="6F441983">
          <wp:extent cx="2938272" cy="594360"/>
          <wp:effectExtent l="0" t="0" r="0" b="0"/>
          <wp:docPr id="2" name="Picture 2" descr="Safe Work Australia logo" tit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A_logo_inline Hi-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38272" cy="5943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A5EDB" w14:textId="1878647F" w:rsidR="00F96EBC" w:rsidRDefault="006515CC">
    <w:pPr>
      <w:pStyle w:val="Header"/>
    </w:pPr>
    <w:r>
      <w:rPr>
        <w:noProof/>
      </w:rPr>
      <w:pict w14:anchorId="0D51DC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912031" o:spid="_x0000_s8193" type="#_x0000_t136" style="position:absolute;margin-left:0;margin-top:0;width:454.5pt;height:181.8pt;rotation:315;z-index:-251657216;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D50CC" w14:textId="27CD9CBA" w:rsidR="006515CC" w:rsidRDefault="006515CC">
    <w:pPr>
      <w:pStyle w:val="Header"/>
    </w:pPr>
    <w:r>
      <w:rPr>
        <w:noProof/>
      </w:rPr>
      <w:pict w14:anchorId="7CCB8C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912035" o:spid="_x0000_s8197" type="#_x0000_t136" style="position:absolute;margin-left:0;margin-top:0;width:454.5pt;height:181.8pt;rotation:315;z-index:-251649024;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B3D7B" w14:textId="277CE319" w:rsidR="00746149" w:rsidRDefault="006515CC" w:rsidP="00F43AD5">
    <w:pPr>
      <w:pStyle w:val="Header"/>
      <w:jc w:val="right"/>
    </w:pPr>
    <w:r>
      <w:rPr>
        <w:noProof/>
      </w:rPr>
      <w:pict w14:anchorId="2C6130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912036" o:spid="_x0000_s8198" type="#_x0000_t136" style="position:absolute;left:0;text-align:left;margin-left:0;margin-top:0;width:454.5pt;height:181.8pt;rotation:315;z-index:-251646976;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E6BC7" w14:textId="72811A3D" w:rsidR="006515CC" w:rsidRDefault="006515CC">
    <w:pPr>
      <w:pStyle w:val="Header"/>
    </w:pPr>
    <w:r>
      <w:rPr>
        <w:noProof/>
      </w:rPr>
      <w:pict w14:anchorId="26DFCB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912034" o:spid="_x0000_s8196" type="#_x0000_t136" style="position:absolute;margin-left:0;margin-top:0;width:454.5pt;height:181.8pt;rotation:315;z-index:-251651072;mso-position-horizontal:center;mso-position-horizontal-relative:margin;mso-position-vertical:center;mso-position-vertical-relative:margin" o:allowincell="f" fillcolor="silver"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B7623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370B24"/>
    <w:multiLevelType w:val="hybridMultilevel"/>
    <w:tmpl w:val="162605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8992D9A"/>
    <w:multiLevelType w:val="hybridMultilevel"/>
    <w:tmpl w:val="62EA32D2"/>
    <w:lvl w:ilvl="0" w:tplc="F35A6D38">
      <w:start w:val="5"/>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8199"/>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AppendixName" w:val="Appendix"/>
  </w:docVars>
  <w:rsids>
    <w:rsidRoot w:val="00610F2E"/>
    <w:rsid w:val="00000109"/>
    <w:rsid w:val="00007B80"/>
    <w:rsid w:val="00013A22"/>
    <w:rsid w:val="00014C3F"/>
    <w:rsid w:val="00017C82"/>
    <w:rsid w:val="00024E22"/>
    <w:rsid w:val="00032B88"/>
    <w:rsid w:val="00046DF5"/>
    <w:rsid w:val="0004767A"/>
    <w:rsid w:val="00052060"/>
    <w:rsid w:val="0005574A"/>
    <w:rsid w:val="00055FE1"/>
    <w:rsid w:val="00056EC2"/>
    <w:rsid w:val="00060B48"/>
    <w:rsid w:val="00067F32"/>
    <w:rsid w:val="00071807"/>
    <w:rsid w:val="000803E1"/>
    <w:rsid w:val="00084513"/>
    <w:rsid w:val="00084859"/>
    <w:rsid w:val="00092493"/>
    <w:rsid w:val="00092D94"/>
    <w:rsid w:val="0009715D"/>
    <w:rsid w:val="000B0868"/>
    <w:rsid w:val="000B0C6E"/>
    <w:rsid w:val="000B3E12"/>
    <w:rsid w:val="000B3E78"/>
    <w:rsid w:val="000B7B48"/>
    <w:rsid w:val="000C096D"/>
    <w:rsid w:val="000C139A"/>
    <w:rsid w:val="000C2053"/>
    <w:rsid w:val="000C248C"/>
    <w:rsid w:val="000D291C"/>
    <w:rsid w:val="000E5A54"/>
    <w:rsid w:val="000E63D3"/>
    <w:rsid w:val="000E67CF"/>
    <w:rsid w:val="0010461E"/>
    <w:rsid w:val="00106FAA"/>
    <w:rsid w:val="00113443"/>
    <w:rsid w:val="001269A7"/>
    <w:rsid w:val="00131092"/>
    <w:rsid w:val="00140E6A"/>
    <w:rsid w:val="00146545"/>
    <w:rsid w:val="00146B75"/>
    <w:rsid w:val="0015266D"/>
    <w:rsid w:val="0015288A"/>
    <w:rsid w:val="00160F47"/>
    <w:rsid w:val="00174FD8"/>
    <w:rsid w:val="00177CA1"/>
    <w:rsid w:val="00183823"/>
    <w:rsid w:val="00183942"/>
    <w:rsid w:val="001A009E"/>
    <w:rsid w:val="001A11D9"/>
    <w:rsid w:val="001A1287"/>
    <w:rsid w:val="001A3859"/>
    <w:rsid w:val="001A3C9D"/>
    <w:rsid w:val="001A43F8"/>
    <w:rsid w:val="001B79E5"/>
    <w:rsid w:val="001D2817"/>
    <w:rsid w:val="001D56F0"/>
    <w:rsid w:val="001D663B"/>
    <w:rsid w:val="001D7B41"/>
    <w:rsid w:val="001E46DA"/>
    <w:rsid w:val="001E7D80"/>
    <w:rsid w:val="001F2197"/>
    <w:rsid w:val="001F4B6C"/>
    <w:rsid w:val="001F62CB"/>
    <w:rsid w:val="001F6ED0"/>
    <w:rsid w:val="001F72E6"/>
    <w:rsid w:val="001F73C5"/>
    <w:rsid w:val="002046A6"/>
    <w:rsid w:val="00204956"/>
    <w:rsid w:val="0021108A"/>
    <w:rsid w:val="00213640"/>
    <w:rsid w:val="00221547"/>
    <w:rsid w:val="002216FC"/>
    <w:rsid w:val="00222533"/>
    <w:rsid w:val="00222F30"/>
    <w:rsid w:val="00224EE2"/>
    <w:rsid w:val="00227EC7"/>
    <w:rsid w:val="00241725"/>
    <w:rsid w:val="00244AD1"/>
    <w:rsid w:val="002463BC"/>
    <w:rsid w:val="002465CE"/>
    <w:rsid w:val="0025734A"/>
    <w:rsid w:val="00263255"/>
    <w:rsid w:val="00276494"/>
    <w:rsid w:val="00277B0C"/>
    <w:rsid w:val="002A0675"/>
    <w:rsid w:val="002B1A2C"/>
    <w:rsid w:val="002B542B"/>
    <w:rsid w:val="002C34F2"/>
    <w:rsid w:val="002C58FF"/>
    <w:rsid w:val="002C7AFE"/>
    <w:rsid w:val="002D05D2"/>
    <w:rsid w:val="002D360A"/>
    <w:rsid w:val="002E0D61"/>
    <w:rsid w:val="002E4C7B"/>
    <w:rsid w:val="002F6060"/>
    <w:rsid w:val="0030740C"/>
    <w:rsid w:val="00310CC9"/>
    <w:rsid w:val="00315833"/>
    <w:rsid w:val="003215EE"/>
    <w:rsid w:val="003224BF"/>
    <w:rsid w:val="003241A8"/>
    <w:rsid w:val="003253F0"/>
    <w:rsid w:val="003337DA"/>
    <w:rsid w:val="00334EFB"/>
    <w:rsid w:val="00335CDE"/>
    <w:rsid w:val="003365A5"/>
    <w:rsid w:val="00347192"/>
    <w:rsid w:val="0034744C"/>
    <w:rsid w:val="00351FE0"/>
    <w:rsid w:val="00352615"/>
    <w:rsid w:val="0035412B"/>
    <w:rsid w:val="003567A8"/>
    <w:rsid w:val="0036070B"/>
    <w:rsid w:val="00361DF3"/>
    <w:rsid w:val="00362895"/>
    <w:rsid w:val="00370DBF"/>
    <w:rsid w:val="00386093"/>
    <w:rsid w:val="003904A4"/>
    <w:rsid w:val="00391841"/>
    <w:rsid w:val="00391B6D"/>
    <w:rsid w:val="00394922"/>
    <w:rsid w:val="003A0E32"/>
    <w:rsid w:val="003A2B94"/>
    <w:rsid w:val="003B387D"/>
    <w:rsid w:val="003C0D58"/>
    <w:rsid w:val="003D4553"/>
    <w:rsid w:val="003D4FA3"/>
    <w:rsid w:val="003E0807"/>
    <w:rsid w:val="003E51FB"/>
    <w:rsid w:val="003E6B39"/>
    <w:rsid w:val="003F07E1"/>
    <w:rsid w:val="004030BC"/>
    <w:rsid w:val="00403F7D"/>
    <w:rsid w:val="00406785"/>
    <w:rsid w:val="004079B4"/>
    <w:rsid w:val="00417A56"/>
    <w:rsid w:val="00420452"/>
    <w:rsid w:val="00420957"/>
    <w:rsid w:val="00422A10"/>
    <w:rsid w:val="00430179"/>
    <w:rsid w:val="004347B2"/>
    <w:rsid w:val="004414B5"/>
    <w:rsid w:val="00444482"/>
    <w:rsid w:val="00444B42"/>
    <w:rsid w:val="00445E44"/>
    <w:rsid w:val="004509E2"/>
    <w:rsid w:val="004515EE"/>
    <w:rsid w:val="004529F0"/>
    <w:rsid w:val="00460A03"/>
    <w:rsid w:val="00467847"/>
    <w:rsid w:val="0047283B"/>
    <w:rsid w:val="00472A11"/>
    <w:rsid w:val="00472AAD"/>
    <w:rsid w:val="00474E33"/>
    <w:rsid w:val="00476803"/>
    <w:rsid w:val="00476F39"/>
    <w:rsid w:val="00485BFD"/>
    <w:rsid w:val="004867A2"/>
    <w:rsid w:val="004873F2"/>
    <w:rsid w:val="00490D4C"/>
    <w:rsid w:val="00493A35"/>
    <w:rsid w:val="0049527A"/>
    <w:rsid w:val="004966BF"/>
    <w:rsid w:val="00497984"/>
    <w:rsid w:val="004A5088"/>
    <w:rsid w:val="004C1E3F"/>
    <w:rsid w:val="004C23F4"/>
    <w:rsid w:val="004C3475"/>
    <w:rsid w:val="004C58B6"/>
    <w:rsid w:val="004D16A3"/>
    <w:rsid w:val="004D4AA1"/>
    <w:rsid w:val="004D6D68"/>
    <w:rsid w:val="004E5B7E"/>
    <w:rsid w:val="004E5EDD"/>
    <w:rsid w:val="004F448A"/>
    <w:rsid w:val="004F493D"/>
    <w:rsid w:val="004F65E8"/>
    <w:rsid w:val="0050005E"/>
    <w:rsid w:val="00502B88"/>
    <w:rsid w:val="005142C4"/>
    <w:rsid w:val="0051509C"/>
    <w:rsid w:val="005272E2"/>
    <w:rsid w:val="0053108F"/>
    <w:rsid w:val="00532B56"/>
    <w:rsid w:val="00533A38"/>
    <w:rsid w:val="00534B10"/>
    <w:rsid w:val="005446A2"/>
    <w:rsid w:val="00544D2F"/>
    <w:rsid w:val="00551BD8"/>
    <w:rsid w:val="00576ED3"/>
    <w:rsid w:val="00577984"/>
    <w:rsid w:val="00581055"/>
    <w:rsid w:val="00583A34"/>
    <w:rsid w:val="00591E38"/>
    <w:rsid w:val="005A19C5"/>
    <w:rsid w:val="005A3034"/>
    <w:rsid w:val="005A462D"/>
    <w:rsid w:val="005B253B"/>
    <w:rsid w:val="005B771D"/>
    <w:rsid w:val="005C5D16"/>
    <w:rsid w:val="005D2A26"/>
    <w:rsid w:val="005D3193"/>
    <w:rsid w:val="005D4A6E"/>
    <w:rsid w:val="005E6979"/>
    <w:rsid w:val="005E75CB"/>
    <w:rsid w:val="006013C1"/>
    <w:rsid w:val="0060669E"/>
    <w:rsid w:val="00610F2E"/>
    <w:rsid w:val="00611399"/>
    <w:rsid w:val="00613179"/>
    <w:rsid w:val="00624C4E"/>
    <w:rsid w:val="00625200"/>
    <w:rsid w:val="006363A8"/>
    <w:rsid w:val="00636DB7"/>
    <w:rsid w:val="00642B5A"/>
    <w:rsid w:val="00650905"/>
    <w:rsid w:val="006515CC"/>
    <w:rsid w:val="006532ED"/>
    <w:rsid w:val="006549F2"/>
    <w:rsid w:val="006567B7"/>
    <w:rsid w:val="00657BFB"/>
    <w:rsid w:val="006616F6"/>
    <w:rsid w:val="0066333C"/>
    <w:rsid w:val="006639B4"/>
    <w:rsid w:val="006650FE"/>
    <w:rsid w:val="0067305D"/>
    <w:rsid w:val="006747B5"/>
    <w:rsid w:val="00677D9B"/>
    <w:rsid w:val="006867F3"/>
    <w:rsid w:val="00687890"/>
    <w:rsid w:val="006901A2"/>
    <w:rsid w:val="00690368"/>
    <w:rsid w:val="0069079C"/>
    <w:rsid w:val="00690B53"/>
    <w:rsid w:val="00695B72"/>
    <w:rsid w:val="006B160A"/>
    <w:rsid w:val="006B4E6C"/>
    <w:rsid w:val="006B50B6"/>
    <w:rsid w:val="006D79EA"/>
    <w:rsid w:val="006E5D05"/>
    <w:rsid w:val="006F33B8"/>
    <w:rsid w:val="006F3DA5"/>
    <w:rsid w:val="00701053"/>
    <w:rsid w:val="00701507"/>
    <w:rsid w:val="00714021"/>
    <w:rsid w:val="00716A0F"/>
    <w:rsid w:val="00717D45"/>
    <w:rsid w:val="007208F7"/>
    <w:rsid w:val="007218AF"/>
    <w:rsid w:val="007365D1"/>
    <w:rsid w:val="00740843"/>
    <w:rsid w:val="00740E0E"/>
    <w:rsid w:val="00746149"/>
    <w:rsid w:val="00750212"/>
    <w:rsid w:val="00754779"/>
    <w:rsid w:val="0075716D"/>
    <w:rsid w:val="00765F14"/>
    <w:rsid w:val="00770E31"/>
    <w:rsid w:val="007770F1"/>
    <w:rsid w:val="00783FB1"/>
    <w:rsid w:val="00785CDD"/>
    <w:rsid w:val="00791847"/>
    <w:rsid w:val="007925F0"/>
    <w:rsid w:val="007939B3"/>
    <w:rsid w:val="0079509C"/>
    <w:rsid w:val="00796708"/>
    <w:rsid w:val="007A5C69"/>
    <w:rsid w:val="007B1B42"/>
    <w:rsid w:val="007B42D8"/>
    <w:rsid w:val="007C30EB"/>
    <w:rsid w:val="007D0EAA"/>
    <w:rsid w:val="007D19F6"/>
    <w:rsid w:val="007E063C"/>
    <w:rsid w:val="007E06F8"/>
    <w:rsid w:val="007E2A4B"/>
    <w:rsid w:val="007E307D"/>
    <w:rsid w:val="007E6A4E"/>
    <w:rsid w:val="007E6C94"/>
    <w:rsid w:val="007F1005"/>
    <w:rsid w:val="007F25E0"/>
    <w:rsid w:val="007F5328"/>
    <w:rsid w:val="00804F5A"/>
    <w:rsid w:val="00810C6D"/>
    <w:rsid w:val="00812887"/>
    <w:rsid w:val="00826F21"/>
    <w:rsid w:val="00834CC8"/>
    <w:rsid w:val="00835E00"/>
    <w:rsid w:val="00837113"/>
    <w:rsid w:val="008414E4"/>
    <w:rsid w:val="00843E21"/>
    <w:rsid w:val="0084508E"/>
    <w:rsid w:val="00857A8A"/>
    <w:rsid w:val="008630EE"/>
    <w:rsid w:val="00864D13"/>
    <w:rsid w:val="00866933"/>
    <w:rsid w:val="00871CD5"/>
    <w:rsid w:val="008745A2"/>
    <w:rsid w:val="008768A8"/>
    <w:rsid w:val="008860F4"/>
    <w:rsid w:val="0088798F"/>
    <w:rsid w:val="00887E4B"/>
    <w:rsid w:val="008915C8"/>
    <w:rsid w:val="008A36CF"/>
    <w:rsid w:val="008A3BC4"/>
    <w:rsid w:val="008B403C"/>
    <w:rsid w:val="008B7983"/>
    <w:rsid w:val="008C2511"/>
    <w:rsid w:val="008C79ED"/>
    <w:rsid w:val="008D026D"/>
    <w:rsid w:val="008D23AB"/>
    <w:rsid w:val="008D46BC"/>
    <w:rsid w:val="008D4B8B"/>
    <w:rsid w:val="008D5A78"/>
    <w:rsid w:val="008E7B64"/>
    <w:rsid w:val="008F5DCD"/>
    <w:rsid w:val="00900951"/>
    <w:rsid w:val="009118A6"/>
    <w:rsid w:val="00916909"/>
    <w:rsid w:val="00916EC0"/>
    <w:rsid w:val="00920467"/>
    <w:rsid w:val="00921DE7"/>
    <w:rsid w:val="0093041A"/>
    <w:rsid w:val="00930714"/>
    <w:rsid w:val="00931B03"/>
    <w:rsid w:val="009323B9"/>
    <w:rsid w:val="00932DCE"/>
    <w:rsid w:val="0093327E"/>
    <w:rsid w:val="00934028"/>
    <w:rsid w:val="0093760E"/>
    <w:rsid w:val="0094372E"/>
    <w:rsid w:val="00946044"/>
    <w:rsid w:val="0094660B"/>
    <w:rsid w:val="00946A33"/>
    <w:rsid w:val="0095102F"/>
    <w:rsid w:val="0095260E"/>
    <w:rsid w:val="00954322"/>
    <w:rsid w:val="009578DD"/>
    <w:rsid w:val="00961124"/>
    <w:rsid w:val="009621B6"/>
    <w:rsid w:val="00974F2D"/>
    <w:rsid w:val="00977524"/>
    <w:rsid w:val="00977E88"/>
    <w:rsid w:val="00984920"/>
    <w:rsid w:val="0099303A"/>
    <w:rsid w:val="009971C2"/>
    <w:rsid w:val="009A1254"/>
    <w:rsid w:val="009A6941"/>
    <w:rsid w:val="009B2FF2"/>
    <w:rsid w:val="009B380C"/>
    <w:rsid w:val="009B4843"/>
    <w:rsid w:val="009B6543"/>
    <w:rsid w:val="009C199D"/>
    <w:rsid w:val="009C278F"/>
    <w:rsid w:val="009C2B94"/>
    <w:rsid w:val="009C5874"/>
    <w:rsid w:val="009D3B5A"/>
    <w:rsid w:val="009E0C05"/>
    <w:rsid w:val="009E0D1C"/>
    <w:rsid w:val="009E2214"/>
    <w:rsid w:val="009E355A"/>
    <w:rsid w:val="009E63E2"/>
    <w:rsid w:val="009F04D2"/>
    <w:rsid w:val="009F05CF"/>
    <w:rsid w:val="009F0F3A"/>
    <w:rsid w:val="009F4D5E"/>
    <w:rsid w:val="00A01D0C"/>
    <w:rsid w:val="00A0643F"/>
    <w:rsid w:val="00A067EE"/>
    <w:rsid w:val="00A10FCE"/>
    <w:rsid w:val="00A16D91"/>
    <w:rsid w:val="00A174CC"/>
    <w:rsid w:val="00A2073D"/>
    <w:rsid w:val="00A20751"/>
    <w:rsid w:val="00A27E2D"/>
    <w:rsid w:val="00A31D99"/>
    <w:rsid w:val="00A357BA"/>
    <w:rsid w:val="00A35ADC"/>
    <w:rsid w:val="00A402A3"/>
    <w:rsid w:val="00A53681"/>
    <w:rsid w:val="00A633D4"/>
    <w:rsid w:val="00A6461A"/>
    <w:rsid w:val="00A84504"/>
    <w:rsid w:val="00A8672F"/>
    <w:rsid w:val="00A93057"/>
    <w:rsid w:val="00A968B0"/>
    <w:rsid w:val="00AB2672"/>
    <w:rsid w:val="00AB2817"/>
    <w:rsid w:val="00AB43C4"/>
    <w:rsid w:val="00AC32E7"/>
    <w:rsid w:val="00AC3A9F"/>
    <w:rsid w:val="00AC6D2F"/>
    <w:rsid w:val="00AE2745"/>
    <w:rsid w:val="00AE2F64"/>
    <w:rsid w:val="00AF42CB"/>
    <w:rsid w:val="00AF483F"/>
    <w:rsid w:val="00AF5E07"/>
    <w:rsid w:val="00AF5F06"/>
    <w:rsid w:val="00B00A25"/>
    <w:rsid w:val="00B1422A"/>
    <w:rsid w:val="00B1765C"/>
    <w:rsid w:val="00B213C4"/>
    <w:rsid w:val="00B23A9F"/>
    <w:rsid w:val="00B31829"/>
    <w:rsid w:val="00B40C60"/>
    <w:rsid w:val="00B479A9"/>
    <w:rsid w:val="00B504D9"/>
    <w:rsid w:val="00B52EDF"/>
    <w:rsid w:val="00B71188"/>
    <w:rsid w:val="00B76A41"/>
    <w:rsid w:val="00B87D4C"/>
    <w:rsid w:val="00B93646"/>
    <w:rsid w:val="00BA0B38"/>
    <w:rsid w:val="00BA1DBB"/>
    <w:rsid w:val="00BA4510"/>
    <w:rsid w:val="00BA529A"/>
    <w:rsid w:val="00BB612A"/>
    <w:rsid w:val="00BD499F"/>
    <w:rsid w:val="00BD56DE"/>
    <w:rsid w:val="00BF2406"/>
    <w:rsid w:val="00C03F3F"/>
    <w:rsid w:val="00C06E43"/>
    <w:rsid w:val="00C16315"/>
    <w:rsid w:val="00C3091E"/>
    <w:rsid w:val="00C40FF1"/>
    <w:rsid w:val="00C419E2"/>
    <w:rsid w:val="00C5020E"/>
    <w:rsid w:val="00C57452"/>
    <w:rsid w:val="00C61EDF"/>
    <w:rsid w:val="00C6239D"/>
    <w:rsid w:val="00C6594B"/>
    <w:rsid w:val="00C67FFB"/>
    <w:rsid w:val="00C7155E"/>
    <w:rsid w:val="00C71B1F"/>
    <w:rsid w:val="00C71D1E"/>
    <w:rsid w:val="00C71D7D"/>
    <w:rsid w:val="00C74833"/>
    <w:rsid w:val="00C850A0"/>
    <w:rsid w:val="00C85A86"/>
    <w:rsid w:val="00C978F0"/>
    <w:rsid w:val="00CA19A3"/>
    <w:rsid w:val="00CA58FE"/>
    <w:rsid w:val="00CB1CB1"/>
    <w:rsid w:val="00CB6BC1"/>
    <w:rsid w:val="00CB6CB8"/>
    <w:rsid w:val="00CC1A68"/>
    <w:rsid w:val="00CC2123"/>
    <w:rsid w:val="00CD2BFD"/>
    <w:rsid w:val="00CE5AD6"/>
    <w:rsid w:val="00CE617F"/>
    <w:rsid w:val="00CE78EF"/>
    <w:rsid w:val="00D009AB"/>
    <w:rsid w:val="00D048F7"/>
    <w:rsid w:val="00D0517E"/>
    <w:rsid w:val="00D140FC"/>
    <w:rsid w:val="00D21D8C"/>
    <w:rsid w:val="00D31357"/>
    <w:rsid w:val="00D33220"/>
    <w:rsid w:val="00D334D1"/>
    <w:rsid w:val="00D44C89"/>
    <w:rsid w:val="00D45E07"/>
    <w:rsid w:val="00D516CD"/>
    <w:rsid w:val="00D54507"/>
    <w:rsid w:val="00D668E6"/>
    <w:rsid w:val="00D70670"/>
    <w:rsid w:val="00D74D80"/>
    <w:rsid w:val="00D76624"/>
    <w:rsid w:val="00D85E9A"/>
    <w:rsid w:val="00D871D4"/>
    <w:rsid w:val="00D87570"/>
    <w:rsid w:val="00D91CB9"/>
    <w:rsid w:val="00D9558F"/>
    <w:rsid w:val="00D97989"/>
    <w:rsid w:val="00D97D8D"/>
    <w:rsid w:val="00DA352E"/>
    <w:rsid w:val="00DB6CBE"/>
    <w:rsid w:val="00DC7694"/>
    <w:rsid w:val="00DD1BF6"/>
    <w:rsid w:val="00DD2235"/>
    <w:rsid w:val="00DD2F9B"/>
    <w:rsid w:val="00DE2513"/>
    <w:rsid w:val="00DE26E8"/>
    <w:rsid w:val="00DF6F36"/>
    <w:rsid w:val="00E0084C"/>
    <w:rsid w:val="00E025AB"/>
    <w:rsid w:val="00E026DF"/>
    <w:rsid w:val="00E02B23"/>
    <w:rsid w:val="00E06E7B"/>
    <w:rsid w:val="00E06F40"/>
    <w:rsid w:val="00E07CE8"/>
    <w:rsid w:val="00E24F4B"/>
    <w:rsid w:val="00E26A07"/>
    <w:rsid w:val="00E32595"/>
    <w:rsid w:val="00E37CFD"/>
    <w:rsid w:val="00E4153B"/>
    <w:rsid w:val="00E41A26"/>
    <w:rsid w:val="00E46BCB"/>
    <w:rsid w:val="00E51CAF"/>
    <w:rsid w:val="00E60F04"/>
    <w:rsid w:val="00E62AAC"/>
    <w:rsid w:val="00E66AA9"/>
    <w:rsid w:val="00E67C2F"/>
    <w:rsid w:val="00E67EF5"/>
    <w:rsid w:val="00E804EA"/>
    <w:rsid w:val="00E80A71"/>
    <w:rsid w:val="00E82337"/>
    <w:rsid w:val="00E92318"/>
    <w:rsid w:val="00E92499"/>
    <w:rsid w:val="00E949AF"/>
    <w:rsid w:val="00E96077"/>
    <w:rsid w:val="00EA0A06"/>
    <w:rsid w:val="00EA45C5"/>
    <w:rsid w:val="00EA6243"/>
    <w:rsid w:val="00EA74AB"/>
    <w:rsid w:val="00EB38FA"/>
    <w:rsid w:val="00EB3D1B"/>
    <w:rsid w:val="00ED1D89"/>
    <w:rsid w:val="00ED66BC"/>
    <w:rsid w:val="00EF0620"/>
    <w:rsid w:val="00EF233A"/>
    <w:rsid w:val="00EF303E"/>
    <w:rsid w:val="00EF3A40"/>
    <w:rsid w:val="00EF7F78"/>
    <w:rsid w:val="00F01B08"/>
    <w:rsid w:val="00F01C4D"/>
    <w:rsid w:val="00F053FA"/>
    <w:rsid w:val="00F10C97"/>
    <w:rsid w:val="00F11C71"/>
    <w:rsid w:val="00F16019"/>
    <w:rsid w:val="00F20E68"/>
    <w:rsid w:val="00F22093"/>
    <w:rsid w:val="00F236DF"/>
    <w:rsid w:val="00F43AD5"/>
    <w:rsid w:val="00F4402E"/>
    <w:rsid w:val="00F56DD0"/>
    <w:rsid w:val="00F6491C"/>
    <w:rsid w:val="00F67BBB"/>
    <w:rsid w:val="00F87D92"/>
    <w:rsid w:val="00F90AA7"/>
    <w:rsid w:val="00F92498"/>
    <w:rsid w:val="00F9496B"/>
    <w:rsid w:val="00F96EBC"/>
    <w:rsid w:val="00F970C9"/>
    <w:rsid w:val="00FA06A8"/>
    <w:rsid w:val="00FA3DF5"/>
    <w:rsid w:val="00FA741F"/>
    <w:rsid w:val="00FB4E07"/>
    <w:rsid w:val="00FB755A"/>
    <w:rsid w:val="00FC60A2"/>
    <w:rsid w:val="00FD1871"/>
    <w:rsid w:val="00FD3110"/>
    <w:rsid w:val="00FF5C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9"/>
    <o:shapelayout v:ext="edit">
      <o:idmap v:ext="edit" data="1"/>
    </o:shapelayout>
  </w:shapeDefaults>
  <w:decimalSymbol w:val="."/>
  <w:listSeparator w:val=","/>
  <w14:docId w14:val="090CA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220"/>
    <w:pPr>
      <w:spacing w:after="120"/>
    </w:pPr>
  </w:style>
  <w:style w:type="paragraph" w:styleId="Heading1">
    <w:name w:val="heading 1"/>
    <w:basedOn w:val="Normal"/>
    <w:next w:val="Normal"/>
    <w:link w:val="Heading1Char"/>
    <w:qFormat/>
    <w:rsid w:val="00AE2745"/>
    <w:pPr>
      <w:keepNext/>
      <w:spacing w:before="360" w:after="240" w:line="240" w:lineRule="auto"/>
      <w:outlineLvl w:val="0"/>
    </w:pPr>
    <w:rPr>
      <w:rFonts w:ascii="Arial Bold" w:eastAsiaTheme="majorEastAsia" w:hAnsi="Arial Bold" w:cstheme="majorBidi"/>
      <w:b/>
      <w:bCs/>
      <w:caps/>
      <w:kern w:val="32"/>
      <w:sz w:val="36"/>
      <w:szCs w:val="40"/>
      <w:lang w:eastAsia="en-AU"/>
    </w:rPr>
  </w:style>
  <w:style w:type="paragraph" w:styleId="Heading2">
    <w:name w:val="heading 2"/>
    <w:basedOn w:val="Normal"/>
    <w:next w:val="Normal"/>
    <w:link w:val="Heading2Char"/>
    <w:unhideWhenUsed/>
    <w:qFormat/>
    <w:rsid w:val="00AE2745"/>
    <w:pPr>
      <w:keepNext/>
      <w:spacing w:before="240" w:line="240" w:lineRule="auto"/>
      <w:outlineLvl w:val="1"/>
    </w:pPr>
    <w:rPr>
      <w:rFonts w:eastAsiaTheme="majorEastAsia" w:cs="Arial"/>
      <w:b/>
      <w:bCs/>
      <w:iCs/>
      <w:color w:val="000000" w:themeColor="text1"/>
      <w:sz w:val="28"/>
      <w:szCs w:val="32"/>
      <w:lang w:eastAsia="en-AU"/>
    </w:rPr>
  </w:style>
  <w:style w:type="paragraph" w:styleId="Heading3">
    <w:name w:val="heading 3"/>
    <w:basedOn w:val="Normal"/>
    <w:next w:val="Normal"/>
    <w:link w:val="Heading3Char"/>
    <w:uiPriority w:val="9"/>
    <w:unhideWhenUsed/>
    <w:qFormat/>
    <w:rsid w:val="002E0D61"/>
    <w:pPr>
      <w:keepNext/>
      <w:spacing w:before="240" w:line="240" w:lineRule="auto"/>
      <w:outlineLvl w:val="2"/>
    </w:pPr>
    <w:rPr>
      <w:rFonts w:eastAsiaTheme="majorEastAsia" w:cs="Arial"/>
      <w:b/>
      <w:bCs/>
      <w:color w:val="000000" w:themeColor="text1"/>
      <w:sz w:val="24"/>
      <w:lang w:eastAsia="en-AU"/>
    </w:rPr>
  </w:style>
  <w:style w:type="paragraph" w:styleId="Heading4">
    <w:name w:val="heading 4"/>
    <w:basedOn w:val="Normal"/>
    <w:next w:val="Normal"/>
    <w:link w:val="Heading4Char"/>
    <w:uiPriority w:val="9"/>
    <w:semiHidden/>
    <w:unhideWhenUsed/>
    <w:qFormat/>
    <w:rsid w:val="00AF5E07"/>
    <w:pPr>
      <w:spacing w:before="200" w:after="0" w:line="240" w:lineRule="auto"/>
      <w:outlineLvl w:val="3"/>
    </w:pPr>
    <w:rPr>
      <w:rFonts w:eastAsiaTheme="majorEastAsia" w:cstheme="majorBidi"/>
      <w:b/>
      <w:bCs/>
      <w:i/>
      <w:iCs/>
      <w:lang w:eastAsia="en-AU"/>
    </w:rPr>
  </w:style>
  <w:style w:type="paragraph" w:styleId="Heading5">
    <w:name w:val="heading 5"/>
    <w:basedOn w:val="Normal"/>
    <w:next w:val="Normal"/>
    <w:link w:val="Heading5Char"/>
    <w:uiPriority w:val="9"/>
    <w:semiHidden/>
    <w:unhideWhenUsed/>
    <w:qFormat/>
    <w:rsid w:val="00C61EDF"/>
    <w:pPr>
      <w:spacing w:before="200" w:after="0" w:line="240" w:lineRule="auto"/>
      <w:outlineLvl w:val="4"/>
    </w:pPr>
    <w:rPr>
      <w:rFonts w:asciiTheme="majorHAnsi" w:eastAsiaTheme="majorEastAsia" w:hAnsiTheme="majorHAnsi" w:cstheme="majorBidi"/>
      <w:b/>
      <w:bCs/>
      <w:color w:val="7F7F7F" w:themeColor="text1" w:themeTint="8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A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AD5"/>
  </w:style>
  <w:style w:type="paragraph" w:styleId="Footer">
    <w:name w:val="footer"/>
    <w:basedOn w:val="Normal"/>
    <w:link w:val="FooterChar"/>
    <w:uiPriority w:val="99"/>
    <w:unhideWhenUsed/>
    <w:rsid w:val="00F43A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AD5"/>
  </w:style>
  <w:style w:type="paragraph" w:styleId="BalloonText">
    <w:name w:val="Balloon Text"/>
    <w:basedOn w:val="Normal"/>
    <w:link w:val="BalloonTextChar"/>
    <w:uiPriority w:val="99"/>
    <w:semiHidden/>
    <w:unhideWhenUsed/>
    <w:rsid w:val="00F43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AD5"/>
    <w:rPr>
      <w:rFonts w:ascii="Tahoma" w:hAnsi="Tahoma" w:cs="Tahoma"/>
      <w:sz w:val="16"/>
      <w:szCs w:val="16"/>
    </w:rPr>
  </w:style>
  <w:style w:type="paragraph" w:customStyle="1" w:styleId="ChemicalName">
    <w:name w:val="Chemical Name"/>
    <w:basedOn w:val="Normal"/>
    <w:next w:val="Normal"/>
    <w:qFormat/>
    <w:rsid w:val="00F43AD5"/>
    <w:rPr>
      <w:rFonts w:ascii="Arial Bold" w:hAnsi="Arial Bold"/>
      <w:b/>
      <w:caps/>
      <w:sz w:val="28"/>
    </w:rPr>
  </w:style>
  <w:style w:type="table" w:styleId="TableGrid">
    <w:name w:val="Table Grid"/>
    <w:basedOn w:val="TableNormal"/>
    <w:uiPriority w:val="59"/>
    <w:rsid w:val="00717D45"/>
    <w:pPr>
      <w:spacing w:after="0" w:line="240" w:lineRule="auto"/>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B1CB1"/>
    <w:rPr>
      <w:color w:val="808080"/>
    </w:rPr>
  </w:style>
  <w:style w:type="character" w:customStyle="1" w:styleId="Heading1Char">
    <w:name w:val="Heading 1 Char"/>
    <w:basedOn w:val="DefaultParagraphFont"/>
    <w:link w:val="Heading1"/>
    <w:rsid w:val="00AE2745"/>
    <w:rPr>
      <w:rFonts w:ascii="Arial Bold" w:eastAsiaTheme="majorEastAsia" w:hAnsi="Arial Bold" w:cstheme="majorBidi"/>
      <w:b/>
      <w:bCs/>
      <w:caps/>
      <w:kern w:val="32"/>
      <w:sz w:val="36"/>
      <w:szCs w:val="40"/>
      <w:lang w:eastAsia="en-AU"/>
    </w:rPr>
  </w:style>
  <w:style w:type="paragraph" w:customStyle="1" w:styleId="Tablefont">
    <w:name w:val="Table font"/>
    <w:basedOn w:val="Normal"/>
    <w:qFormat/>
    <w:rsid w:val="002C58FF"/>
    <w:pPr>
      <w:spacing w:before="80" w:after="80" w:line="240" w:lineRule="auto"/>
    </w:pPr>
    <w:rPr>
      <w:lang w:eastAsia="en-AU"/>
    </w:rPr>
  </w:style>
  <w:style w:type="paragraph" w:customStyle="1" w:styleId="Tableheader">
    <w:name w:val="Table header"/>
    <w:basedOn w:val="Tablefont"/>
    <w:qFormat/>
    <w:rsid w:val="00263255"/>
    <w:pPr>
      <w:spacing w:before="60" w:after="60"/>
    </w:pPr>
    <w:rPr>
      <w:b/>
      <w:bCs/>
      <w:color w:val="000000" w:themeColor="text1"/>
    </w:rPr>
  </w:style>
  <w:style w:type="character" w:customStyle="1" w:styleId="checkbox">
    <w:name w:val="checkbox"/>
    <w:basedOn w:val="DefaultParagraphFont"/>
    <w:uiPriority w:val="1"/>
    <w:rsid w:val="00687890"/>
    <w:rPr>
      <w:rFonts w:ascii="Wingdings" w:hAnsi="Wingdings"/>
    </w:rPr>
  </w:style>
  <w:style w:type="character" w:customStyle="1" w:styleId="WESstatus">
    <w:name w:val="WES status"/>
    <w:basedOn w:val="DefaultParagraphFont"/>
    <w:uiPriority w:val="1"/>
    <w:rsid w:val="007F1005"/>
    <w:rPr>
      <w:b w:val="0"/>
      <w:color w:val="A6A6A6" w:themeColor="background1" w:themeShade="A6"/>
    </w:rPr>
  </w:style>
  <w:style w:type="table" w:customStyle="1" w:styleId="TableGrid1">
    <w:name w:val="Table Grid1"/>
    <w:basedOn w:val="TableNormal"/>
    <w:next w:val="TableGrid"/>
    <w:uiPriority w:val="59"/>
    <w:rsid w:val="000C2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E2745"/>
    <w:rPr>
      <w:rFonts w:eastAsiaTheme="majorEastAsia" w:cs="Arial"/>
      <w:b/>
      <w:bCs/>
      <w:iCs/>
      <w:color w:val="000000" w:themeColor="text1"/>
      <w:sz w:val="28"/>
      <w:szCs w:val="32"/>
      <w:lang w:eastAsia="en-AU"/>
    </w:rPr>
  </w:style>
  <w:style w:type="character" w:customStyle="1" w:styleId="Heading3Char">
    <w:name w:val="Heading 3 Char"/>
    <w:basedOn w:val="DefaultParagraphFont"/>
    <w:link w:val="Heading3"/>
    <w:uiPriority w:val="9"/>
    <w:rsid w:val="002E0D61"/>
    <w:rPr>
      <w:rFonts w:eastAsiaTheme="majorEastAsia" w:cs="Arial"/>
      <w:b/>
      <w:bCs/>
      <w:color w:val="000000" w:themeColor="text1"/>
      <w:sz w:val="24"/>
      <w:lang w:eastAsia="en-AU"/>
    </w:rPr>
  </w:style>
  <w:style w:type="character" w:customStyle="1" w:styleId="Heading4Char">
    <w:name w:val="Heading 4 Char"/>
    <w:basedOn w:val="DefaultParagraphFont"/>
    <w:link w:val="Heading4"/>
    <w:uiPriority w:val="9"/>
    <w:semiHidden/>
    <w:rsid w:val="00AF5E07"/>
    <w:rPr>
      <w:rFonts w:eastAsiaTheme="majorEastAsia" w:cstheme="majorBidi"/>
      <w:b/>
      <w:bCs/>
      <w:i/>
      <w:iCs/>
      <w:lang w:eastAsia="en-AU"/>
    </w:rPr>
  </w:style>
  <w:style w:type="character" w:customStyle="1" w:styleId="Heading5Char">
    <w:name w:val="Heading 5 Char"/>
    <w:basedOn w:val="DefaultParagraphFont"/>
    <w:link w:val="Heading5"/>
    <w:uiPriority w:val="9"/>
    <w:semiHidden/>
    <w:rsid w:val="00C61EDF"/>
    <w:rPr>
      <w:rFonts w:asciiTheme="majorHAnsi" w:eastAsiaTheme="majorEastAsia" w:hAnsiTheme="majorHAnsi" w:cstheme="majorBidi"/>
      <w:b/>
      <w:bCs/>
      <w:color w:val="7F7F7F" w:themeColor="text1" w:themeTint="80"/>
      <w:lang w:eastAsia="en-AU"/>
    </w:rPr>
  </w:style>
  <w:style w:type="paragraph" w:styleId="Title">
    <w:name w:val="Title"/>
    <w:basedOn w:val="Normal"/>
    <w:next w:val="Heading1"/>
    <w:link w:val="TitleChar"/>
    <w:qFormat/>
    <w:rsid w:val="006532ED"/>
    <w:pPr>
      <w:spacing w:before="240" w:after="60" w:line="240" w:lineRule="auto"/>
      <w:jc w:val="center"/>
      <w:outlineLvl w:val="0"/>
    </w:pPr>
    <w:rPr>
      <w:rFonts w:eastAsiaTheme="majorEastAsia" w:cstheme="majorBidi"/>
      <w:b/>
      <w:bCs/>
      <w:kern w:val="28"/>
      <w:sz w:val="72"/>
      <w:szCs w:val="32"/>
      <w:lang w:eastAsia="en-AU"/>
    </w:rPr>
  </w:style>
  <w:style w:type="character" w:customStyle="1" w:styleId="TitleChar">
    <w:name w:val="Title Char"/>
    <w:basedOn w:val="DefaultParagraphFont"/>
    <w:link w:val="Title"/>
    <w:rsid w:val="006532ED"/>
    <w:rPr>
      <w:rFonts w:eastAsiaTheme="majorEastAsia" w:cstheme="majorBidi"/>
      <w:b/>
      <w:bCs/>
      <w:kern w:val="28"/>
      <w:sz w:val="72"/>
      <w:szCs w:val="32"/>
      <w:lang w:eastAsia="en-AU"/>
    </w:rPr>
  </w:style>
  <w:style w:type="paragraph" w:styleId="Subtitle">
    <w:name w:val="Subtitle"/>
    <w:basedOn w:val="Normal"/>
    <w:next w:val="Normal"/>
    <w:link w:val="SubtitleChar"/>
    <w:uiPriority w:val="11"/>
    <w:qFormat/>
    <w:rsid w:val="006532ED"/>
    <w:pPr>
      <w:numPr>
        <w:ilvl w:val="1"/>
      </w:numPr>
    </w:pPr>
    <w:rPr>
      <w:rFonts w:eastAsiaTheme="majorEastAsia" w:cstheme="majorBidi"/>
      <w:i/>
      <w:iCs/>
      <w:color w:val="7F7F7F" w:themeColor="text1" w:themeTint="80"/>
      <w:spacing w:val="15"/>
      <w:sz w:val="24"/>
      <w:szCs w:val="24"/>
    </w:rPr>
  </w:style>
  <w:style w:type="character" w:customStyle="1" w:styleId="SubtitleChar">
    <w:name w:val="Subtitle Char"/>
    <w:basedOn w:val="DefaultParagraphFont"/>
    <w:link w:val="Subtitle"/>
    <w:uiPriority w:val="11"/>
    <w:rsid w:val="006532ED"/>
    <w:rPr>
      <w:rFonts w:eastAsiaTheme="majorEastAsia" w:cstheme="majorBidi"/>
      <w:i/>
      <w:iCs/>
      <w:color w:val="7F7F7F" w:themeColor="text1" w:themeTint="80"/>
      <w:spacing w:val="15"/>
      <w:sz w:val="24"/>
      <w:szCs w:val="24"/>
    </w:rPr>
  </w:style>
  <w:style w:type="character" w:styleId="IntenseEmphasis">
    <w:name w:val="Intense Emphasis"/>
    <w:basedOn w:val="DefaultParagraphFont"/>
    <w:uiPriority w:val="21"/>
    <w:qFormat/>
    <w:rsid w:val="006532ED"/>
    <w:rPr>
      <w:rFonts w:ascii="Arial" w:hAnsi="Arial"/>
      <w:b/>
      <w:bCs/>
      <w:i/>
      <w:iCs/>
      <w:color w:val="7F7F7F" w:themeColor="text1" w:themeTint="80"/>
    </w:rPr>
  </w:style>
  <w:style w:type="paragraph" w:customStyle="1" w:styleId="Tableitalics">
    <w:name w:val="Table italics"/>
    <w:basedOn w:val="Tablefont"/>
    <w:qFormat/>
    <w:rsid w:val="00717D45"/>
    <w:pPr>
      <w:jc w:val="right"/>
    </w:pPr>
    <w:rPr>
      <w:i/>
    </w:rPr>
  </w:style>
  <w:style w:type="table" w:styleId="LightList-Accent1">
    <w:name w:val="Light List Accent 1"/>
    <w:basedOn w:val="TableNormal"/>
    <w:uiPriority w:val="61"/>
    <w:rsid w:val="00D048F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7E307D"/>
    <w:pPr>
      <w:spacing w:before="80" w:after="80" w:line="240" w:lineRule="auto"/>
    </w:pPr>
    <w:tblPr>
      <w:tblStyleRowBandSize w:val="1"/>
      <w:tblStyleColBandSize w:val="1"/>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dotted" w:sz="4" w:space="0" w:color="808080" w:themeColor="background1" w:themeShade="80"/>
      </w:tblBorders>
    </w:tblPr>
    <w:tblStylePr w:type="firstRow">
      <w:pPr>
        <w:spacing w:before="0" w:after="0" w:line="240" w:lineRule="auto"/>
      </w:pPr>
      <w:rPr>
        <w:b/>
        <w:bCs/>
        <w:color w:val="FFFFFF" w:themeColor="background1"/>
      </w:rPr>
      <w:tblPr/>
      <w:tcPr>
        <w:shd w:val="clear" w:color="auto" w:fill="7F7F7F" w:themeFill="text1" w:themeFillTint="8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dotted" w:sz="4" w:space="0" w:color="808080" w:themeColor="background1" w:themeShade="80"/>
          <w:left w:val="single" w:sz="8" w:space="0" w:color="7F7F7F" w:themeColor="text1" w:themeTint="80"/>
          <w:bottom w:val="dotted" w:sz="4" w:space="0" w:color="808080" w:themeColor="background1" w:themeShade="80"/>
          <w:right w:val="single" w:sz="8" w:space="0" w:color="7F7F7F" w:themeColor="text1" w:themeTint="80"/>
          <w:insideH w:val="nil"/>
          <w:insideV w:val="nil"/>
          <w:tl2br w:val="nil"/>
          <w:tr2bl w:val="nil"/>
        </w:tcBorders>
      </w:tcPr>
    </w:tblStylePr>
  </w:style>
  <w:style w:type="paragraph" w:styleId="IntenseQuote">
    <w:name w:val="Intense Quote"/>
    <w:basedOn w:val="Normal"/>
    <w:next w:val="Normal"/>
    <w:link w:val="IntenseQuoteChar"/>
    <w:uiPriority w:val="30"/>
    <w:qFormat/>
    <w:rsid w:val="00D33220"/>
    <w:pPr>
      <w:pBdr>
        <w:bottom w:val="single" w:sz="4" w:space="4" w:color="7F7F7F" w:themeColor="text1" w:themeTint="80"/>
      </w:pBdr>
      <w:spacing w:before="200" w:after="280"/>
      <w:ind w:left="936" w:right="936"/>
    </w:pPr>
    <w:rPr>
      <w:b/>
      <w:bCs/>
      <w:i/>
      <w:iCs/>
      <w:color w:val="808080" w:themeColor="background1" w:themeShade="80"/>
    </w:rPr>
  </w:style>
  <w:style w:type="character" w:customStyle="1" w:styleId="IntenseQuoteChar">
    <w:name w:val="Intense Quote Char"/>
    <w:basedOn w:val="DefaultParagraphFont"/>
    <w:link w:val="IntenseQuote"/>
    <w:uiPriority w:val="30"/>
    <w:rsid w:val="00D33220"/>
    <w:rPr>
      <w:b/>
      <w:bCs/>
      <w:i/>
      <w:iCs/>
      <w:color w:val="808080" w:themeColor="background1" w:themeShade="80"/>
    </w:rPr>
  </w:style>
  <w:style w:type="character" w:styleId="SubtleReference">
    <w:name w:val="Subtle Reference"/>
    <w:basedOn w:val="DefaultParagraphFont"/>
    <w:uiPriority w:val="31"/>
    <w:qFormat/>
    <w:rsid w:val="00AF5E07"/>
    <w:rPr>
      <w:rFonts w:ascii="Arial" w:hAnsi="Arial"/>
      <w:smallCaps/>
      <w:color w:val="000000" w:themeColor="text1"/>
      <w:u w:val="single"/>
    </w:rPr>
  </w:style>
  <w:style w:type="character" w:styleId="IntenseReference">
    <w:name w:val="Intense Reference"/>
    <w:basedOn w:val="DefaultParagraphFont"/>
    <w:uiPriority w:val="32"/>
    <w:qFormat/>
    <w:rsid w:val="00AF5E07"/>
    <w:rPr>
      <w:rFonts w:ascii="Arial" w:hAnsi="Arial"/>
      <w:b/>
      <w:bCs/>
      <w:smallCaps/>
      <w:color w:val="000000" w:themeColor="text1"/>
      <w:spacing w:val="5"/>
      <w:u w:val="single"/>
    </w:rPr>
  </w:style>
  <w:style w:type="character" w:styleId="Strong">
    <w:name w:val="Strong"/>
    <w:basedOn w:val="DefaultParagraphFont"/>
    <w:uiPriority w:val="22"/>
    <w:qFormat/>
    <w:rsid w:val="007770F1"/>
    <w:rPr>
      <w:b/>
      <w:bCs/>
    </w:rPr>
  </w:style>
  <w:style w:type="paragraph" w:styleId="NoSpacing">
    <w:name w:val="No Spacing"/>
    <w:uiPriority w:val="1"/>
    <w:qFormat/>
    <w:rsid w:val="00717D45"/>
    <w:pPr>
      <w:spacing w:after="0" w:line="240" w:lineRule="auto"/>
    </w:pPr>
  </w:style>
  <w:style w:type="paragraph" w:customStyle="1" w:styleId="WES">
    <w:name w:val="WES"/>
    <w:basedOn w:val="Tablefont"/>
    <w:qFormat/>
    <w:rsid w:val="00AE2745"/>
    <w:pPr>
      <w:spacing w:before="240" w:after="120"/>
    </w:pPr>
    <w:rPr>
      <w:b/>
      <w:sz w:val="24"/>
    </w:rPr>
  </w:style>
  <w:style w:type="paragraph" w:customStyle="1" w:styleId="Tablerowheading">
    <w:name w:val="Table row heading"/>
    <w:basedOn w:val="Normal"/>
    <w:qFormat/>
    <w:rsid w:val="00D33220"/>
    <w:pPr>
      <w:spacing w:before="80" w:after="80" w:line="240" w:lineRule="auto"/>
    </w:pPr>
    <w:rPr>
      <w:b/>
      <w:lang w:eastAsia="en-AU"/>
    </w:rPr>
  </w:style>
  <w:style w:type="paragraph" w:customStyle="1" w:styleId="Tablerowright">
    <w:name w:val="Table row right"/>
    <w:basedOn w:val="Tablerowheading"/>
    <w:qFormat/>
    <w:rsid w:val="00921DE7"/>
    <w:pPr>
      <w:jc w:val="right"/>
    </w:pPr>
  </w:style>
  <w:style w:type="paragraph" w:customStyle="1" w:styleId="Tablerowheadingitalic">
    <w:name w:val="Table row heading italic"/>
    <w:basedOn w:val="Tablerowheading"/>
    <w:qFormat/>
    <w:rsid w:val="003365A5"/>
    <w:pPr>
      <w:keepNext/>
      <w:keepLines/>
      <w:tabs>
        <w:tab w:val="left" w:pos="2268"/>
        <w:tab w:val="left" w:pos="5670"/>
      </w:tabs>
    </w:pPr>
    <w:rPr>
      <w:i/>
    </w:rPr>
  </w:style>
  <w:style w:type="paragraph" w:customStyle="1" w:styleId="Tabletextprimarysource">
    <w:name w:val="Table text primary source"/>
    <w:basedOn w:val="Normal"/>
    <w:qFormat/>
    <w:rsid w:val="003365A5"/>
    <w:pPr>
      <w:spacing w:before="60" w:after="60" w:line="240" w:lineRule="auto"/>
    </w:pPr>
  </w:style>
  <w:style w:type="paragraph" w:styleId="z-TopofForm">
    <w:name w:val="HTML Top of Form"/>
    <w:basedOn w:val="Normal"/>
    <w:next w:val="Normal"/>
    <w:link w:val="z-TopofFormChar"/>
    <w:hidden/>
    <w:uiPriority w:val="99"/>
    <w:semiHidden/>
    <w:unhideWhenUsed/>
    <w:rsid w:val="00F9496B"/>
    <w:pPr>
      <w:pBdr>
        <w:bottom w:val="single" w:sz="6" w:space="1" w:color="auto"/>
      </w:pBdr>
      <w:spacing w:after="0"/>
      <w:jc w:val="center"/>
    </w:pPr>
    <w:rPr>
      <w:rFonts w:cs="Arial"/>
      <w:vanish/>
      <w:sz w:val="16"/>
      <w:szCs w:val="16"/>
    </w:rPr>
  </w:style>
  <w:style w:type="character" w:customStyle="1" w:styleId="z-TopofFormChar">
    <w:name w:val="z-Top of Form Char"/>
    <w:basedOn w:val="DefaultParagraphFont"/>
    <w:link w:val="z-TopofForm"/>
    <w:uiPriority w:val="99"/>
    <w:semiHidden/>
    <w:rsid w:val="00F9496B"/>
    <w:rPr>
      <w:rFonts w:cs="Arial"/>
      <w:vanish/>
      <w:sz w:val="16"/>
      <w:szCs w:val="16"/>
    </w:rPr>
  </w:style>
  <w:style w:type="paragraph" w:styleId="z-BottomofForm">
    <w:name w:val="HTML Bottom of Form"/>
    <w:basedOn w:val="Normal"/>
    <w:next w:val="Normal"/>
    <w:link w:val="z-BottomofFormChar"/>
    <w:hidden/>
    <w:uiPriority w:val="99"/>
    <w:semiHidden/>
    <w:unhideWhenUsed/>
    <w:rsid w:val="00F9496B"/>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F9496B"/>
    <w:rPr>
      <w:rFonts w:cs="Arial"/>
      <w:vanish/>
      <w:sz w:val="16"/>
      <w:szCs w:val="16"/>
    </w:rPr>
  </w:style>
  <w:style w:type="character" w:styleId="Hyperlink">
    <w:name w:val="Hyperlink"/>
    <w:basedOn w:val="DefaultParagraphFont"/>
    <w:uiPriority w:val="99"/>
    <w:semiHidden/>
    <w:unhideWhenUsed/>
    <w:rsid w:val="006650FE"/>
    <w:rPr>
      <w:color w:val="0000FF" w:themeColor="hyperlink"/>
      <w:u w:val="single"/>
    </w:rPr>
  </w:style>
  <w:style w:type="paragraph" w:customStyle="1" w:styleId="SWALink">
    <w:name w:val="SWA Link"/>
    <w:basedOn w:val="Normal"/>
    <w:link w:val="SWALinkChar"/>
    <w:qFormat/>
    <w:rsid w:val="00DD2F9B"/>
    <w:pPr>
      <w:spacing w:line="240" w:lineRule="auto"/>
    </w:pPr>
    <w:rPr>
      <w:rFonts w:eastAsia="Times New Roman" w:cs="Times New Roman"/>
      <w:szCs w:val="24"/>
      <w:u w:val="single"/>
      <w:lang w:eastAsia="en-AU"/>
    </w:rPr>
  </w:style>
  <w:style w:type="character" w:customStyle="1" w:styleId="SWALinkChar">
    <w:name w:val="SWA Link Char"/>
    <w:basedOn w:val="DefaultParagraphFont"/>
    <w:link w:val="SWALink"/>
    <w:rsid w:val="00DD2F9B"/>
    <w:rPr>
      <w:rFonts w:eastAsia="Times New Roman" w:cs="Times New Roman"/>
      <w:szCs w:val="24"/>
      <w:u w:val="single"/>
      <w:lang w:eastAsia="en-AU"/>
    </w:rPr>
  </w:style>
  <w:style w:type="paragraph" w:customStyle="1" w:styleId="Tablefooter">
    <w:name w:val="Table footer"/>
    <w:basedOn w:val="Tablefont"/>
    <w:next w:val="Normal"/>
    <w:qFormat/>
    <w:rsid w:val="00485BFD"/>
    <w:pPr>
      <w:spacing w:before="0" w:after="240"/>
      <w:ind w:left="227"/>
    </w:pPr>
    <w:rPr>
      <w:sz w:val="17"/>
    </w:rPr>
  </w:style>
  <w:style w:type="paragraph" w:styleId="ListBullet">
    <w:name w:val="List Bullet"/>
    <w:basedOn w:val="Normal"/>
    <w:uiPriority w:val="99"/>
    <w:unhideWhenUsed/>
    <w:rsid w:val="00746149"/>
    <w:pPr>
      <w:numPr>
        <w:numId w:val="2"/>
      </w:numPr>
      <w:contextualSpacing/>
    </w:pPr>
  </w:style>
  <w:style w:type="character" w:styleId="CommentReference">
    <w:name w:val="annotation reference"/>
    <w:basedOn w:val="DefaultParagraphFont"/>
    <w:uiPriority w:val="99"/>
    <w:semiHidden/>
    <w:unhideWhenUsed/>
    <w:rsid w:val="00E24F4B"/>
    <w:rPr>
      <w:sz w:val="16"/>
      <w:szCs w:val="16"/>
    </w:rPr>
  </w:style>
  <w:style w:type="paragraph" w:styleId="CommentText">
    <w:name w:val="annotation text"/>
    <w:basedOn w:val="Normal"/>
    <w:link w:val="CommentTextChar"/>
    <w:uiPriority w:val="99"/>
    <w:semiHidden/>
    <w:unhideWhenUsed/>
    <w:rsid w:val="00E24F4B"/>
    <w:pPr>
      <w:spacing w:line="240" w:lineRule="auto"/>
    </w:pPr>
    <w:rPr>
      <w:szCs w:val="20"/>
    </w:rPr>
  </w:style>
  <w:style w:type="character" w:customStyle="1" w:styleId="CommentTextChar">
    <w:name w:val="Comment Text Char"/>
    <w:basedOn w:val="DefaultParagraphFont"/>
    <w:link w:val="CommentText"/>
    <w:uiPriority w:val="99"/>
    <w:semiHidden/>
    <w:rsid w:val="00E24F4B"/>
    <w:rPr>
      <w:szCs w:val="20"/>
    </w:rPr>
  </w:style>
  <w:style w:type="paragraph" w:styleId="CommentSubject">
    <w:name w:val="annotation subject"/>
    <w:basedOn w:val="CommentText"/>
    <w:next w:val="CommentText"/>
    <w:link w:val="CommentSubjectChar"/>
    <w:uiPriority w:val="99"/>
    <w:semiHidden/>
    <w:unhideWhenUsed/>
    <w:rsid w:val="00E24F4B"/>
    <w:rPr>
      <w:b/>
      <w:bCs/>
    </w:rPr>
  </w:style>
  <w:style w:type="character" w:customStyle="1" w:styleId="CommentSubjectChar">
    <w:name w:val="Comment Subject Char"/>
    <w:basedOn w:val="CommentTextChar"/>
    <w:link w:val="CommentSubject"/>
    <w:uiPriority w:val="99"/>
    <w:semiHidden/>
    <w:rsid w:val="00E24F4B"/>
    <w:rPr>
      <w:b/>
      <w:bCs/>
      <w:szCs w:val="20"/>
    </w:rPr>
  </w:style>
  <w:style w:type="paragraph" w:styleId="Revision">
    <w:name w:val="Revision"/>
    <w:hidden/>
    <w:uiPriority w:val="99"/>
    <w:semiHidden/>
    <w:rsid w:val="00E24F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62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acgih.org/tlv-bei-guidelines/policies-procedures-presentation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1736E50B02464986D1BEC8B7ACDE96"/>
        <w:category>
          <w:name w:val="General"/>
          <w:gallery w:val="placeholder"/>
        </w:category>
        <w:types>
          <w:type w:val="bbPlcHdr"/>
        </w:types>
        <w:behaviors>
          <w:behavior w:val="content"/>
        </w:behaviors>
        <w:guid w:val="{C8D94199-680D-4E9C-9EF3-3D915D06B842}"/>
      </w:docPartPr>
      <w:docPartBody>
        <w:p w:rsidR="00D21A9F" w:rsidRDefault="00D21A9F">
          <w:pPr>
            <w:pStyle w:val="CE1736E50B02464986D1BEC8B7ACDE96"/>
          </w:pPr>
          <w:r>
            <w:rPr>
              <w:rStyle w:val="PlaceholderText"/>
            </w:rPr>
            <w:t>Nameofchemical</w:t>
          </w:r>
        </w:p>
      </w:docPartBody>
    </w:docPart>
    <w:docPart>
      <w:docPartPr>
        <w:name w:val="E23B83A762C94EBA8097A4DA3FB4D503"/>
        <w:category>
          <w:name w:val="General"/>
          <w:gallery w:val="placeholder"/>
        </w:category>
        <w:types>
          <w:type w:val="bbPlcHdr"/>
        </w:types>
        <w:behaviors>
          <w:behavior w:val="content"/>
        </w:behaviors>
        <w:guid w:val="{65A02F65-DBBA-4D5A-AAD5-C6FAA5E6CE0E}"/>
      </w:docPartPr>
      <w:docPartBody>
        <w:p w:rsidR="00D21A9F" w:rsidRDefault="00D21A9F">
          <w:pPr>
            <w:pStyle w:val="E23B83A762C94EBA8097A4DA3FB4D503"/>
          </w:pPr>
          <w:r>
            <w:rPr>
              <w:rStyle w:val="PlaceholderText"/>
            </w:rPr>
            <w:t>Has this value changed?</w:t>
          </w:r>
        </w:p>
      </w:docPartBody>
    </w:docPart>
    <w:docPart>
      <w:docPartPr>
        <w:name w:val="0A35AF4547E94E219E26BC12DBC33282"/>
        <w:category>
          <w:name w:val="General"/>
          <w:gallery w:val="placeholder"/>
        </w:category>
        <w:types>
          <w:type w:val="bbPlcHdr"/>
        </w:types>
        <w:behaviors>
          <w:behavior w:val="content"/>
        </w:behaviors>
        <w:guid w:val="{817D360E-8225-4AF6-9FDF-3CF80276F4FF}"/>
      </w:docPartPr>
      <w:docPartBody>
        <w:p w:rsidR="00D21A9F" w:rsidRDefault="00D21A9F">
          <w:pPr>
            <w:pStyle w:val="0A35AF4547E94E219E26BC12DBC33282"/>
          </w:pPr>
          <w:r>
            <w:rPr>
              <w:rStyle w:val="PlaceholderText"/>
            </w:rPr>
            <w:t>Y</w:t>
          </w:r>
          <w:r w:rsidRPr="003365A5">
            <w:rPr>
              <w:rStyle w:val="PlaceholderText"/>
            </w:rPr>
            <w:t>ear</w:t>
          </w:r>
        </w:p>
      </w:docPartBody>
    </w:docPart>
    <w:docPart>
      <w:docPartPr>
        <w:name w:val="81CFEC2FDBC5451289F394E66D92D1A0"/>
        <w:category>
          <w:name w:val="General"/>
          <w:gallery w:val="placeholder"/>
        </w:category>
        <w:types>
          <w:type w:val="bbPlcHdr"/>
        </w:types>
        <w:behaviors>
          <w:behavior w:val="content"/>
        </w:behaviors>
        <w:guid w:val="{7B474E63-31E6-4636-887F-D101B2E0A187}"/>
      </w:docPartPr>
      <w:docPartBody>
        <w:p w:rsidR="00D21A9F" w:rsidRDefault="00D21A9F">
          <w:pPr>
            <w:pStyle w:val="81CFEC2FDBC5451289F394E66D92D1A0"/>
          </w:pPr>
          <w:r w:rsidRPr="0051509C">
            <w:rPr>
              <w:rStyle w:val="PlaceholderText"/>
            </w:rPr>
            <w:t>Click here to enter standard</w:t>
          </w:r>
        </w:p>
      </w:docPartBody>
    </w:docPart>
    <w:docPart>
      <w:docPartPr>
        <w:name w:val="C8FBF9621EB94FE084F687C8955AF85F"/>
        <w:category>
          <w:name w:val="General"/>
          <w:gallery w:val="placeholder"/>
        </w:category>
        <w:types>
          <w:type w:val="bbPlcHdr"/>
        </w:types>
        <w:behaviors>
          <w:behavior w:val="content"/>
        </w:behaviors>
        <w:guid w:val="{540EEAE9-5999-4667-9E06-55916FEE5D03}"/>
      </w:docPartPr>
      <w:docPartBody>
        <w:p w:rsidR="00D21A9F" w:rsidRDefault="00D21A9F">
          <w:pPr>
            <w:pStyle w:val="C8FBF9621EB94FE084F687C8955AF85F"/>
          </w:pPr>
          <w:r>
            <w:rPr>
              <w:rStyle w:val="PlaceholderText"/>
            </w:rPr>
            <w:t>Y</w:t>
          </w:r>
          <w:r w:rsidRPr="003365A5">
            <w:rPr>
              <w:rStyle w:val="PlaceholderText"/>
            </w:rPr>
            <w:t>ear</w:t>
          </w:r>
        </w:p>
      </w:docPartBody>
    </w:docPart>
    <w:docPart>
      <w:docPartPr>
        <w:name w:val="522022AAE76B4622AC0DF750489702EB"/>
        <w:category>
          <w:name w:val="General"/>
          <w:gallery w:val="placeholder"/>
        </w:category>
        <w:types>
          <w:type w:val="bbPlcHdr"/>
        </w:types>
        <w:behaviors>
          <w:behavior w:val="content"/>
        </w:behaviors>
        <w:guid w:val="{4755DFBF-019C-4562-B49E-2AA0323A449A}"/>
      </w:docPartPr>
      <w:docPartBody>
        <w:p w:rsidR="00D21A9F" w:rsidRDefault="00D21A9F">
          <w:pPr>
            <w:pStyle w:val="522022AAE76B4622AC0DF750489702EB"/>
          </w:pPr>
          <w:r w:rsidRPr="0051509C">
            <w:rPr>
              <w:rStyle w:val="PlaceholderText"/>
            </w:rPr>
            <w:t>Click here to enter standard</w:t>
          </w:r>
        </w:p>
      </w:docPartBody>
    </w:docPart>
    <w:docPart>
      <w:docPartPr>
        <w:name w:val="6918C77959FE4E2CB3B6BD78ABC69E19"/>
        <w:category>
          <w:name w:val="General"/>
          <w:gallery w:val="placeholder"/>
        </w:category>
        <w:types>
          <w:type w:val="bbPlcHdr"/>
        </w:types>
        <w:behaviors>
          <w:behavior w:val="content"/>
        </w:behaviors>
        <w:guid w:val="{E8FDE167-8D8A-4F47-8F15-5DED52B85CB3}"/>
      </w:docPartPr>
      <w:docPartBody>
        <w:p w:rsidR="00D21A9F" w:rsidRDefault="00D21A9F">
          <w:pPr>
            <w:pStyle w:val="6918C77959FE4E2CB3B6BD78ABC69E19"/>
          </w:pPr>
          <w:r>
            <w:rPr>
              <w:rStyle w:val="PlaceholderText"/>
            </w:rPr>
            <w:t>Y</w:t>
          </w:r>
          <w:r w:rsidRPr="003365A5">
            <w:rPr>
              <w:rStyle w:val="PlaceholderText"/>
            </w:rPr>
            <w:t>ear</w:t>
          </w:r>
        </w:p>
      </w:docPartBody>
    </w:docPart>
    <w:docPart>
      <w:docPartPr>
        <w:name w:val="1ED9AEC91FDC4528B51A567B2B19EB9F"/>
        <w:category>
          <w:name w:val="General"/>
          <w:gallery w:val="placeholder"/>
        </w:category>
        <w:types>
          <w:type w:val="bbPlcHdr"/>
        </w:types>
        <w:behaviors>
          <w:behavior w:val="content"/>
        </w:behaviors>
        <w:guid w:val="{2F68FFA9-39F8-44B7-9FD3-B2DA6644805F}"/>
      </w:docPartPr>
      <w:docPartBody>
        <w:p w:rsidR="00D21A9F" w:rsidRDefault="00D21A9F">
          <w:pPr>
            <w:pStyle w:val="1ED9AEC91FDC4528B51A567B2B19EB9F"/>
          </w:pPr>
          <w:r w:rsidRPr="0051509C">
            <w:rPr>
              <w:rStyle w:val="PlaceholderText"/>
            </w:rPr>
            <w:t>Click here to enter standard</w:t>
          </w:r>
        </w:p>
      </w:docPartBody>
    </w:docPart>
    <w:docPart>
      <w:docPartPr>
        <w:name w:val="FDC2A24E7D2549238DA6EE03BD0A6AE0"/>
        <w:category>
          <w:name w:val="General"/>
          <w:gallery w:val="placeholder"/>
        </w:category>
        <w:types>
          <w:type w:val="bbPlcHdr"/>
        </w:types>
        <w:behaviors>
          <w:behavior w:val="content"/>
        </w:behaviors>
        <w:guid w:val="{B8AA2BDC-5672-4815-991F-0CE2DEE74014}"/>
      </w:docPartPr>
      <w:docPartBody>
        <w:p w:rsidR="00D21A9F" w:rsidRDefault="00D21A9F">
          <w:pPr>
            <w:pStyle w:val="FDC2A24E7D2549238DA6EE03BD0A6AE0"/>
          </w:pPr>
          <w:r>
            <w:rPr>
              <w:rStyle w:val="PlaceholderText"/>
            </w:rPr>
            <w:t>Y</w:t>
          </w:r>
          <w:r w:rsidRPr="003365A5">
            <w:rPr>
              <w:rStyle w:val="PlaceholderText"/>
            </w:rPr>
            <w:t>ear</w:t>
          </w:r>
        </w:p>
      </w:docPartBody>
    </w:docPart>
    <w:docPart>
      <w:docPartPr>
        <w:name w:val="9E827C9D0DA949E385F2E9AB4264125E"/>
        <w:category>
          <w:name w:val="General"/>
          <w:gallery w:val="placeholder"/>
        </w:category>
        <w:types>
          <w:type w:val="bbPlcHdr"/>
        </w:types>
        <w:behaviors>
          <w:behavior w:val="content"/>
        </w:behaviors>
        <w:guid w:val="{014BB1BA-B22F-4B62-9CED-7D4A7A141414}"/>
      </w:docPartPr>
      <w:docPartBody>
        <w:p w:rsidR="00D21A9F" w:rsidRDefault="00D21A9F">
          <w:pPr>
            <w:pStyle w:val="9E827C9D0DA949E385F2E9AB4264125E"/>
          </w:pPr>
          <w:r w:rsidRPr="0051509C">
            <w:rPr>
              <w:rStyle w:val="PlaceholderText"/>
            </w:rPr>
            <w:t>Click here to enter standard</w:t>
          </w:r>
        </w:p>
      </w:docPartBody>
    </w:docPart>
    <w:docPart>
      <w:docPartPr>
        <w:name w:val="47E4EC2DB10B4B8E8A66F7A5C13653CB"/>
        <w:category>
          <w:name w:val="General"/>
          <w:gallery w:val="placeholder"/>
        </w:category>
        <w:types>
          <w:type w:val="bbPlcHdr"/>
        </w:types>
        <w:behaviors>
          <w:behavior w:val="content"/>
        </w:behaviors>
        <w:guid w:val="{B5D78905-5FB3-41F1-93DC-9CC4E0026343}"/>
      </w:docPartPr>
      <w:docPartBody>
        <w:p w:rsidR="00D21A9F" w:rsidRDefault="00D21A9F">
          <w:pPr>
            <w:pStyle w:val="47E4EC2DB10B4B8E8A66F7A5C13653CB"/>
          </w:pPr>
          <w:r>
            <w:rPr>
              <w:rStyle w:val="PlaceholderText"/>
            </w:rPr>
            <w:t>Y</w:t>
          </w:r>
          <w:r w:rsidRPr="003365A5">
            <w:rPr>
              <w:rStyle w:val="PlaceholderText"/>
            </w:rPr>
            <w:t>ear</w:t>
          </w:r>
        </w:p>
      </w:docPartBody>
    </w:docPart>
    <w:docPart>
      <w:docPartPr>
        <w:name w:val="5E4DD00C3A334F93BF5CC79754EBC5EA"/>
        <w:category>
          <w:name w:val="General"/>
          <w:gallery w:val="placeholder"/>
        </w:category>
        <w:types>
          <w:type w:val="bbPlcHdr"/>
        </w:types>
        <w:behaviors>
          <w:behavior w:val="content"/>
        </w:behaviors>
        <w:guid w:val="{604CD032-152D-43ED-B301-B773F4E16730}"/>
      </w:docPartPr>
      <w:docPartBody>
        <w:p w:rsidR="00D21A9F" w:rsidRDefault="00D21A9F">
          <w:pPr>
            <w:pStyle w:val="5E4DD00C3A334F93BF5CC79754EBC5EA"/>
          </w:pPr>
          <w:r w:rsidRPr="0051509C">
            <w:rPr>
              <w:rStyle w:val="PlaceholderText"/>
            </w:rPr>
            <w:t>Click here to enter standard</w:t>
          </w:r>
        </w:p>
      </w:docPartBody>
    </w:docPart>
    <w:docPart>
      <w:docPartPr>
        <w:name w:val="EA1708404F1C4A3BB080A0D8EEB67D1D"/>
        <w:category>
          <w:name w:val="General"/>
          <w:gallery w:val="placeholder"/>
        </w:category>
        <w:types>
          <w:type w:val="bbPlcHdr"/>
        </w:types>
        <w:behaviors>
          <w:behavior w:val="content"/>
        </w:behaviors>
        <w:guid w:val="{7EF895B6-0ED1-45DE-89C6-97EC2AC4C0B7}"/>
      </w:docPartPr>
      <w:docPartBody>
        <w:p w:rsidR="00D21A9F" w:rsidRDefault="00D21A9F">
          <w:pPr>
            <w:pStyle w:val="EA1708404F1C4A3BB080A0D8EEB67D1D"/>
          </w:pPr>
          <w:r>
            <w:rPr>
              <w:rStyle w:val="PlaceholderText"/>
            </w:rPr>
            <w:t>Y</w:t>
          </w:r>
          <w:r w:rsidRPr="003365A5">
            <w:rPr>
              <w:rStyle w:val="PlaceholderText"/>
            </w:rPr>
            <w:t>ear</w:t>
          </w:r>
        </w:p>
      </w:docPartBody>
    </w:docPart>
    <w:docPart>
      <w:docPartPr>
        <w:name w:val="F3D4204BA37A4A21A656C76DA4274412"/>
        <w:category>
          <w:name w:val="General"/>
          <w:gallery w:val="placeholder"/>
        </w:category>
        <w:types>
          <w:type w:val="bbPlcHdr"/>
        </w:types>
        <w:behaviors>
          <w:behavior w:val="content"/>
        </w:behaviors>
        <w:guid w:val="{C0DD64BC-C0C9-4379-B1B0-F8982B824A8E}"/>
      </w:docPartPr>
      <w:docPartBody>
        <w:p w:rsidR="00D21A9F" w:rsidRDefault="00D21A9F">
          <w:pPr>
            <w:pStyle w:val="F3D4204BA37A4A21A656C76DA4274412"/>
          </w:pPr>
          <w:r w:rsidRPr="0051509C">
            <w:rPr>
              <w:rStyle w:val="PlaceholderText"/>
            </w:rPr>
            <w:t>Click here to enter standard</w:t>
          </w:r>
        </w:p>
      </w:docPartBody>
    </w:docPart>
    <w:docPart>
      <w:docPartPr>
        <w:name w:val="8DD754E365844A4E82EC69A07E229629"/>
        <w:category>
          <w:name w:val="General"/>
          <w:gallery w:val="placeholder"/>
        </w:category>
        <w:types>
          <w:type w:val="bbPlcHdr"/>
        </w:types>
        <w:behaviors>
          <w:behavior w:val="content"/>
        </w:behaviors>
        <w:guid w:val="{9F4DDB53-9FC4-45A7-A37C-FDECC7AE23CB}"/>
      </w:docPartPr>
      <w:docPartBody>
        <w:p w:rsidR="00D21A9F" w:rsidRDefault="00D21A9F">
          <w:pPr>
            <w:pStyle w:val="8DD754E365844A4E82EC69A07E229629"/>
          </w:pPr>
          <w:r w:rsidRPr="00724F1C">
            <w:rPr>
              <w:rStyle w:val="PlaceholderText"/>
            </w:rPr>
            <w:t>Choose an item.</w:t>
          </w:r>
        </w:p>
      </w:docPartBody>
    </w:docPart>
    <w:docPart>
      <w:docPartPr>
        <w:name w:val="CA68404C5F6B4780904F09DAAE62489A"/>
        <w:category>
          <w:name w:val="General"/>
          <w:gallery w:val="placeholder"/>
        </w:category>
        <w:types>
          <w:type w:val="bbPlcHdr"/>
        </w:types>
        <w:behaviors>
          <w:behavior w:val="content"/>
        </w:behaviors>
        <w:guid w:val="{D6549F3A-3709-4B4B-A8CF-1DE054402F6A}"/>
      </w:docPartPr>
      <w:docPartBody>
        <w:p w:rsidR="00D21A9F" w:rsidRDefault="00D21A9F">
          <w:pPr>
            <w:pStyle w:val="CA68404C5F6B4780904F09DAAE62489A"/>
          </w:pPr>
          <w:r w:rsidRPr="00724F1C">
            <w:rPr>
              <w:rStyle w:val="PlaceholderText"/>
            </w:rPr>
            <w:t>Choose an item.</w:t>
          </w:r>
        </w:p>
      </w:docPartBody>
    </w:docPart>
    <w:docPart>
      <w:docPartPr>
        <w:name w:val="CFFDE270CB50461B826B0194984892C5"/>
        <w:category>
          <w:name w:val="General"/>
          <w:gallery w:val="placeholder"/>
        </w:category>
        <w:types>
          <w:type w:val="bbPlcHdr"/>
        </w:types>
        <w:behaviors>
          <w:behavior w:val="content"/>
        </w:behaviors>
        <w:guid w:val="{FD5D30F8-F751-45C7-BEFB-A7D3397CEB99}"/>
      </w:docPartPr>
      <w:docPartBody>
        <w:p w:rsidR="00D21A9F" w:rsidRDefault="00D21A9F">
          <w:pPr>
            <w:pStyle w:val="CFFDE270CB50461B826B0194984892C5"/>
          </w:pPr>
          <w:r w:rsidRPr="00724F1C">
            <w:rPr>
              <w:rStyle w:val="PlaceholderText"/>
            </w:rPr>
            <w:t>Choose an item.</w:t>
          </w:r>
        </w:p>
      </w:docPartBody>
    </w:docPart>
    <w:docPart>
      <w:docPartPr>
        <w:name w:val="EA51C8540A4D4F0A9062F5B1698DCBB0"/>
        <w:category>
          <w:name w:val="General"/>
          <w:gallery w:val="placeholder"/>
        </w:category>
        <w:types>
          <w:type w:val="bbPlcHdr"/>
        </w:types>
        <w:behaviors>
          <w:behavior w:val="content"/>
        </w:behaviors>
        <w:guid w:val="{5A1D35A6-51B4-4D9C-B1D2-B881B06F755D}"/>
      </w:docPartPr>
      <w:docPartBody>
        <w:p w:rsidR="00D21A9F" w:rsidRDefault="00D21A9F">
          <w:pPr>
            <w:pStyle w:val="EA51C8540A4D4F0A9062F5B1698DCBB0"/>
          </w:pPr>
          <w:r w:rsidRPr="00724F1C">
            <w:rPr>
              <w:rStyle w:val="PlaceholderText"/>
            </w:rPr>
            <w:t>Choose an item.</w:t>
          </w:r>
        </w:p>
      </w:docPartBody>
    </w:docPart>
    <w:docPart>
      <w:docPartPr>
        <w:name w:val="0168237C60E6479CAFA3D9A1A8409B78"/>
        <w:category>
          <w:name w:val="General"/>
          <w:gallery w:val="placeholder"/>
        </w:category>
        <w:types>
          <w:type w:val="bbPlcHdr"/>
        </w:types>
        <w:behaviors>
          <w:behavior w:val="content"/>
        </w:behaviors>
        <w:guid w:val="{C7BCB098-81C9-4E32-956E-CDD3A6DFECE7}"/>
      </w:docPartPr>
      <w:docPartBody>
        <w:p w:rsidR="00D21A9F" w:rsidRDefault="00D21A9F">
          <w:pPr>
            <w:pStyle w:val="0168237C60E6479CAFA3D9A1A8409B78"/>
          </w:pPr>
          <w:r w:rsidRPr="00F4402E">
            <w:rPr>
              <w:rStyle w:val="PlaceholderText"/>
              <w:color w:val="FFFFFF" w:themeColor="background1"/>
            </w:rPr>
            <w:t>Choose an item.</w:t>
          </w:r>
        </w:p>
      </w:docPartBody>
    </w:docPart>
    <w:docPart>
      <w:docPartPr>
        <w:name w:val="5CBFEC560F894890BBD09B93174FFAE0"/>
        <w:category>
          <w:name w:val="General"/>
          <w:gallery w:val="placeholder"/>
        </w:category>
        <w:types>
          <w:type w:val="bbPlcHdr"/>
        </w:types>
        <w:behaviors>
          <w:behavior w:val="content"/>
        </w:behaviors>
        <w:guid w:val="{7DD8AA47-26C1-43F2-BE0B-3C03EF3669BD}"/>
      </w:docPartPr>
      <w:docPartBody>
        <w:p w:rsidR="00D21A9F" w:rsidRDefault="00D21A9F">
          <w:pPr>
            <w:pStyle w:val="5CBFEC560F894890BBD09B93174FFAE0"/>
          </w:pPr>
          <w:r w:rsidRPr="00F4402E">
            <w:rPr>
              <w:rStyle w:val="PlaceholderText"/>
              <w:color w:val="FFFFFF" w:themeColor="background1"/>
            </w:rPr>
            <w:t>Choose an item.</w:t>
          </w:r>
        </w:p>
      </w:docPartBody>
    </w:docPart>
    <w:docPart>
      <w:docPartPr>
        <w:name w:val="CAD2D506A5824AB88D896BC2795BCEDE"/>
        <w:category>
          <w:name w:val="General"/>
          <w:gallery w:val="placeholder"/>
        </w:category>
        <w:types>
          <w:type w:val="bbPlcHdr"/>
        </w:types>
        <w:behaviors>
          <w:behavior w:val="content"/>
        </w:behaviors>
        <w:guid w:val="{4E99D28C-1B09-4DD0-B83A-09A1AFF622AA}"/>
      </w:docPartPr>
      <w:docPartBody>
        <w:p w:rsidR="00D21A9F" w:rsidRDefault="00D21A9F">
          <w:pPr>
            <w:pStyle w:val="CAD2D506A5824AB88D896BC2795BCEDE"/>
          </w:pPr>
          <w:r w:rsidRPr="001D56F0">
            <w:rPr>
              <w:rStyle w:val="PlaceholderText"/>
            </w:rPr>
            <w:t>Choose an item.</w:t>
          </w:r>
        </w:p>
      </w:docPartBody>
    </w:docPart>
    <w:docPart>
      <w:docPartPr>
        <w:name w:val="F426C563814E402488AC06CC39354A11"/>
        <w:category>
          <w:name w:val="General"/>
          <w:gallery w:val="placeholder"/>
        </w:category>
        <w:types>
          <w:type w:val="bbPlcHdr"/>
        </w:types>
        <w:behaviors>
          <w:behavior w:val="content"/>
        </w:behaviors>
        <w:guid w:val="{F0BA6214-28BA-4138-BF55-E76AD08567C8}"/>
      </w:docPartPr>
      <w:docPartBody>
        <w:p w:rsidR="00D21A9F" w:rsidRDefault="00D21A9F">
          <w:pPr>
            <w:pStyle w:val="F426C563814E402488AC06CC39354A11"/>
          </w:pPr>
          <w:r w:rsidRPr="00EB3D1B">
            <w:rPr>
              <w:rStyle w:val="PlaceholderText"/>
              <w:color w:val="FFFFFF" w:themeColor="background1"/>
            </w:rPr>
            <w:t>Choose an item.</w:t>
          </w:r>
        </w:p>
      </w:docPartBody>
    </w:docPart>
    <w:docPart>
      <w:docPartPr>
        <w:name w:val="0DAD3FB9ACEF4778B961F088737E2361"/>
        <w:category>
          <w:name w:val="General"/>
          <w:gallery w:val="placeholder"/>
        </w:category>
        <w:types>
          <w:type w:val="bbPlcHdr"/>
        </w:types>
        <w:behaviors>
          <w:behavior w:val="content"/>
        </w:behaviors>
        <w:guid w:val="{1818AAEB-C7DB-4A80-88DB-772F73C8E66D}"/>
      </w:docPartPr>
      <w:docPartBody>
        <w:p w:rsidR="00D21A9F" w:rsidRDefault="00D21A9F">
          <w:pPr>
            <w:pStyle w:val="0DAD3FB9ACEF4778B961F088737E2361"/>
          </w:pPr>
          <w:r>
            <w:rPr>
              <w:rStyle w:val="PlaceholderText"/>
            </w:rPr>
            <w:t>Insert molecular weight</w:t>
          </w:r>
        </w:p>
      </w:docPartBody>
    </w:docPart>
    <w:docPart>
      <w:docPartPr>
        <w:name w:val="A7231FB73EFF4B2B92EB3BD21C0CEA01"/>
        <w:category>
          <w:name w:val="General"/>
          <w:gallery w:val="placeholder"/>
        </w:category>
        <w:types>
          <w:type w:val="bbPlcHdr"/>
        </w:types>
        <w:behaviors>
          <w:behavior w:val="content"/>
        </w:behaviors>
        <w:guid w:val="{FF1A3F6B-F6BB-479E-BB6A-087EA1FCFDFA}"/>
      </w:docPartPr>
      <w:docPartBody>
        <w:p w:rsidR="00D21A9F" w:rsidRDefault="00D21A9F">
          <w:pPr>
            <w:pStyle w:val="A7231FB73EFF4B2B92EB3BD21C0CEA01"/>
          </w:pPr>
          <w:r>
            <w:rPr>
              <w:rStyle w:val="PlaceholderText"/>
            </w:rPr>
            <w:t>Number</w:t>
          </w:r>
        </w:p>
      </w:docPartBody>
    </w:docPart>
    <w:docPart>
      <w:docPartPr>
        <w:name w:val="5D98FA8C84704C71B6F1557317AE5303"/>
        <w:category>
          <w:name w:val="General"/>
          <w:gallery w:val="placeholder"/>
        </w:category>
        <w:types>
          <w:type w:val="bbPlcHdr"/>
        </w:types>
        <w:behaviors>
          <w:behavior w:val="content"/>
        </w:behaviors>
        <w:guid w:val="{5F8DFB54-C6B8-4F2D-88BE-C0D2DC34C42D}"/>
      </w:docPartPr>
      <w:docPartBody>
        <w:p w:rsidR="00D21A9F" w:rsidRDefault="00D21A9F">
          <w:pPr>
            <w:pStyle w:val="5D98FA8C84704C71B6F1557317AE5303"/>
          </w:pPr>
          <w:r w:rsidRPr="00DF796F">
            <w:rPr>
              <w:rStyle w:val="PlaceholderText"/>
            </w:rPr>
            <w:t>Click or tap here to enter text.</w:t>
          </w:r>
        </w:p>
      </w:docPartBody>
    </w:docPart>
    <w:docPart>
      <w:docPartPr>
        <w:name w:val="2BF891C0AB704CDAB9BC6E80D556473F"/>
        <w:category>
          <w:name w:val="General"/>
          <w:gallery w:val="placeholder"/>
        </w:category>
        <w:types>
          <w:type w:val="bbPlcHdr"/>
        </w:types>
        <w:behaviors>
          <w:behavior w:val="content"/>
        </w:behaviors>
        <w:guid w:val="{DE1FED3B-D766-43B3-B75A-764D619F223B}"/>
      </w:docPartPr>
      <w:docPartBody>
        <w:p w:rsidR="00D21A9F" w:rsidRDefault="00D21A9F">
          <w:pPr>
            <w:pStyle w:val="2BF891C0AB704CDAB9BC6E80D556473F"/>
          </w:pPr>
          <w:r w:rsidRPr="004C23F4">
            <w:rPr>
              <w:rStyle w:val="PlaceholderText"/>
              <w:rFonts w:cs="Arial"/>
            </w:rPr>
            <w:t>Click here to enter year</w:t>
          </w:r>
        </w:p>
      </w:docPartBody>
    </w:docPart>
    <w:docPart>
      <w:docPartPr>
        <w:name w:val="97A6BE7D44EA4E759853EA4D2BE06F00"/>
        <w:category>
          <w:name w:val="General"/>
          <w:gallery w:val="placeholder"/>
        </w:category>
        <w:types>
          <w:type w:val="bbPlcHdr"/>
        </w:types>
        <w:behaviors>
          <w:behavior w:val="content"/>
        </w:behaviors>
        <w:guid w:val="{5A233006-2AAC-4110-B0D7-C66E0DBF431B}"/>
      </w:docPartPr>
      <w:docPartBody>
        <w:p w:rsidR="00F31898" w:rsidRDefault="002C4878" w:rsidP="002C4878">
          <w:pPr>
            <w:pStyle w:val="97A6BE7D44EA4E759853EA4D2BE06F00"/>
          </w:pPr>
          <w:r>
            <w:rPr>
              <w:rStyle w:val="PlaceholderText"/>
            </w:rPr>
            <w:t>Has this value changed?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A9F"/>
    <w:rsid w:val="00107B67"/>
    <w:rsid w:val="002C4878"/>
    <w:rsid w:val="00567712"/>
    <w:rsid w:val="006C582A"/>
    <w:rsid w:val="007D5974"/>
    <w:rsid w:val="009B7629"/>
    <w:rsid w:val="00AF37CA"/>
    <w:rsid w:val="00D21A9F"/>
    <w:rsid w:val="00DF1BD6"/>
    <w:rsid w:val="00F318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878"/>
    <w:rPr>
      <w:color w:val="808080"/>
    </w:rPr>
  </w:style>
  <w:style w:type="paragraph" w:customStyle="1" w:styleId="CE1736E50B02464986D1BEC8B7ACDE96">
    <w:name w:val="CE1736E50B02464986D1BEC8B7ACDE96"/>
  </w:style>
  <w:style w:type="paragraph" w:customStyle="1" w:styleId="E23B83A762C94EBA8097A4DA3FB4D503">
    <w:name w:val="E23B83A762C94EBA8097A4DA3FB4D503"/>
  </w:style>
  <w:style w:type="paragraph" w:customStyle="1" w:styleId="0A35AF4547E94E219E26BC12DBC33282">
    <w:name w:val="0A35AF4547E94E219E26BC12DBC33282"/>
  </w:style>
  <w:style w:type="paragraph" w:customStyle="1" w:styleId="81CFEC2FDBC5451289F394E66D92D1A0">
    <w:name w:val="81CFEC2FDBC5451289F394E66D92D1A0"/>
  </w:style>
  <w:style w:type="paragraph" w:customStyle="1" w:styleId="C8FBF9621EB94FE084F687C8955AF85F">
    <w:name w:val="C8FBF9621EB94FE084F687C8955AF85F"/>
  </w:style>
  <w:style w:type="paragraph" w:customStyle="1" w:styleId="522022AAE76B4622AC0DF750489702EB">
    <w:name w:val="522022AAE76B4622AC0DF750489702EB"/>
  </w:style>
  <w:style w:type="paragraph" w:customStyle="1" w:styleId="6918C77959FE4E2CB3B6BD78ABC69E19">
    <w:name w:val="6918C77959FE4E2CB3B6BD78ABC69E19"/>
  </w:style>
  <w:style w:type="paragraph" w:customStyle="1" w:styleId="1ED9AEC91FDC4528B51A567B2B19EB9F">
    <w:name w:val="1ED9AEC91FDC4528B51A567B2B19EB9F"/>
  </w:style>
  <w:style w:type="paragraph" w:customStyle="1" w:styleId="FDC2A24E7D2549238DA6EE03BD0A6AE0">
    <w:name w:val="FDC2A24E7D2549238DA6EE03BD0A6AE0"/>
  </w:style>
  <w:style w:type="paragraph" w:customStyle="1" w:styleId="9E827C9D0DA949E385F2E9AB4264125E">
    <w:name w:val="9E827C9D0DA949E385F2E9AB4264125E"/>
  </w:style>
  <w:style w:type="paragraph" w:customStyle="1" w:styleId="47E4EC2DB10B4B8E8A66F7A5C13653CB">
    <w:name w:val="47E4EC2DB10B4B8E8A66F7A5C13653CB"/>
  </w:style>
  <w:style w:type="paragraph" w:customStyle="1" w:styleId="5E4DD00C3A334F93BF5CC79754EBC5EA">
    <w:name w:val="5E4DD00C3A334F93BF5CC79754EBC5EA"/>
  </w:style>
  <w:style w:type="paragraph" w:customStyle="1" w:styleId="EA1708404F1C4A3BB080A0D8EEB67D1D">
    <w:name w:val="EA1708404F1C4A3BB080A0D8EEB67D1D"/>
  </w:style>
  <w:style w:type="paragraph" w:customStyle="1" w:styleId="F3D4204BA37A4A21A656C76DA4274412">
    <w:name w:val="F3D4204BA37A4A21A656C76DA4274412"/>
  </w:style>
  <w:style w:type="paragraph" w:customStyle="1" w:styleId="8DD754E365844A4E82EC69A07E229629">
    <w:name w:val="8DD754E365844A4E82EC69A07E229629"/>
  </w:style>
  <w:style w:type="paragraph" w:customStyle="1" w:styleId="29D96B65566944F4988BAEB665EF7897">
    <w:name w:val="29D96B65566944F4988BAEB665EF7897"/>
  </w:style>
  <w:style w:type="paragraph" w:customStyle="1" w:styleId="C2B44F29000D47BD8588D2D5E8DFA6C8">
    <w:name w:val="C2B44F29000D47BD8588D2D5E8DFA6C8"/>
  </w:style>
  <w:style w:type="paragraph" w:customStyle="1" w:styleId="CC96E8CFB35445F7B98574D62F848316">
    <w:name w:val="CC96E8CFB35445F7B98574D62F848316"/>
  </w:style>
  <w:style w:type="paragraph" w:customStyle="1" w:styleId="20BC8D26515A4C11AC6304FB75A7CBAD">
    <w:name w:val="20BC8D26515A4C11AC6304FB75A7CBAD"/>
  </w:style>
  <w:style w:type="paragraph" w:customStyle="1" w:styleId="0599BE4318CD4CC0836196E577CC2921">
    <w:name w:val="0599BE4318CD4CC0836196E577CC2921"/>
  </w:style>
  <w:style w:type="paragraph" w:customStyle="1" w:styleId="CA68404C5F6B4780904F09DAAE62489A">
    <w:name w:val="CA68404C5F6B4780904F09DAAE62489A"/>
  </w:style>
  <w:style w:type="paragraph" w:customStyle="1" w:styleId="CFFDE270CB50461B826B0194984892C5">
    <w:name w:val="CFFDE270CB50461B826B0194984892C5"/>
  </w:style>
  <w:style w:type="paragraph" w:customStyle="1" w:styleId="EA32968BF93744FAABC5FC124DBE04BD">
    <w:name w:val="EA32968BF93744FAABC5FC124DBE04BD"/>
  </w:style>
  <w:style w:type="paragraph" w:customStyle="1" w:styleId="320A77D155374054996F168A20882C28">
    <w:name w:val="320A77D155374054996F168A20882C28"/>
  </w:style>
  <w:style w:type="paragraph" w:customStyle="1" w:styleId="EA51C8540A4D4F0A9062F5B1698DCBB0">
    <w:name w:val="EA51C8540A4D4F0A9062F5B1698DCBB0"/>
  </w:style>
  <w:style w:type="paragraph" w:customStyle="1" w:styleId="0168237C60E6479CAFA3D9A1A8409B78">
    <w:name w:val="0168237C60E6479CAFA3D9A1A8409B78"/>
  </w:style>
  <w:style w:type="paragraph" w:customStyle="1" w:styleId="5CBFEC560F894890BBD09B93174FFAE0">
    <w:name w:val="5CBFEC560F894890BBD09B93174FFAE0"/>
  </w:style>
  <w:style w:type="paragraph" w:customStyle="1" w:styleId="CAD2D506A5824AB88D896BC2795BCEDE">
    <w:name w:val="CAD2D506A5824AB88D896BC2795BCEDE"/>
  </w:style>
  <w:style w:type="paragraph" w:customStyle="1" w:styleId="047AD93791DC493F8562BB3488160D64">
    <w:name w:val="047AD93791DC493F8562BB3488160D64"/>
  </w:style>
  <w:style w:type="paragraph" w:customStyle="1" w:styleId="7B0BAA2441D5427984E6018FB38900E7">
    <w:name w:val="7B0BAA2441D5427984E6018FB38900E7"/>
  </w:style>
  <w:style w:type="paragraph" w:customStyle="1" w:styleId="5C1D38B030D146B59436754F8399D502">
    <w:name w:val="5C1D38B030D146B59436754F8399D502"/>
  </w:style>
  <w:style w:type="paragraph" w:customStyle="1" w:styleId="F426C563814E402488AC06CC39354A11">
    <w:name w:val="F426C563814E402488AC06CC39354A11"/>
  </w:style>
  <w:style w:type="paragraph" w:customStyle="1" w:styleId="0DAD3FB9ACEF4778B961F088737E2361">
    <w:name w:val="0DAD3FB9ACEF4778B961F088737E2361"/>
  </w:style>
  <w:style w:type="paragraph" w:customStyle="1" w:styleId="A7231FB73EFF4B2B92EB3BD21C0CEA01">
    <w:name w:val="A7231FB73EFF4B2B92EB3BD21C0CEA01"/>
  </w:style>
  <w:style w:type="paragraph" w:customStyle="1" w:styleId="5D98FA8C84704C71B6F1557317AE5303">
    <w:name w:val="5D98FA8C84704C71B6F1557317AE5303"/>
  </w:style>
  <w:style w:type="paragraph" w:customStyle="1" w:styleId="2BF891C0AB704CDAB9BC6E80D556473F">
    <w:name w:val="2BF891C0AB704CDAB9BC6E80D556473F"/>
  </w:style>
  <w:style w:type="paragraph" w:customStyle="1" w:styleId="5A1742D80E1B4FA7B8F31AB3B0F427E2">
    <w:name w:val="5A1742D80E1B4FA7B8F31AB3B0F427E2"/>
    <w:rsid w:val="007D5974"/>
  </w:style>
  <w:style w:type="paragraph" w:customStyle="1" w:styleId="D2D5D326D605435EA08C88F785EB4EF1">
    <w:name w:val="D2D5D326D605435EA08C88F785EB4EF1"/>
    <w:rsid w:val="007D5974"/>
  </w:style>
  <w:style w:type="paragraph" w:customStyle="1" w:styleId="8B8D41F1CDB14A9289ACD14BB21F6865">
    <w:name w:val="8B8D41F1CDB14A9289ACD14BB21F6865"/>
    <w:rsid w:val="007D5974"/>
  </w:style>
  <w:style w:type="paragraph" w:customStyle="1" w:styleId="24274BF4F543435DAA66B4EDECC5730E">
    <w:name w:val="24274BF4F543435DAA66B4EDECC5730E"/>
    <w:rsid w:val="007D5974"/>
  </w:style>
  <w:style w:type="paragraph" w:customStyle="1" w:styleId="A12D18E0748C4B0992D019682CEEBF67">
    <w:name w:val="A12D18E0748C4B0992D019682CEEBF67"/>
    <w:rsid w:val="00DF1BD6"/>
  </w:style>
  <w:style w:type="paragraph" w:customStyle="1" w:styleId="F2CCF7C3460349ABADF8AFF1DED4697D">
    <w:name w:val="F2CCF7C3460349ABADF8AFF1DED4697D"/>
    <w:rsid w:val="00DF1BD6"/>
  </w:style>
  <w:style w:type="paragraph" w:customStyle="1" w:styleId="0CB27C47E01944FF851D5488B1ADDE78">
    <w:name w:val="0CB27C47E01944FF851D5488B1ADDE78"/>
    <w:rsid w:val="00DF1BD6"/>
  </w:style>
  <w:style w:type="paragraph" w:customStyle="1" w:styleId="3D4355BABF5849A3BA5CDA9D79FAE3BB">
    <w:name w:val="3D4355BABF5849A3BA5CDA9D79FAE3BB"/>
    <w:rsid w:val="00107B67"/>
  </w:style>
  <w:style w:type="paragraph" w:customStyle="1" w:styleId="7AEF80E39985434CB44E3008DECABF6E">
    <w:name w:val="7AEF80E39985434CB44E3008DECABF6E"/>
    <w:rsid w:val="00107B67"/>
  </w:style>
  <w:style w:type="paragraph" w:customStyle="1" w:styleId="99B15E7868D54DBBAC9132061509C4BD">
    <w:name w:val="99B15E7868D54DBBAC9132061509C4BD"/>
    <w:rsid w:val="00107B67"/>
  </w:style>
  <w:style w:type="paragraph" w:customStyle="1" w:styleId="97A6BE7D44EA4E759853EA4D2BE06F00">
    <w:name w:val="97A6BE7D44EA4E759853EA4D2BE06F00"/>
    <w:rsid w:val="002C48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2833B9C0B50D4EB62CF206B9DF4D6F" ma:contentTypeVersion="2" ma:contentTypeDescription="Create a new document." ma:contentTypeScope="" ma:versionID="3f0239daee0f58ef4204c8121a58097c">
  <xsd:schema xmlns:xsd="http://www.w3.org/2001/XMLSchema" xmlns:xs="http://www.w3.org/2001/XMLSchema" xmlns:p="http://schemas.microsoft.com/office/2006/metadata/properties" xmlns:ns2="bf54d604-3e62-4e70-ba33-9e9084b96a66" targetNamespace="http://schemas.microsoft.com/office/2006/metadata/properties" ma:root="true" ma:fieldsID="84d0abafb20839a02dba80eb6ea31e1c" ns2:_="">
    <xsd:import namespace="bf54d604-3e62-4e70-ba33-9e9084b96a6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4d604-3e62-4e70-ba33-9e9084b96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59DE1-3DAB-4241-A85C-A5D20F1AA36F}">
  <ds:schemaRefs>
    <ds:schemaRef ds:uri="http://purl.org/dc/terms/"/>
    <ds:schemaRef ds:uri="http://schemas.openxmlformats.org/package/2006/metadata/core-properties"/>
    <ds:schemaRef ds:uri="http://schemas.microsoft.com/office/2006/documentManagement/types"/>
    <ds:schemaRef ds:uri="http://purl.org/dc/dcmitype/"/>
    <ds:schemaRef ds:uri="bf54d604-3e62-4e70-ba33-9e9084b96a66"/>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BEBB58D-30A6-49CF-9E6C-E23796A2E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4d604-3e62-4e70-ba33-9e9084b96a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5734C-1A56-4C63-AD2B-6DF3508E2704}">
  <ds:schemaRefs>
    <ds:schemaRef ds:uri="http://schemas.microsoft.com/sharepoint/v3/contenttype/forms"/>
  </ds:schemaRefs>
</ds:datastoreItem>
</file>

<file path=customXml/itemProps4.xml><?xml version="1.0" encoding="utf-8"?>
<ds:datastoreItem xmlns:ds="http://schemas.openxmlformats.org/officeDocument/2006/customXml" ds:itemID="{701A27AB-6FE8-4A89-B76D-0EA51D238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1568</Words>
  <Characters>8941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2019-11-11T04:37:00Z</dcterms:created>
  <dcterms:modified xsi:type="dcterms:W3CDTF">2019-12-05T22:50:00Z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0x010100EC2833B9C0B50D4EB62CF206B9DF4D6F</vt:lpwstr>
  </property>
</Properties>
</file>