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5D355926" w14:textId="66199A59" w:rsidR="00BD499F" w:rsidRPr="004C23F4" w:rsidRDefault="003C2F6B" w:rsidP="00B40C60">
          <w:pPr>
            <w:pStyle w:val="Heading1"/>
            <w:jc w:val="center"/>
            <w:rPr>
              <w:rFonts w:ascii="Arial" w:hAnsi="Arial" w:cs="Arial"/>
            </w:rPr>
          </w:pPr>
          <w:r w:rsidRPr="003C2F6B">
            <w:rPr>
              <w:rFonts w:ascii="Arial" w:hAnsi="Arial" w:cs="Arial"/>
            </w:rPr>
            <w:t>Ethylamine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5"/>
        <w:gridCol w:w="5041"/>
      </w:tblGrid>
      <w:tr w:rsidR="00F43AD5" w:rsidRPr="004C23F4" w14:paraId="0B8F2DE5" w14:textId="77777777" w:rsidTr="00B76A41">
        <w:trPr>
          <w:cantSplit/>
          <w:tblHeader/>
        </w:trPr>
        <w:tc>
          <w:tcPr>
            <w:tcW w:w="4077" w:type="dxa"/>
          </w:tcPr>
          <w:p w14:paraId="62A9F8FE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2DC22195" w14:textId="5F7CF378" w:rsidR="00F43AD5" w:rsidRPr="00717D45" w:rsidRDefault="00F25815" w:rsidP="00B76A41">
            <w:pPr>
              <w:pStyle w:val="Tablefont"/>
            </w:pPr>
            <w:r w:rsidRPr="00F25815">
              <w:t>75-04-7</w:t>
            </w:r>
          </w:p>
        </w:tc>
      </w:tr>
      <w:tr w:rsidR="00F43AD5" w:rsidRPr="004C23F4" w14:paraId="74930A59" w14:textId="77777777" w:rsidTr="00B76A41">
        <w:trPr>
          <w:cantSplit/>
        </w:trPr>
        <w:tc>
          <w:tcPr>
            <w:tcW w:w="4077" w:type="dxa"/>
          </w:tcPr>
          <w:p w14:paraId="0EE058BA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4FB88354" w14:textId="62CBD587" w:rsidR="00F43AD5" w:rsidRPr="00717D45" w:rsidRDefault="00F25815" w:rsidP="00B76A41">
            <w:pPr>
              <w:pStyle w:val="Tablefont"/>
            </w:pPr>
            <w:proofErr w:type="spellStart"/>
            <w:r>
              <w:t>Aminoethane</w:t>
            </w:r>
            <w:proofErr w:type="spellEnd"/>
          </w:p>
        </w:tc>
      </w:tr>
      <w:tr w:rsidR="00F43AD5" w:rsidRPr="004C23F4" w14:paraId="52BEC03B" w14:textId="77777777" w:rsidTr="00B76A41">
        <w:trPr>
          <w:cantSplit/>
        </w:trPr>
        <w:tc>
          <w:tcPr>
            <w:tcW w:w="4077" w:type="dxa"/>
          </w:tcPr>
          <w:p w14:paraId="4800FA8F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68990E19" w14:textId="193C82BE" w:rsidR="00F43AD5" w:rsidRPr="00717D45" w:rsidRDefault="00F25815" w:rsidP="00B76A41">
            <w:pPr>
              <w:pStyle w:val="Tablefont"/>
            </w:pPr>
            <w:r>
              <w:t>C</w:t>
            </w:r>
            <w:r w:rsidRPr="00F25815">
              <w:rPr>
                <w:vertAlign w:val="subscript"/>
              </w:rPr>
              <w:t>2</w:t>
            </w:r>
            <w:r>
              <w:t>H</w:t>
            </w:r>
            <w:r w:rsidRPr="00F25815">
              <w:rPr>
                <w:vertAlign w:val="subscript"/>
              </w:rPr>
              <w:t>5</w:t>
            </w:r>
            <w:r>
              <w:t>NH</w:t>
            </w:r>
            <w:r w:rsidRPr="00F25815">
              <w:rPr>
                <w:vertAlign w:val="subscript"/>
              </w:rPr>
              <w:t>2</w:t>
            </w:r>
          </w:p>
        </w:tc>
      </w:tr>
      <w:tr w:rsidR="00F43AD5" w:rsidRPr="004C23F4" w14:paraId="22EF650D" w14:textId="77777777" w:rsidTr="00B76A41">
        <w:trPr>
          <w:cantSplit/>
        </w:trPr>
        <w:tc>
          <w:tcPr>
            <w:tcW w:w="4077" w:type="dxa"/>
          </w:tcPr>
          <w:p w14:paraId="7AE16787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344DACEA" w14:textId="11095164" w:rsidR="00F43AD5" w:rsidRPr="0085295D" w:rsidRDefault="00F25815" w:rsidP="00B76A41">
            <w:pPr>
              <w:pStyle w:val="Tablerowheading"/>
              <w:rPr>
                <w:b w:val="0"/>
              </w:rPr>
            </w:pPr>
            <w:r w:rsidRPr="0085295D">
              <w:rPr>
                <w:b w:val="0"/>
              </w:rPr>
              <w:t>—</w:t>
            </w:r>
          </w:p>
        </w:tc>
      </w:tr>
    </w:tbl>
    <w:p w14:paraId="5504679B" w14:textId="45B7278A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032C86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78B46400" w14:textId="77777777" w:rsidTr="008F40A1">
        <w:trPr>
          <w:cantSplit/>
          <w:tblHeader/>
        </w:trPr>
        <w:tc>
          <w:tcPr>
            <w:tcW w:w="4005" w:type="dxa"/>
            <w:vAlign w:val="center"/>
          </w:tcPr>
          <w:p w14:paraId="250794E1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2EE740F9" w14:textId="315819D6" w:rsidR="002C7AFE" w:rsidRPr="00EB3D1B" w:rsidRDefault="00A2021B" w:rsidP="00017C82">
            <w:pPr>
              <w:pStyle w:val="Tablefont"/>
              <w:rPr>
                <w:b/>
              </w:rPr>
            </w:pPr>
            <w:r w:rsidRPr="00A2021B">
              <w:rPr>
                <w:b/>
              </w:rPr>
              <w:t>5 ppm (9 mg/m</w:t>
            </w:r>
            <w:r w:rsidRPr="00A2021B">
              <w:rPr>
                <w:b/>
                <w:vertAlign w:val="superscript"/>
              </w:rPr>
              <w:t>3</w:t>
            </w:r>
            <w:r w:rsidRPr="00A2021B">
              <w:rPr>
                <w:b/>
              </w:rPr>
              <w:t>)</w:t>
            </w:r>
          </w:p>
        </w:tc>
      </w:tr>
      <w:tr w:rsidR="002C7AFE" w:rsidRPr="004C23F4" w14:paraId="3C5E1DCB" w14:textId="77777777" w:rsidTr="008F40A1">
        <w:trPr>
          <w:cantSplit/>
        </w:trPr>
        <w:tc>
          <w:tcPr>
            <w:tcW w:w="4005" w:type="dxa"/>
            <w:vAlign w:val="center"/>
          </w:tcPr>
          <w:p w14:paraId="3B6D4225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698F5FE1" w14:textId="4ABE77AB" w:rsidR="002C7AFE" w:rsidRPr="00EB3D1B" w:rsidRDefault="00A2021B" w:rsidP="00017C82">
            <w:pPr>
              <w:pStyle w:val="Tablefont"/>
              <w:rPr>
                <w:b/>
              </w:rPr>
            </w:pPr>
            <w:r w:rsidRPr="00A2021B">
              <w:rPr>
                <w:b/>
              </w:rPr>
              <w:t>15 ppm (28 mg/m</w:t>
            </w:r>
            <w:r w:rsidRPr="00A2021B">
              <w:rPr>
                <w:b/>
                <w:vertAlign w:val="superscript"/>
              </w:rPr>
              <w:t>3</w:t>
            </w:r>
            <w:r w:rsidRPr="00A2021B">
              <w:rPr>
                <w:b/>
              </w:rPr>
              <w:t>)</w:t>
            </w:r>
          </w:p>
        </w:tc>
      </w:tr>
      <w:tr w:rsidR="002C7AFE" w:rsidRPr="004C23F4" w14:paraId="7FBDCB6E" w14:textId="77777777" w:rsidTr="008F40A1">
        <w:trPr>
          <w:cantSplit/>
        </w:trPr>
        <w:tc>
          <w:tcPr>
            <w:tcW w:w="4005" w:type="dxa"/>
            <w:vAlign w:val="center"/>
          </w:tcPr>
          <w:p w14:paraId="01A9D389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6B24D9A0" w14:textId="2C7E60E0" w:rsidR="002C7AFE" w:rsidRPr="00EB3D1B" w:rsidRDefault="00A2021B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0A3C9AA0" w14:textId="77777777" w:rsidTr="008F40A1">
        <w:trPr>
          <w:cantSplit/>
        </w:trPr>
        <w:tc>
          <w:tcPr>
            <w:tcW w:w="4005" w:type="dxa"/>
          </w:tcPr>
          <w:p w14:paraId="2F322D87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3309638B" w14:textId="7799BEBA" w:rsidR="002C7AFE" w:rsidRPr="00EB3D1B" w:rsidRDefault="00C4524E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Sk.</w:t>
            </w:r>
          </w:p>
        </w:tc>
      </w:tr>
      <w:tr w:rsidR="002C7AFE" w:rsidRPr="004C23F4" w14:paraId="60C8D948" w14:textId="77777777" w:rsidTr="008F40A1">
        <w:trPr>
          <w:cantSplit/>
        </w:trPr>
        <w:tc>
          <w:tcPr>
            <w:tcW w:w="4005" w:type="dxa"/>
            <w:vAlign w:val="center"/>
          </w:tcPr>
          <w:p w14:paraId="52049868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1557B509" w14:textId="67FE3024" w:rsidR="002C7AFE" w:rsidRPr="00EB3D1B" w:rsidRDefault="00F25815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600 ppm</w:t>
            </w:r>
          </w:p>
        </w:tc>
      </w:tr>
      <w:tr w:rsidR="008F40A1" w:rsidRPr="004C23F4" w14:paraId="1F2BB78F" w14:textId="77777777" w:rsidTr="00C83C71">
        <w:trPr>
          <w:cantSplit/>
        </w:trPr>
        <w:tc>
          <w:tcPr>
            <w:tcW w:w="9026" w:type="dxa"/>
            <w:gridSpan w:val="2"/>
            <w:vAlign w:val="center"/>
          </w:tcPr>
          <w:p w14:paraId="2640CE01" w14:textId="0171745E" w:rsidR="008F40A1" w:rsidRPr="00EB3D1B" w:rsidRDefault="008F40A1" w:rsidP="008F40A1">
            <w:pPr>
              <w:pStyle w:val="Tablefont"/>
              <w:rPr>
                <w:b/>
              </w:rPr>
            </w:pPr>
            <w:r w:rsidRPr="004D2CB5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C93B96D006A4415EBC3F529DC4780A84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4D2CB5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6B2DAF74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6790DF99" w14:textId="77777777" w:rsidR="00BA1C07" w:rsidRDefault="00051111" w:rsidP="00051111">
      <w:pPr>
        <w:rPr>
          <w:rFonts w:cs="Arial"/>
        </w:rPr>
      </w:pPr>
      <w:r w:rsidRPr="00051111">
        <w:rPr>
          <w:rFonts w:cs="Arial"/>
        </w:rPr>
        <w:t xml:space="preserve">A TWA of </w:t>
      </w:r>
      <w:r>
        <w:rPr>
          <w:rFonts w:cs="Arial"/>
        </w:rPr>
        <w:t>5</w:t>
      </w:r>
      <w:r w:rsidRPr="00051111">
        <w:rPr>
          <w:rFonts w:cs="Arial"/>
        </w:rPr>
        <w:t xml:space="preserve"> ppm (</w:t>
      </w:r>
      <w:r>
        <w:rPr>
          <w:rFonts w:cs="Arial"/>
        </w:rPr>
        <w:t>9</w:t>
      </w:r>
      <w:r w:rsidRPr="00051111">
        <w:rPr>
          <w:rFonts w:cs="Arial"/>
        </w:rPr>
        <w:t xml:space="preserve"> mg/m</w:t>
      </w:r>
      <w:r w:rsidRPr="00051111">
        <w:rPr>
          <w:rFonts w:cs="Arial"/>
          <w:vertAlign w:val="superscript"/>
        </w:rPr>
        <w:t>3</w:t>
      </w:r>
      <w:r>
        <w:rPr>
          <w:rFonts w:cs="Arial"/>
        </w:rPr>
        <w:t xml:space="preserve">) </w:t>
      </w:r>
      <w:proofErr w:type="gramStart"/>
      <w:r>
        <w:rPr>
          <w:rFonts w:cs="Arial"/>
        </w:rPr>
        <w:t>is recommended</w:t>
      </w:r>
      <w:proofErr w:type="gramEnd"/>
      <w:r>
        <w:rPr>
          <w:rFonts w:cs="Arial"/>
        </w:rPr>
        <w:t xml:space="preserve"> </w:t>
      </w:r>
      <w:r w:rsidRPr="00051111">
        <w:rPr>
          <w:rFonts w:cs="Arial"/>
        </w:rPr>
        <w:t xml:space="preserve">to protect for </w:t>
      </w:r>
      <w:r>
        <w:rPr>
          <w:rFonts w:cs="Arial"/>
        </w:rPr>
        <w:t>upper respiratory tract irritation</w:t>
      </w:r>
      <w:r w:rsidRPr="00051111">
        <w:rPr>
          <w:rFonts w:cs="Arial"/>
        </w:rPr>
        <w:t xml:space="preserve"> in exposed workers. </w:t>
      </w:r>
    </w:p>
    <w:p w14:paraId="52B0F26B" w14:textId="4B1DEF85" w:rsidR="006639B4" w:rsidRPr="00A2021B" w:rsidRDefault="00051111" w:rsidP="00051111">
      <w:pPr>
        <w:rPr>
          <w:rFonts w:cs="Arial"/>
        </w:rPr>
      </w:pPr>
      <w:r>
        <w:rPr>
          <w:rFonts w:cs="Arial"/>
        </w:rPr>
        <w:t xml:space="preserve">A </w:t>
      </w:r>
      <w:r w:rsidRPr="00051111">
        <w:rPr>
          <w:rFonts w:cs="Arial"/>
        </w:rPr>
        <w:t xml:space="preserve">STEL of </w:t>
      </w:r>
      <w:r>
        <w:rPr>
          <w:rFonts w:cs="Arial"/>
        </w:rPr>
        <w:t>15</w:t>
      </w:r>
      <w:r w:rsidRPr="00051111">
        <w:rPr>
          <w:rFonts w:cs="Arial"/>
        </w:rPr>
        <w:t xml:space="preserve"> ppm (</w:t>
      </w:r>
      <w:r w:rsidR="00A2021B">
        <w:rPr>
          <w:rFonts w:cs="Arial"/>
        </w:rPr>
        <w:t>28</w:t>
      </w:r>
      <w:r w:rsidRPr="00051111">
        <w:rPr>
          <w:rFonts w:cs="Arial"/>
        </w:rPr>
        <w:t xml:space="preserve"> mg/m</w:t>
      </w:r>
      <w:r w:rsidRPr="00A2021B">
        <w:rPr>
          <w:rFonts w:cs="Arial"/>
          <w:vertAlign w:val="superscript"/>
        </w:rPr>
        <w:t>3</w:t>
      </w:r>
      <w:r w:rsidR="00A2021B">
        <w:rPr>
          <w:rFonts w:cs="Arial"/>
        </w:rPr>
        <w:t xml:space="preserve">) </w:t>
      </w:r>
      <w:proofErr w:type="gramStart"/>
      <w:r w:rsidR="00A2021B">
        <w:rPr>
          <w:rFonts w:cs="Arial"/>
        </w:rPr>
        <w:t>is recommended</w:t>
      </w:r>
      <w:proofErr w:type="gramEnd"/>
      <w:r w:rsidR="00A2021B">
        <w:rPr>
          <w:rFonts w:cs="Arial"/>
        </w:rPr>
        <w:t xml:space="preserve"> to protect for irritation</w:t>
      </w:r>
      <w:r w:rsidR="005A42CF">
        <w:rPr>
          <w:rFonts w:cs="Arial"/>
        </w:rPr>
        <w:t xml:space="preserve"> and potential eye and lung damage</w:t>
      </w:r>
      <w:r w:rsidR="00A2021B">
        <w:rPr>
          <w:rFonts w:cs="Arial"/>
        </w:rPr>
        <w:t xml:space="preserve"> </w:t>
      </w:r>
      <w:r w:rsidR="006D55F0">
        <w:rPr>
          <w:rFonts w:cs="Arial"/>
        </w:rPr>
        <w:t xml:space="preserve">from acute exposures </w:t>
      </w:r>
      <w:r w:rsidR="00A2021B">
        <w:rPr>
          <w:rFonts w:cs="Arial"/>
        </w:rPr>
        <w:t>at higher concentrations</w:t>
      </w:r>
      <w:r w:rsidR="002F3A3F">
        <w:rPr>
          <w:rFonts w:cs="Arial"/>
        </w:rPr>
        <w:t>.</w:t>
      </w:r>
    </w:p>
    <w:p w14:paraId="6950E7AF" w14:textId="77777777" w:rsidR="00C7155E" w:rsidRPr="004C23F4" w:rsidRDefault="00F10C97" w:rsidP="003365A5">
      <w:pPr>
        <w:pStyle w:val="Heading2"/>
      </w:pPr>
      <w:r>
        <w:t>Discussion and conclusions</w:t>
      </w:r>
    </w:p>
    <w:p w14:paraId="59D58C6D" w14:textId="00DC547B" w:rsidR="00D73B60" w:rsidRDefault="008323A6" w:rsidP="006639B4">
      <w:pPr>
        <w:rPr>
          <w:rFonts w:cs="Arial"/>
        </w:rPr>
      </w:pPr>
      <w:r>
        <w:rPr>
          <w:rFonts w:cs="Arial"/>
        </w:rPr>
        <w:t xml:space="preserve">Ethylamine </w:t>
      </w:r>
      <w:proofErr w:type="gramStart"/>
      <w:r>
        <w:rPr>
          <w:rFonts w:cs="Arial"/>
        </w:rPr>
        <w:t>is used</w:t>
      </w:r>
      <w:proofErr w:type="gramEnd"/>
      <w:r>
        <w:rPr>
          <w:rFonts w:cs="Arial"/>
        </w:rPr>
        <w:t xml:space="preserve"> as a solvent, in </w:t>
      </w:r>
      <w:r w:rsidR="00A2021B">
        <w:rPr>
          <w:rFonts w:cs="Arial"/>
        </w:rPr>
        <w:t>chemical manufacture</w:t>
      </w:r>
      <w:r w:rsidR="009A0A9A">
        <w:rPr>
          <w:rFonts w:cs="Arial"/>
        </w:rPr>
        <w:t xml:space="preserve"> </w:t>
      </w:r>
      <w:r>
        <w:rPr>
          <w:rFonts w:cs="Arial"/>
        </w:rPr>
        <w:t>and petroleum refinement. Critical effects are upper respiratory tract irritation</w:t>
      </w:r>
      <w:r w:rsidR="00A2021B">
        <w:rPr>
          <w:rFonts w:cs="Arial"/>
        </w:rPr>
        <w:t>,</w:t>
      </w:r>
      <w:r w:rsidR="00051111">
        <w:rPr>
          <w:rFonts w:cs="Arial"/>
        </w:rPr>
        <w:t xml:space="preserve"> and lung and kidney damage at higher concentrations (ACGIH, 2018)</w:t>
      </w:r>
      <w:r>
        <w:rPr>
          <w:rFonts w:cs="Arial"/>
        </w:rPr>
        <w:t>.</w:t>
      </w:r>
      <w:r w:rsidR="00E51FE0">
        <w:rPr>
          <w:rFonts w:cs="Arial"/>
        </w:rPr>
        <w:t xml:space="preserve"> </w:t>
      </w:r>
    </w:p>
    <w:p w14:paraId="5C822BAF" w14:textId="48BC42AC" w:rsidR="00613D3A" w:rsidRDefault="00357F1A" w:rsidP="006639B4">
      <w:pPr>
        <w:rPr>
          <w:rFonts w:cs="Arial"/>
        </w:rPr>
      </w:pPr>
      <w:r>
        <w:rPr>
          <w:rFonts w:cs="Arial"/>
        </w:rPr>
        <w:t xml:space="preserve">Human exposure data are limited; however, occupational exposure has been associated with </w:t>
      </w:r>
      <w:r w:rsidR="005A42CF">
        <w:rPr>
          <w:rFonts w:cs="Arial"/>
        </w:rPr>
        <w:t>eye</w:t>
      </w:r>
      <w:r>
        <w:rPr>
          <w:rFonts w:cs="Arial"/>
        </w:rPr>
        <w:t xml:space="preserve"> irritation and oedema (ACGIH, </w:t>
      </w:r>
      <w:r w:rsidR="00047D10">
        <w:rPr>
          <w:rFonts w:cs="Arial"/>
        </w:rPr>
        <w:t>201</w:t>
      </w:r>
      <w:r w:rsidR="00BC0F2A">
        <w:rPr>
          <w:rFonts w:cs="Arial"/>
        </w:rPr>
        <w:t>8</w:t>
      </w:r>
      <w:r>
        <w:rPr>
          <w:rFonts w:cs="Arial"/>
        </w:rPr>
        <w:t xml:space="preserve">). </w:t>
      </w:r>
      <w:r w:rsidR="00D73B60">
        <w:rPr>
          <w:rFonts w:cs="Arial"/>
        </w:rPr>
        <w:t xml:space="preserve">A </w:t>
      </w:r>
      <w:r w:rsidR="00047D10">
        <w:rPr>
          <w:rFonts w:cs="Arial"/>
        </w:rPr>
        <w:t xml:space="preserve">LOAEC </w:t>
      </w:r>
      <w:r w:rsidR="00D73B60">
        <w:rPr>
          <w:rFonts w:cs="Arial"/>
        </w:rPr>
        <w:t xml:space="preserve">of 50 ppm </w:t>
      </w:r>
      <w:r w:rsidR="00D73B60" w:rsidDel="00175ED2">
        <w:rPr>
          <w:rFonts w:cs="Arial"/>
        </w:rPr>
        <w:t xml:space="preserve">for </w:t>
      </w:r>
      <w:r w:rsidR="005A42CF">
        <w:rPr>
          <w:rFonts w:cs="Arial"/>
        </w:rPr>
        <w:t xml:space="preserve">eye and </w:t>
      </w:r>
      <w:r w:rsidR="00D73B60" w:rsidDel="00175ED2">
        <w:rPr>
          <w:rFonts w:cs="Arial"/>
        </w:rPr>
        <w:t xml:space="preserve">lung damage </w:t>
      </w:r>
      <w:proofErr w:type="gramStart"/>
      <w:r w:rsidR="00D73B60">
        <w:rPr>
          <w:rFonts w:cs="Arial"/>
        </w:rPr>
        <w:t>is reported</w:t>
      </w:r>
      <w:proofErr w:type="gramEnd"/>
      <w:r w:rsidR="00D73B60">
        <w:rPr>
          <w:rFonts w:cs="Arial"/>
        </w:rPr>
        <w:t xml:space="preserve"> </w:t>
      </w:r>
      <w:r w:rsidR="00D73B60" w:rsidDel="00175ED2">
        <w:rPr>
          <w:rFonts w:cs="Arial"/>
        </w:rPr>
        <w:t>in rabbit</w:t>
      </w:r>
      <w:r w:rsidR="006D7059">
        <w:rPr>
          <w:rFonts w:cs="Arial"/>
        </w:rPr>
        <w:t xml:space="preserve"> </w:t>
      </w:r>
      <w:r w:rsidR="001811E8">
        <w:rPr>
          <w:rFonts w:cs="Arial"/>
        </w:rPr>
        <w:t xml:space="preserve">inhalation study. </w:t>
      </w:r>
      <w:r w:rsidR="001D135B">
        <w:rPr>
          <w:rFonts w:cs="Arial"/>
        </w:rPr>
        <w:t xml:space="preserve">This study </w:t>
      </w:r>
      <w:r w:rsidR="00E554DA">
        <w:rPr>
          <w:rFonts w:cs="Arial"/>
        </w:rPr>
        <w:t>also reported</w:t>
      </w:r>
      <w:r w:rsidR="001D135B">
        <w:rPr>
          <w:rFonts w:cs="Arial"/>
        </w:rPr>
        <w:t xml:space="preserve"> heart muscle degeneration at 50 ppm. </w:t>
      </w:r>
      <w:r w:rsidR="002C1D50">
        <w:rPr>
          <w:rFonts w:cs="Arial"/>
        </w:rPr>
        <w:t xml:space="preserve">However, </w:t>
      </w:r>
      <w:proofErr w:type="gramStart"/>
      <w:r w:rsidR="002C1D50">
        <w:rPr>
          <w:rFonts w:cs="Arial"/>
        </w:rPr>
        <w:t>100</w:t>
      </w:r>
      <w:r w:rsidR="000F0348">
        <w:rPr>
          <w:rFonts w:cs="Arial"/>
        </w:rPr>
        <w:t> </w:t>
      </w:r>
      <w:r w:rsidR="002C1D50">
        <w:rPr>
          <w:rFonts w:cs="Arial"/>
        </w:rPr>
        <w:t>ppm</w:t>
      </w:r>
      <w:proofErr w:type="gramEnd"/>
      <w:r w:rsidR="002C1D50">
        <w:rPr>
          <w:rFonts w:cs="Arial"/>
        </w:rPr>
        <w:t xml:space="preserve"> dose caused kidney damage but not e</w:t>
      </w:r>
      <w:r w:rsidR="001D135B">
        <w:rPr>
          <w:rFonts w:cs="Arial"/>
        </w:rPr>
        <w:t xml:space="preserve">ye or heart damage </w:t>
      </w:r>
      <w:r w:rsidR="006D7059">
        <w:rPr>
          <w:rFonts w:cs="Arial"/>
        </w:rPr>
        <w:t xml:space="preserve">(ACGIH, </w:t>
      </w:r>
      <w:r w:rsidR="00047D10">
        <w:rPr>
          <w:rFonts w:cs="Arial"/>
        </w:rPr>
        <w:t>201</w:t>
      </w:r>
      <w:r w:rsidR="00BC0F2A">
        <w:rPr>
          <w:rFonts w:cs="Arial"/>
        </w:rPr>
        <w:t>8</w:t>
      </w:r>
      <w:r w:rsidR="006D7059">
        <w:rPr>
          <w:rFonts w:cs="Arial"/>
        </w:rPr>
        <w:t>)</w:t>
      </w:r>
      <w:r w:rsidR="00D73B60">
        <w:rPr>
          <w:rFonts w:cs="Arial"/>
        </w:rPr>
        <w:t xml:space="preserve">. </w:t>
      </w:r>
    </w:p>
    <w:p w14:paraId="5FD5053B" w14:textId="5F3704E7" w:rsidR="006639B4" w:rsidRDefault="00C83C71" w:rsidP="006639B4">
      <w:pPr>
        <w:rPr>
          <w:rFonts w:cs="Arial"/>
        </w:rPr>
      </w:pPr>
      <w:r>
        <w:rPr>
          <w:rFonts w:cs="Arial"/>
        </w:rPr>
        <w:t>In the absence of reliable human exposure data, the recommended</w:t>
      </w:r>
      <w:r w:rsidR="00D73B60" w:rsidDel="00175ED2">
        <w:rPr>
          <w:rFonts w:cs="Arial"/>
        </w:rPr>
        <w:t xml:space="preserve"> </w:t>
      </w:r>
      <w:r w:rsidR="00A2021B" w:rsidDel="00175ED2">
        <w:rPr>
          <w:rFonts w:cs="Arial"/>
        </w:rPr>
        <w:t xml:space="preserve">TWA </w:t>
      </w:r>
      <w:r w:rsidR="00D73B60">
        <w:rPr>
          <w:rFonts w:cs="Arial"/>
        </w:rPr>
        <w:t>of 5</w:t>
      </w:r>
      <w:r>
        <w:rPr>
          <w:rFonts w:cs="Arial"/>
        </w:rPr>
        <w:t> </w:t>
      </w:r>
      <w:r w:rsidR="00D73B60">
        <w:rPr>
          <w:rFonts w:cs="Arial"/>
        </w:rPr>
        <w:t xml:space="preserve">ppm </w:t>
      </w:r>
      <w:proofErr w:type="gramStart"/>
      <w:r w:rsidR="00D73B60">
        <w:rPr>
          <w:rFonts w:cs="Arial"/>
        </w:rPr>
        <w:t>is derived</w:t>
      </w:r>
      <w:proofErr w:type="gramEnd"/>
      <w:r w:rsidR="00D73B60">
        <w:rPr>
          <w:rFonts w:cs="Arial"/>
        </w:rPr>
        <w:t xml:space="preserve"> </w:t>
      </w:r>
      <w:r>
        <w:rPr>
          <w:rFonts w:cs="Arial"/>
        </w:rPr>
        <w:t>from</w:t>
      </w:r>
      <w:r w:rsidR="00A2021B" w:rsidDel="00175ED2">
        <w:rPr>
          <w:rFonts w:cs="Arial"/>
        </w:rPr>
        <w:t xml:space="preserve"> </w:t>
      </w:r>
      <w:r>
        <w:rPr>
          <w:rFonts w:cs="Arial"/>
        </w:rPr>
        <w:t>the</w:t>
      </w:r>
      <w:r w:rsidDel="00175ED2">
        <w:rPr>
          <w:rFonts w:cs="Arial"/>
        </w:rPr>
        <w:t xml:space="preserve"> </w:t>
      </w:r>
      <w:r w:rsidR="00047D10" w:rsidDel="00175ED2">
        <w:rPr>
          <w:rFonts w:cs="Arial"/>
        </w:rPr>
        <w:t>LOAE</w:t>
      </w:r>
      <w:r w:rsidR="00047D10">
        <w:rPr>
          <w:rFonts w:cs="Arial"/>
        </w:rPr>
        <w:t>C</w:t>
      </w:r>
      <w:r w:rsidR="00047D10" w:rsidDel="00175ED2">
        <w:rPr>
          <w:rFonts w:cs="Arial"/>
        </w:rPr>
        <w:t xml:space="preserve"> </w:t>
      </w:r>
      <w:r w:rsidR="009900A1" w:rsidDel="00175ED2">
        <w:rPr>
          <w:rFonts w:cs="Arial"/>
        </w:rPr>
        <w:t>of 50 ppm</w:t>
      </w:r>
      <w:r>
        <w:rPr>
          <w:rFonts w:cs="Arial"/>
        </w:rPr>
        <w:t xml:space="preserve"> in animals</w:t>
      </w:r>
      <w:r w:rsidR="00047D10" w:rsidRPr="00047D10" w:rsidDel="00175ED2">
        <w:rPr>
          <w:rFonts w:cs="Arial"/>
        </w:rPr>
        <w:t xml:space="preserve"> </w:t>
      </w:r>
      <w:r w:rsidR="00047D10" w:rsidDel="00175ED2">
        <w:rPr>
          <w:rFonts w:cs="Arial"/>
        </w:rPr>
        <w:t>consistent with the derivations presented in primary source reports</w:t>
      </w:r>
      <w:r w:rsidR="00047D10" w:rsidRPr="00032C86" w:rsidDel="00175ED2">
        <w:rPr>
          <w:rFonts w:cs="Arial"/>
        </w:rPr>
        <w:t xml:space="preserve"> </w:t>
      </w:r>
      <w:r w:rsidR="00047D10" w:rsidDel="00175ED2">
        <w:rPr>
          <w:rFonts w:cs="Arial"/>
        </w:rPr>
        <w:t>(ACGIH, 2018; DFG, 1996;</w:t>
      </w:r>
      <w:r w:rsidR="00047D10" w:rsidRPr="009900A1" w:rsidDel="00175ED2">
        <w:rPr>
          <w:rFonts w:cs="Arial"/>
        </w:rPr>
        <w:t xml:space="preserve"> </w:t>
      </w:r>
      <w:r w:rsidR="00047D10" w:rsidDel="00175ED2">
        <w:rPr>
          <w:rFonts w:cs="Arial"/>
        </w:rPr>
        <w:t>SCOEL; 1994)</w:t>
      </w:r>
      <w:r w:rsidR="009900A1" w:rsidDel="00175ED2">
        <w:rPr>
          <w:rFonts w:cs="Arial"/>
        </w:rPr>
        <w:t xml:space="preserve">. A factor of </w:t>
      </w:r>
      <w:r w:rsidR="004D2CB5" w:rsidDel="00175ED2">
        <w:rPr>
          <w:rFonts w:cs="Arial"/>
        </w:rPr>
        <w:t>ten</w:t>
      </w:r>
      <w:r w:rsidR="009900A1" w:rsidDel="00175ED2">
        <w:rPr>
          <w:rFonts w:cs="Arial"/>
        </w:rPr>
        <w:t xml:space="preserve"> </w:t>
      </w:r>
      <w:proofErr w:type="gramStart"/>
      <w:r w:rsidR="009900A1" w:rsidDel="00175ED2">
        <w:rPr>
          <w:rFonts w:cs="Arial"/>
        </w:rPr>
        <w:t>is applied</w:t>
      </w:r>
      <w:proofErr w:type="gramEnd"/>
      <w:r w:rsidR="009900A1" w:rsidDel="00175ED2">
        <w:rPr>
          <w:rFonts w:cs="Arial"/>
        </w:rPr>
        <w:t xml:space="preserve"> to account </w:t>
      </w:r>
      <w:r w:rsidR="00047D10">
        <w:t>for the absence of an experimentally determined NOAEL and lack of chronic exposure data (</w:t>
      </w:r>
      <w:r w:rsidR="00047D10" w:rsidDel="00175ED2">
        <w:rPr>
          <w:rFonts w:cs="Arial"/>
        </w:rPr>
        <w:t>SCOEL 1994</w:t>
      </w:r>
      <w:r w:rsidR="00047D10">
        <w:rPr>
          <w:rFonts w:cs="Arial"/>
        </w:rPr>
        <w:t xml:space="preserve">). Whilst </w:t>
      </w:r>
      <w:r w:rsidR="00047D10" w:rsidDel="00175ED2">
        <w:rPr>
          <w:rFonts w:cs="Arial"/>
        </w:rPr>
        <w:t xml:space="preserve">DFG </w:t>
      </w:r>
      <w:r w:rsidR="00047D10">
        <w:rPr>
          <w:rFonts w:cs="Arial"/>
        </w:rPr>
        <w:t>(</w:t>
      </w:r>
      <w:r w:rsidR="00047D10" w:rsidDel="00175ED2">
        <w:rPr>
          <w:rFonts w:cs="Arial"/>
        </w:rPr>
        <w:t>1996</w:t>
      </w:r>
      <w:r w:rsidR="00047D10">
        <w:rPr>
          <w:rFonts w:cs="Arial"/>
        </w:rPr>
        <w:t>)</w:t>
      </w:r>
      <w:r w:rsidR="00032C86" w:rsidDel="00175ED2">
        <w:rPr>
          <w:rFonts w:cs="Arial"/>
        </w:rPr>
        <w:t xml:space="preserve"> </w:t>
      </w:r>
      <w:r w:rsidR="00047D10">
        <w:rPr>
          <w:rFonts w:cs="Arial"/>
        </w:rPr>
        <w:t xml:space="preserve">provides an explanation for the TWA, </w:t>
      </w:r>
      <w:r w:rsidR="000F0348">
        <w:rPr>
          <w:rFonts w:cs="Arial"/>
        </w:rPr>
        <w:t>no derivation</w:t>
      </w:r>
      <w:r w:rsidR="000F0348" w:rsidDel="00175ED2">
        <w:rPr>
          <w:rFonts w:cs="Arial"/>
        </w:rPr>
        <w:t xml:space="preserve"> </w:t>
      </w:r>
      <w:r w:rsidR="000F0348">
        <w:rPr>
          <w:rFonts w:cs="Arial"/>
        </w:rPr>
        <w:t xml:space="preserve">was included in </w:t>
      </w:r>
      <w:r w:rsidR="00032C86" w:rsidDel="00175ED2">
        <w:rPr>
          <w:rFonts w:cs="Arial"/>
        </w:rPr>
        <w:t xml:space="preserve">ACGIH </w:t>
      </w:r>
      <w:r w:rsidR="00047D10">
        <w:rPr>
          <w:rFonts w:cs="Arial"/>
        </w:rPr>
        <w:t>(</w:t>
      </w:r>
      <w:r w:rsidR="00047D10" w:rsidDel="00175ED2">
        <w:rPr>
          <w:rFonts w:cs="Arial"/>
        </w:rPr>
        <w:t>201</w:t>
      </w:r>
      <w:r w:rsidR="00BC0F2A">
        <w:rPr>
          <w:rFonts w:cs="Arial"/>
        </w:rPr>
        <w:t>8</w:t>
      </w:r>
      <w:r w:rsidR="00EA3BD9">
        <w:rPr>
          <w:rFonts w:cs="Arial"/>
        </w:rPr>
        <w:t>)</w:t>
      </w:r>
      <w:r w:rsidR="00734473">
        <w:rPr>
          <w:rFonts w:cs="Arial"/>
        </w:rPr>
        <w:t>.</w:t>
      </w:r>
      <w:r w:rsidR="00EA3BD9" w:rsidDel="00EA3BD9">
        <w:rPr>
          <w:rFonts w:cs="Arial"/>
        </w:rPr>
        <w:t xml:space="preserve"> </w:t>
      </w:r>
      <w:r w:rsidR="005A42CF">
        <w:rPr>
          <w:rFonts w:cs="Arial"/>
        </w:rPr>
        <w:t>The LOAEL is</w:t>
      </w:r>
      <w:r w:rsidR="007E5BD9">
        <w:rPr>
          <w:rFonts w:cs="Arial"/>
        </w:rPr>
        <w:t xml:space="preserve"> within an order of magnitude of the recommended TWA</w:t>
      </w:r>
      <w:r w:rsidR="002B15ED">
        <w:rPr>
          <w:rFonts w:cs="Arial"/>
        </w:rPr>
        <w:t>;</w:t>
      </w:r>
      <w:r w:rsidR="007E5BD9">
        <w:rPr>
          <w:rFonts w:cs="Arial"/>
        </w:rPr>
        <w:t xml:space="preserve"> </w:t>
      </w:r>
      <w:r w:rsidR="005A42CF">
        <w:rPr>
          <w:rFonts w:cs="Arial"/>
        </w:rPr>
        <w:t>a</w:t>
      </w:r>
      <w:r w:rsidR="007E5BD9">
        <w:rPr>
          <w:rFonts w:cs="Arial"/>
        </w:rPr>
        <w:t xml:space="preserve"> STEL of 15 ppm </w:t>
      </w:r>
      <w:proofErr w:type="gramStart"/>
      <w:r w:rsidR="007E5BD9">
        <w:rPr>
          <w:rFonts w:cs="Arial"/>
        </w:rPr>
        <w:t>is therefore</w:t>
      </w:r>
      <w:r w:rsidR="00B65352">
        <w:rPr>
          <w:rFonts w:cs="Arial"/>
        </w:rPr>
        <w:t xml:space="preserve"> </w:t>
      </w:r>
      <w:r w:rsidR="005A42CF">
        <w:rPr>
          <w:rFonts w:cs="Arial"/>
        </w:rPr>
        <w:t>expected</w:t>
      </w:r>
      <w:proofErr w:type="gramEnd"/>
      <w:r w:rsidR="007E5BD9">
        <w:rPr>
          <w:rFonts w:cs="Arial"/>
        </w:rPr>
        <w:t xml:space="preserve"> to </w:t>
      </w:r>
      <w:r w:rsidR="005A42CF">
        <w:rPr>
          <w:rFonts w:cs="Arial"/>
        </w:rPr>
        <w:t>protect for</w:t>
      </w:r>
      <w:r w:rsidR="007E5BD9">
        <w:rPr>
          <w:rFonts w:cs="Arial"/>
        </w:rPr>
        <w:t xml:space="preserve"> </w:t>
      </w:r>
      <w:r w:rsidR="005A42CF">
        <w:rPr>
          <w:rFonts w:cs="Arial"/>
        </w:rPr>
        <w:t>irritation</w:t>
      </w:r>
      <w:r w:rsidR="007E5BD9">
        <w:rPr>
          <w:rFonts w:cs="Arial"/>
        </w:rPr>
        <w:t xml:space="preserve"> effects</w:t>
      </w:r>
      <w:r w:rsidR="005A42CF">
        <w:rPr>
          <w:rFonts w:cs="Arial"/>
        </w:rPr>
        <w:t xml:space="preserve"> and </w:t>
      </w:r>
      <w:r w:rsidR="00F72F26">
        <w:rPr>
          <w:rFonts w:cs="Arial"/>
        </w:rPr>
        <w:t xml:space="preserve">damage of </w:t>
      </w:r>
      <w:r w:rsidR="005A42CF">
        <w:rPr>
          <w:rFonts w:cs="Arial"/>
        </w:rPr>
        <w:t>eye</w:t>
      </w:r>
      <w:r w:rsidR="00F72F26">
        <w:rPr>
          <w:rFonts w:cs="Arial"/>
        </w:rPr>
        <w:t>s</w:t>
      </w:r>
      <w:r w:rsidR="005A42CF">
        <w:rPr>
          <w:rFonts w:cs="Arial"/>
        </w:rPr>
        <w:t xml:space="preserve"> and lung </w:t>
      </w:r>
      <w:r w:rsidR="00B65352">
        <w:rPr>
          <w:rFonts w:cs="Arial"/>
        </w:rPr>
        <w:t xml:space="preserve">in </w:t>
      </w:r>
      <w:r w:rsidR="002C745D" w:rsidRPr="002C745D">
        <w:rPr>
          <w:rFonts w:cs="Arial"/>
        </w:rPr>
        <w:t>acute</w:t>
      </w:r>
      <w:r w:rsidR="00B65352">
        <w:rPr>
          <w:rFonts w:cs="Arial"/>
        </w:rPr>
        <w:t>ly</w:t>
      </w:r>
      <w:r w:rsidR="002C745D">
        <w:rPr>
          <w:rFonts w:cs="Arial"/>
        </w:rPr>
        <w:t xml:space="preserve"> </w:t>
      </w:r>
      <w:r w:rsidR="00B65352">
        <w:rPr>
          <w:rFonts w:cs="Arial"/>
        </w:rPr>
        <w:t>exposed workers</w:t>
      </w:r>
      <w:r w:rsidR="002B15ED">
        <w:rPr>
          <w:rFonts w:cs="Arial"/>
        </w:rPr>
        <w:t xml:space="preserve">, </w:t>
      </w:r>
      <w:r w:rsidR="005A42CF">
        <w:rPr>
          <w:rFonts w:cs="Arial"/>
        </w:rPr>
        <w:t>which</w:t>
      </w:r>
      <w:r w:rsidR="002B15ED">
        <w:rPr>
          <w:rFonts w:cs="Arial"/>
        </w:rPr>
        <w:t xml:space="preserve"> </w:t>
      </w:r>
      <w:r w:rsidR="00B65352">
        <w:rPr>
          <w:rFonts w:cs="Arial"/>
        </w:rPr>
        <w:t>is in accordance</w:t>
      </w:r>
      <w:r w:rsidR="002B15ED">
        <w:rPr>
          <w:rFonts w:cs="Arial"/>
        </w:rPr>
        <w:t xml:space="preserve"> with the recommendation </w:t>
      </w:r>
      <w:r w:rsidR="002C745D">
        <w:rPr>
          <w:rFonts w:cs="Arial"/>
        </w:rPr>
        <w:t>presented</w:t>
      </w:r>
      <w:r w:rsidR="002B15ED">
        <w:rPr>
          <w:rFonts w:cs="Arial"/>
        </w:rPr>
        <w:t xml:space="preserve"> by the ACGIH (2018)</w:t>
      </w:r>
      <w:r w:rsidR="007E5BD9">
        <w:rPr>
          <w:rFonts w:cs="Arial"/>
        </w:rPr>
        <w:t>.</w:t>
      </w:r>
    </w:p>
    <w:p w14:paraId="25797FF5" w14:textId="3C36FAA1" w:rsidR="00942CFD" w:rsidRPr="00051111" w:rsidRDefault="00942CFD" w:rsidP="006639B4">
      <w:pPr>
        <w:rPr>
          <w:rFonts w:cs="Arial"/>
        </w:rPr>
      </w:pPr>
      <w:r>
        <w:rPr>
          <w:rFonts w:cs="Arial"/>
        </w:rPr>
        <w:t>Substance-specific carcinogenicity data are limited</w:t>
      </w:r>
      <w:r w:rsidR="00175ED2">
        <w:rPr>
          <w:rFonts w:cs="Arial"/>
        </w:rPr>
        <w:t>. A</w:t>
      </w:r>
      <w:r>
        <w:rPr>
          <w:rFonts w:cs="Arial"/>
        </w:rPr>
        <w:t xml:space="preserve"> recent toxicological evaluation has grouped ethylamine with other primary amines based on similarities in structure and toxic endpoints (OECD, </w:t>
      </w:r>
      <w:r>
        <w:rPr>
          <w:rFonts w:cs="Arial"/>
        </w:rPr>
        <w:lastRenderedPageBreak/>
        <w:t xml:space="preserve">2011). On this </w:t>
      </w:r>
      <w:r w:rsidR="00051111">
        <w:rPr>
          <w:rFonts w:cs="Arial"/>
        </w:rPr>
        <w:t>basis,</w:t>
      </w:r>
      <w:r>
        <w:rPr>
          <w:rFonts w:cs="Arial"/>
        </w:rPr>
        <w:t xml:space="preserve"> the genotoxic and carcinogenic potential of ethylamine </w:t>
      </w:r>
      <w:proofErr w:type="gramStart"/>
      <w:r>
        <w:rPr>
          <w:rFonts w:cs="Arial"/>
        </w:rPr>
        <w:t>is considered</w:t>
      </w:r>
      <w:proofErr w:type="gramEnd"/>
      <w:r>
        <w:rPr>
          <w:rFonts w:cs="Arial"/>
        </w:rPr>
        <w:t xml:space="preserve"> low</w:t>
      </w:r>
      <w:r w:rsidR="00175ED2">
        <w:rPr>
          <w:rFonts w:cs="Arial"/>
        </w:rPr>
        <w:t>. T</w:t>
      </w:r>
      <w:r>
        <w:rPr>
          <w:rFonts w:cs="Arial"/>
        </w:rPr>
        <w:t xml:space="preserve">he </w:t>
      </w:r>
      <w:r w:rsidR="00051111">
        <w:rPr>
          <w:rFonts w:cs="Arial"/>
        </w:rPr>
        <w:t>reported dermal LD</w:t>
      </w:r>
      <w:r w:rsidR="00051111">
        <w:rPr>
          <w:rFonts w:cs="Arial"/>
          <w:vertAlign w:val="subscript"/>
        </w:rPr>
        <w:t>50</w:t>
      </w:r>
      <w:r w:rsidR="00051111">
        <w:rPr>
          <w:rFonts w:cs="Arial"/>
        </w:rPr>
        <w:t xml:space="preserve"> </w:t>
      </w:r>
      <w:r w:rsidR="00175ED2">
        <w:rPr>
          <w:rFonts w:cs="Arial"/>
        </w:rPr>
        <w:t xml:space="preserve">is </w:t>
      </w:r>
      <w:r w:rsidR="00051111">
        <w:rPr>
          <w:rFonts w:cs="Arial"/>
        </w:rPr>
        <w:t>within 10% of the calculated inhalational LD</w:t>
      </w:r>
      <w:r w:rsidR="00051111">
        <w:rPr>
          <w:rFonts w:cs="Arial"/>
          <w:vertAlign w:val="subscript"/>
        </w:rPr>
        <w:t>50</w:t>
      </w:r>
      <w:r w:rsidR="00051111">
        <w:rPr>
          <w:rFonts w:cs="Arial"/>
        </w:rPr>
        <w:t xml:space="preserve">. </w:t>
      </w:r>
    </w:p>
    <w:p w14:paraId="0A368E6A" w14:textId="77777777" w:rsidR="004529F0" w:rsidRPr="004C23F4" w:rsidRDefault="004529F0" w:rsidP="0063491C">
      <w:pPr>
        <w:pStyle w:val="Heading2"/>
      </w:pPr>
      <w:r>
        <w:t>Recommendation for notations</w:t>
      </w:r>
    </w:p>
    <w:p w14:paraId="2CF481D7" w14:textId="0034E980" w:rsidR="00F25815" w:rsidRPr="00A70823" w:rsidRDefault="00F25815" w:rsidP="00C4524E">
      <w:pPr>
        <w:keepNext/>
        <w:rPr>
          <w:rFonts w:cs="Arial"/>
        </w:rPr>
      </w:pPr>
      <w:r w:rsidRPr="00A70823">
        <w:rPr>
          <w:rFonts w:cs="Arial"/>
        </w:rPr>
        <w:t xml:space="preserve">Not classified as a carcinogen according to the Globally Harmonized System of Classification and Labelling </w:t>
      </w:r>
      <w:r w:rsidR="00C4524E" w:rsidRPr="00A70823">
        <w:rPr>
          <w:rFonts w:cs="Arial"/>
        </w:rPr>
        <w:t>o</w:t>
      </w:r>
      <w:r w:rsidR="00C4524E">
        <w:rPr>
          <w:rFonts w:cs="Arial"/>
        </w:rPr>
        <w:t>f</w:t>
      </w:r>
      <w:r w:rsidR="00C4524E" w:rsidRPr="00A70823">
        <w:rPr>
          <w:rFonts w:cs="Arial"/>
        </w:rPr>
        <w:t xml:space="preserve"> </w:t>
      </w:r>
      <w:r w:rsidRPr="00A70823">
        <w:rPr>
          <w:rFonts w:cs="Arial"/>
        </w:rPr>
        <w:t xml:space="preserve">Chemicals (GHS). </w:t>
      </w:r>
    </w:p>
    <w:p w14:paraId="3B25D77E" w14:textId="4642F5C3" w:rsidR="00F25815" w:rsidRPr="00A70823" w:rsidRDefault="00F25815" w:rsidP="00C4524E">
      <w:pPr>
        <w:keepNext/>
        <w:rPr>
          <w:rFonts w:cs="Arial"/>
        </w:rPr>
      </w:pPr>
      <w:r w:rsidRPr="00A70823">
        <w:rPr>
          <w:rFonts w:cs="Arial"/>
        </w:rPr>
        <w:t>Not classified as a skin</w:t>
      </w:r>
      <w:r w:rsidR="00C4524E">
        <w:rPr>
          <w:rFonts w:cs="Arial"/>
        </w:rPr>
        <w:t xml:space="preserve"> </w:t>
      </w:r>
      <w:r w:rsidR="00C4524E" w:rsidRPr="00A70823">
        <w:rPr>
          <w:rFonts w:cs="Arial"/>
        </w:rPr>
        <w:t>sensitiser</w:t>
      </w:r>
      <w:r w:rsidRPr="00A70823">
        <w:rPr>
          <w:rFonts w:cs="Arial"/>
        </w:rPr>
        <w:t xml:space="preserve"> or respiratory sensitiser according to the GHS.</w:t>
      </w:r>
    </w:p>
    <w:p w14:paraId="14A1BC4F" w14:textId="44C439F5" w:rsidR="005E6979" w:rsidRPr="004C23F4" w:rsidRDefault="00051111" w:rsidP="00C4524E">
      <w:pPr>
        <w:keepNext/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  <w:r w:rsidRPr="00051111">
        <w:rPr>
          <w:rFonts w:cs="Arial"/>
        </w:rPr>
        <w:t xml:space="preserve">A skin notation </w:t>
      </w:r>
      <w:proofErr w:type="gramStart"/>
      <w:r>
        <w:rPr>
          <w:rFonts w:cs="Arial"/>
        </w:rPr>
        <w:t>is</w:t>
      </w:r>
      <w:r w:rsidRPr="00051111">
        <w:rPr>
          <w:rFonts w:cs="Arial"/>
        </w:rPr>
        <w:t xml:space="preserve"> recommended</w:t>
      </w:r>
      <w:proofErr w:type="gramEnd"/>
      <w:r w:rsidRPr="00051111">
        <w:rPr>
          <w:rFonts w:cs="Arial"/>
        </w:rPr>
        <w:t xml:space="preserve"> based on evidence </w:t>
      </w:r>
      <w:r>
        <w:rPr>
          <w:rFonts w:cs="Arial"/>
        </w:rPr>
        <w:t>for</w:t>
      </w:r>
      <w:r w:rsidRPr="00051111">
        <w:rPr>
          <w:rFonts w:cs="Arial"/>
        </w:rPr>
        <w:t xml:space="preserve"> dermal absorption and adve</w:t>
      </w:r>
      <w:r>
        <w:rPr>
          <w:rFonts w:cs="Arial"/>
        </w:rPr>
        <w:t>rse systemic effects in animals.</w:t>
      </w:r>
    </w:p>
    <w:p w14:paraId="1BC1D594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762B4F0D" w14:textId="181F419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11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204"/>
      </w:tblGrid>
      <w:tr w:rsidR="00BA1C07" w:rsidRPr="00DA352E" w14:paraId="58FE10EE" w14:textId="77777777" w:rsidTr="00BA1C07">
        <w:trPr>
          <w:trHeight w:val="393"/>
          <w:tblHeader/>
        </w:trPr>
        <w:tc>
          <w:tcPr>
            <w:tcW w:w="4999" w:type="pct"/>
            <w:shd w:val="clear" w:color="auto" w:fill="BFBFBF" w:themeFill="background1" w:themeFillShade="BF"/>
            <w:vAlign w:val="center"/>
          </w:tcPr>
          <w:p w14:paraId="7684A014" w14:textId="54C9720B" w:rsidR="00BA1C07" w:rsidRPr="00DA352E" w:rsidRDefault="00BA1C07" w:rsidP="00BA1C07">
            <w:pPr>
              <w:pStyle w:val="Tableheader"/>
              <w:tabs>
                <w:tab w:val="left" w:pos="1418"/>
                <w:tab w:val="left" w:pos="2552"/>
              </w:tabs>
              <w:ind w:left="22" w:right="7972"/>
            </w:pPr>
            <w:r w:rsidRPr="00DA352E">
              <w:t>Source</w:t>
            </w:r>
            <w:r>
              <w:tab/>
              <w:t>Year set</w:t>
            </w:r>
            <w:r>
              <w:tab/>
              <w:t>Standard</w:t>
            </w:r>
            <w:r>
              <w:tab/>
            </w:r>
          </w:p>
        </w:tc>
      </w:tr>
      <w:tr w:rsidR="00BA1C07" w:rsidRPr="003365A5" w14:paraId="13C57B2D" w14:textId="77777777" w:rsidTr="00BA1C07">
        <w:tc>
          <w:tcPr>
            <w:tcW w:w="4999" w:type="pct"/>
            <w:shd w:val="clear" w:color="auto" w:fill="F2F2F2" w:themeFill="background1" w:themeFillShade="F2"/>
          </w:tcPr>
          <w:p w14:paraId="25DC696F" w14:textId="07FE7AC7" w:rsidR="00BA1C07" w:rsidRPr="003365A5" w:rsidRDefault="00BA1C07" w:rsidP="00BA1C07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5AF7C27A34D142EFB8C53460D4ECFDF6"/>
                </w:placeholder>
                <w:text/>
              </w:sdtPr>
              <w:sdtEndPr/>
              <w:sdtContent>
                <w:r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0CF97C18C0E9446CBC175ED7276E3518"/>
                </w:placeholder>
              </w:sdtPr>
              <w:sdtEndPr/>
              <w:sdtContent>
                <w:r>
                  <w:t>TWA: 2 ppm (3.8 mg/m</w:t>
                </w:r>
                <w:r w:rsidRPr="00F95058">
                  <w:rPr>
                    <w:vertAlign w:val="superscript"/>
                  </w:rPr>
                  <w:t>3</w:t>
                </w:r>
                <w:r>
                  <w:t>); STEL: 6 ppm (11 mg/m</w:t>
                </w:r>
                <w:r w:rsidRPr="00F95058">
                  <w:rPr>
                    <w:vertAlign w:val="superscript"/>
                  </w:rPr>
                  <w:t>3</w:t>
                </w:r>
                <w:r>
                  <w:t>)</w:t>
                </w:r>
              </w:sdtContent>
            </w:sdt>
          </w:p>
        </w:tc>
      </w:tr>
      <w:tr w:rsidR="00BA1C07" w:rsidRPr="00DA352E" w14:paraId="6EDE6248" w14:textId="77777777" w:rsidTr="00BA1C07">
        <w:tc>
          <w:tcPr>
            <w:tcW w:w="4999" w:type="pct"/>
          </w:tcPr>
          <w:p w14:paraId="1A133B80" w14:textId="77777777" w:rsidR="00BA1C07" w:rsidRPr="00DA352E" w:rsidRDefault="00BA1C07" w:rsidP="00BA1C07">
            <w:pPr>
              <w:pStyle w:val="Tabletextprimarysource"/>
            </w:pPr>
          </w:p>
        </w:tc>
      </w:tr>
      <w:tr w:rsidR="00BA1C07" w:rsidRPr="00DA352E" w14:paraId="523A3FFB" w14:textId="77777777" w:rsidTr="00BA1C07">
        <w:tc>
          <w:tcPr>
            <w:tcW w:w="5000" w:type="pct"/>
            <w:shd w:val="clear" w:color="auto" w:fill="F2F2F2" w:themeFill="background1" w:themeFillShade="F2"/>
          </w:tcPr>
          <w:p w14:paraId="646D5A9E" w14:textId="41622185" w:rsidR="00BA1C07" w:rsidRPr="00DA352E" w:rsidRDefault="00BA1C07" w:rsidP="00BA1C07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>
              <w:t xml:space="preserve"> </w:t>
            </w:r>
            <w:r w:rsidRPr="003365A5">
              <w:tab/>
            </w:r>
            <w:sdt>
              <w:sdtPr>
                <w:id w:val="444816450"/>
                <w:placeholder>
                  <w:docPart w:val="437E60BEB4F8405C85031B2338FDA14C"/>
                </w:placeholder>
                <w:text/>
              </w:sdtPr>
              <w:sdtEndPr/>
              <w:sdtContent>
                <w:r>
                  <w:t>2013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F4273524CA2B4887A6C8A8EE8042352E"/>
                </w:placeholder>
              </w:sdtPr>
              <w:sdtEndPr/>
              <w:sdtContent>
                <w:r>
                  <w:t>TLV-TWA: 5 ppm (9 mg/m</w:t>
                </w:r>
                <w:r w:rsidRPr="00F95058">
                  <w:rPr>
                    <w:vertAlign w:val="superscript"/>
                  </w:rPr>
                  <w:t>3</w:t>
                </w:r>
                <w:r>
                  <w:t>); TLV-STEL: 15 ppm (28 mg/m</w:t>
                </w:r>
                <w:r w:rsidRPr="00F95058">
                  <w:rPr>
                    <w:vertAlign w:val="superscript"/>
                  </w:rPr>
                  <w:t>3</w:t>
                </w:r>
                <w:r>
                  <w:t>)</w:t>
                </w:r>
              </w:sdtContent>
            </w:sdt>
          </w:p>
        </w:tc>
      </w:tr>
      <w:tr w:rsidR="00BA1C07" w:rsidRPr="00DA352E" w14:paraId="0C11C0EE" w14:textId="77777777" w:rsidTr="00BA1C07">
        <w:tc>
          <w:tcPr>
            <w:tcW w:w="4999" w:type="pct"/>
          </w:tcPr>
          <w:p w14:paraId="6171ECBF" w14:textId="72EA8531" w:rsidR="00BA1C07" w:rsidRPr="00AB330B" w:rsidRDefault="00BA1C07" w:rsidP="00BA1C07">
            <w:pPr>
              <w:pStyle w:val="Tabletextprimarysource"/>
            </w:pPr>
            <w:r>
              <w:t xml:space="preserve">TLV-TWA intended to protect for irritation produced by repeat low-level exposures. TLV-STEL intended to prevent transient irritation produced at higher concentrations. Reversibility of critical effects </w:t>
            </w:r>
            <w:proofErr w:type="gramStart"/>
            <w:r>
              <w:t>is not discussed</w:t>
            </w:r>
            <w:proofErr w:type="gramEnd"/>
            <w:r>
              <w:t>.</w:t>
            </w:r>
          </w:p>
          <w:p w14:paraId="018E18EA" w14:textId="77777777" w:rsidR="00BA1C07" w:rsidRDefault="00BA1C07" w:rsidP="00BA1C07">
            <w:pPr>
              <w:pStyle w:val="Tabletextprimarysource"/>
            </w:pPr>
            <w:r>
              <w:t>Summary of data:</w:t>
            </w:r>
          </w:p>
          <w:p w14:paraId="5AEA0AAE" w14:textId="34F86A2B" w:rsidR="00BA1C07" w:rsidRDefault="00BA1C07" w:rsidP="00BA1C07">
            <w:pPr>
              <w:pStyle w:val="Tabletextprimarysource"/>
            </w:pPr>
            <w:r>
              <w:t xml:space="preserve">TLV-TWA based primarily on animal data that suggest adverse lung and kidney effects occur </w:t>
            </w:r>
            <w:r w:rsidR="001177AA">
              <w:t xml:space="preserve">due to inhalation of </w:t>
            </w:r>
            <w:r>
              <w:t xml:space="preserve">50 and 100 ppm, respectively. Limited substance-specific human toxicity data exist; assessment </w:t>
            </w:r>
            <w:proofErr w:type="gramStart"/>
            <w:r>
              <w:t>is supported</w:t>
            </w:r>
            <w:proofErr w:type="gramEnd"/>
            <w:r>
              <w:t xml:space="preserve"> with recommendations for structurally related </w:t>
            </w:r>
            <w:proofErr w:type="spellStart"/>
            <w:r>
              <w:t>diethylamine</w:t>
            </w:r>
            <w:proofErr w:type="spellEnd"/>
            <w:r>
              <w:t xml:space="preserve"> and triethylamine. </w:t>
            </w:r>
          </w:p>
          <w:p w14:paraId="2631F9BB" w14:textId="28A1C529" w:rsidR="00BA1C07" w:rsidRDefault="00BA1C07" w:rsidP="00BA1C07">
            <w:pPr>
              <w:pStyle w:val="Tabletextprimarysource"/>
            </w:pPr>
            <w:r>
              <w:t>Human data:</w:t>
            </w:r>
          </w:p>
          <w:p w14:paraId="61157F53" w14:textId="7BF9A8B9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Odour threshold: 0.95 ppm</w:t>
            </w:r>
          </w:p>
          <w:p w14:paraId="33CAB712" w14:textId="161105E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Reports of occupational eye irritation and corneal oedema exist (no further information provided)</w:t>
            </w:r>
          </w:p>
          <w:p w14:paraId="690B871F" w14:textId="2ACFE356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Beneficial effect on heart arrhythmia in children (n=134)</w:t>
            </w:r>
            <w:proofErr w:type="gramStart"/>
            <w:r>
              <w:t>;</w:t>
            </w:r>
            <w:proofErr w:type="gramEnd"/>
            <w:r>
              <w:t xml:space="preserve"> 10 </w:t>
            </w:r>
            <w:proofErr w:type="spellStart"/>
            <w:r>
              <w:t>yr</w:t>
            </w:r>
            <w:proofErr w:type="spellEnd"/>
            <w:r>
              <w:t xml:space="preserve"> follow-up (n=76) shows 83% recovery rate (no further information provided).</w:t>
            </w:r>
          </w:p>
          <w:p w14:paraId="71477E55" w14:textId="77777777" w:rsidR="00BA1C07" w:rsidRDefault="00BA1C07" w:rsidP="00BA1C07">
            <w:pPr>
              <w:pStyle w:val="Tabletextprimarysource"/>
            </w:pPr>
            <w:r>
              <w:t>Animal data:</w:t>
            </w:r>
          </w:p>
          <w:p w14:paraId="684ACF55" w14:textId="207F3D88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Severely irritating to skin of guinea pigs as 0.1 mL of 70% solution; only mild irritation observed in rabbits; severe eye irritation as 0.5 m</w:t>
            </w:r>
            <w:r w:rsidR="00C20451">
              <w:t>L</w:t>
            </w:r>
            <w:r>
              <w:t xml:space="preserve"> of 1% solution (rabbits)</w:t>
            </w:r>
          </w:p>
          <w:p w14:paraId="3B2A07A6" w14:textId="5E61B312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LD</w:t>
            </w:r>
            <w:r>
              <w:rPr>
                <w:vertAlign w:val="subscript"/>
              </w:rPr>
              <w:t>50</w:t>
            </w:r>
            <w:r>
              <w:t>: 400 mg/kg (rats, oral)</w:t>
            </w:r>
          </w:p>
          <w:p w14:paraId="57A8FC01" w14:textId="1654CC66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LD</w:t>
            </w:r>
            <w:r>
              <w:rPr>
                <w:vertAlign w:val="subscript"/>
              </w:rPr>
              <w:t>50</w:t>
            </w:r>
            <w:r>
              <w:t>: 390 (rabbits, dermal)</w:t>
            </w:r>
          </w:p>
          <w:p w14:paraId="1BC439F8" w14:textId="79D2686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RD</w:t>
            </w:r>
            <w:r>
              <w:rPr>
                <w:vertAlign w:val="subscript"/>
              </w:rPr>
              <w:t>50</w:t>
            </w:r>
            <w:r>
              <w:t>: 151 ppm (mice)</w:t>
            </w:r>
          </w:p>
          <w:p w14:paraId="3E31A15C" w14:textId="7777777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2 of 6 rats survived inhalation of 8,000 ppm for 4 h</w:t>
            </w:r>
          </w:p>
          <w:p w14:paraId="756DA661" w14:textId="7F8CF382" w:rsidR="00BA1C07" w:rsidRDefault="00BA1C07" w:rsidP="00BA1C07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Pr="00DD35FD">
              <w:t xml:space="preserve">ub-chronic inhalation study with exposure groups of </w:t>
            </w:r>
            <w:r>
              <w:t>50 and</w:t>
            </w:r>
            <w:r w:rsidRPr="00DD35FD">
              <w:t xml:space="preserve"> 100</w:t>
            </w:r>
            <w:r w:rsidR="002756CB">
              <w:t xml:space="preserve"> ppm</w:t>
            </w:r>
            <w:r w:rsidRPr="00DD35FD">
              <w:t xml:space="preserve"> (</w:t>
            </w:r>
            <w:r>
              <w:t>rabbits, 7 h/d, 5 d/</w:t>
            </w:r>
            <w:proofErr w:type="spellStart"/>
            <w:r>
              <w:t>wk</w:t>
            </w:r>
            <w:proofErr w:type="spellEnd"/>
            <w:r>
              <w:t>, 6 </w:t>
            </w:r>
            <w:proofErr w:type="spellStart"/>
            <w:r>
              <w:t>wk</w:t>
            </w:r>
            <w:proofErr w:type="spellEnd"/>
            <w:r w:rsidRPr="00DD35FD">
              <w:t xml:space="preserve">) </w:t>
            </w:r>
          </w:p>
          <w:p w14:paraId="496C42C1" w14:textId="3894F32F" w:rsidR="00BA1C07" w:rsidRDefault="00BA1C07" w:rsidP="00BA1C07">
            <w:pPr>
              <w:pStyle w:val="ListParagraph"/>
              <w:numPr>
                <w:ilvl w:val="1"/>
                <w:numId w:val="1"/>
              </w:numPr>
              <w:spacing w:before="60" w:after="60"/>
              <w:ind w:left="1094" w:hanging="357"/>
              <w:contextualSpacing w:val="0"/>
            </w:pPr>
            <w:r>
              <w:t xml:space="preserve">50 ppm group </w:t>
            </w:r>
            <w:r w:rsidRPr="00DD35FD">
              <w:t>showed</w:t>
            </w:r>
            <w:r>
              <w:t xml:space="preserve"> lung lesions, corneal erosion, and heart muscle degeneration</w:t>
            </w:r>
          </w:p>
          <w:p w14:paraId="4542368E" w14:textId="09F5A99F" w:rsidR="00BA1C07" w:rsidRDefault="00BA1C07" w:rsidP="00BA1C07">
            <w:pPr>
              <w:pStyle w:val="ListParagraph"/>
              <w:numPr>
                <w:ilvl w:val="1"/>
                <w:numId w:val="1"/>
              </w:numPr>
              <w:spacing w:before="60" w:after="60"/>
              <w:ind w:left="1094" w:hanging="357"/>
              <w:contextualSpacing w:val="0"/>
            </w:pPr>
            <w:r>
              <w:t>100 ppm showed no changes to heart and cornea, but slight to moderate kidney damage</w:t>
            </w:r>
            <w:r w:rsidR="001811E8">
              <w:t xml:space="preserve"> (no further information)</w:t>
            </w:r>
          </w:p>
          <w:p w14:paraId="6B3F9F01" w14:textId="01CE5FC1" w:rsidR="00BA1C07" w:rsidRPr="00DD35FD" w:rsidRDefault="00BA1C07" w:rsidP="00BA1C07">
            <w:pPr>
              <w:pStyle w:val="ListParagraph"/>
              <w:numPr>
                <w:ilvl w:val="1"/>
                <w:numId w:val="1"/>
              </w:numPr>
              <w:spacing w:before="60" w:after="60"/>
              <w:ind w:left="1094" w:hanging="357"/>
              <w:contextualSpacing w:val="0"/>
            </w:pPr>
            <w:r>
              <w:t>LOAE</w:t>
            </w:r>
            <w:r w:rsidR="00E554DA">
              <w:t>C</w:t>
            </w:r>
            <w:r>
              <w:t xml:space="preserve">: 50 ppm for lung </w:t>
            </w:r>
            <w:r w:rsidR="006D55F0">
              <w:t>irritation/</w:t>
            </w:r>
            <w:r>
              <w:t>damage</w:t>
            </w:r>
          </w:p>
          <w:p w14:paraId="0933B8DB" w14:textId="7777777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Sub-chronic inhalation study with exposure groups of 10, 100, 500 ppm (rats, 6 h/d, 5 d/</w:t>
            </w:r>
            <w:proofErr w:type="spellStart"/>
            <w:r>
              <w:t>wk</w:t>
            </w:r>
            <w:proofErr w:type="spellEnd"/>
            <w:r>
              <w:t xml:space="preserve">, 24 </w:t>
            </w:r>
            <w:proofErr w:type="spellStart"/>
            <w:r>
              <w:t>wk</w:t>
            </w:r>
            <w:proofErr w:type="spellEnd"/>
            <w:r>
              <w:t xml:space="preserve">): </w:t>
            </w:r>
          </w:p>
          <w:p w14:paraId="3AA095C2" w14:textId="1ABA2195" w:rsidR="00BA1C07" w:rsidRDefault="00BA1C07" w:rsidP="00BA1C07">
            <w:pPr>
              <w:pStyle w:val="Tabletextprimarysource"/>
              <w:numPr>
                <w:ilvl w:val="0"/>
                <w:numId w:val="7"/>
              </w:numPr>
            </w:pPr>
            <w:r>
              <w:t xml:space="preserve">no adverse effects at 10 or 100 ppm </w:t>
            </w:r>
          </w:p>
          <w:p w14:paraId="07BB05D7" w14:textId="6F95C17A" w:rsidR="00BA1C07" w:rsidRDefault="002756CB" w:rsidP="00BA1C07">
            <w:pPr>
              <w:pStyle w:val="Tabletextprimarysource"/>
              <w:numPr>
                <w:ilvl w:val="0"/>
                <w:numId w:val="7"/>
              </w:numPr>
            </w:pPr>
            <w:r>
              <w:t xml:space="preserve">body weight </w:t>
            </w:r>
            <w:r w:rsidR="00BA1C07">
              <w:t>gain reduction, inflammatory necrosis, and metaplasia observed in nasal tract of 500 ppm group</w:t>
            </w:r>
          </w:p>
          <w:p w14:paraId="5337CB13" w14:textId="725AD42C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 xml:space="preserve">NOAEL: 100 ppm for damage to nasal tract and reduced </w:t>
            </w:r>
            <w:proofErr w:type="spellStart"/>
            <w:r>
              <w:t>bw</w:t>
            </w:r>
            <w:proofErr w:type="spellEnd"/>
            <w:r>
              <w:t xml:space="preserve"> gain</w:t>
            </w:r>
          </w:p>
          <w:p w14:paraId="5962EEED" w14:textId="7777777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No chronic or carcinogenicity data available for assessment; analogy to metabolism of methylamine to corresponding nitrosamines is however made, which suggests carcinogenic potential exists</w:t>
            </w:r>
          </w:p>
          <w:p w14:paraId="220D047F" w14:textId="7FC1D7C4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Available </w:t>
            </w:r>
            <w:r w:rsidRPr="001A240A">
              <w:rPr>
                <w:i/>
              </w:rPr>
              <w:t>in vitro</w:t>
            </w:r>
            <w:r>
              <w:t xml:space="preserve"> and </w:t>
            </w:r>
            <w:r w:rsidRPr="001A240A">
              <w:rPr>
                <w:i/>
              </w:rPr>
              <w:t>in vivo</w:t>
            </w:r>
            <w:r>
              <w:t xml:space="preserve"> mutagenicity studies support non-genotoxic activity except for slight increase in sister chromatid exchange with Chinese hamster V79 cells</w:t>
            </w:r>
          </w:p>
          <w:p w14:paraId="21D2A12A" w14:textId="06EB686C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No reports of metabolism and distribution, but not expected to be rapidly or extensively converted in mammals.</w:t>
            </w:r>
          </w:p>
          <w:p w14:paraId="2EAFD91A" w14:textId="77777777" w:rsidR="00BA1C07" w:rsidRDefault="00BA1C07" w:rsidP="00BA1C07">
            <w:pPr>
              <w:pStyle w:val="Tabletextprimarysource"/>
            </w:pPr>
            <w:r>
              <w:lastRenderedPageBreak/>
              <w:t xml:space="preserve">A skin notation </w:t>
            </w:r>
            <w:proofErr w:type="gramStart"/>
            <w:r>
              <w:t>is recommended</w:t>
            </w:r>
            <w:proofErr w:type="gramEnd"/>
            <w:r>
              <w:t xml:space="preserve"> based on low dermal LD</w:t>
            </w:r>
            <w:r>
              <w:rPr>
                <w:vertAlign w:val="subscript"/>
              </w:rPr>
              <w:t>50</w:t>
            </w:r>
            <w:r>
              <w:t xml:space="preserve"> in rabbits. Insufficient data to assign notations for carcinogenicity or sensitisation.</w:t>
            </w:r>
          </w:p>
          <w:p w14:paraId="1FB55F32" w14:textId="3E8C7D4D" w:rsidR="009C1C00" w:rsidRPr="00DA352E" w:rsidRDefault="009C1C00" w:rsidP="00BA1C07">
            <w:pPr>
              <w:pStyle w:val="Tabletextprimarysource"/>
            </w:pPr>
          </w:p>
        </w:tc>
      </w:tr>
      <w:tr w:rsidR="00BA1C07" w:rsidRPr="00DA352E" w14:paraId="01904BB6" w14:textId="77777777" w:rsidTr="00BA1C07">
        <w:tc>
          <w:tcPr>
            <w:tcW w:w="4999" w:type="pct"/>
            <w:shd w:val="clear" w:color="auto" w:fill="F2F2F2" w:themeFill="background1" w:themeFillShade="F2"/>
          </w:tcPr>
          <w:p w14:paraId="2023340B" w14:textId="34173D83" w:rsidR="00BA1C07" w:rsidRPr="00DA352E" w:rsidRDefault="00BA1C07" w:rsidP="00BA1C07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DFG</w:t>
            </w:r>
            <w:r w:rsidRPr="003365A5">
              <w:t xml:space="preserve"> </w:t>
            </w:r>
            <w:r w:rsidRPr="003365A5">
              <w:tab/>
            </w:r>
            <w:sdt>
              <w:sdtPr>
                <w:id w:val="272751712"/>
                <w:placeholder>
                  <w:docPart w:val="0A98F08068864FFC98C7943413557821"/>
                </w:placeholder>
                <w:text/>
              </w:sdtPr>
              <w:sdtEndPr/>
              <w:sdtContent>
                <w:r w:rsidR="00357F1A">
                  <w:t>1997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D052385D84F44ED398B2525C44B7453D"/>
                </w:placeholder>
              </w:sdtPr>
              <w:sdtEndPr/>
              <w:sdtContent>
                <w:r>
                  <w:t>MAK: 5 ppm (9.4 mg/m</w:t>
                </w:r>
                <w:r w:rsidRPr="00F95058">
                  <w:rPr>
                    <w:vertAlign w:val="superscript"/>
                  </w:rPr>
                  <w:t>3</w:t>
                </w:r>
                <w:r>
                  <w:t>)</w:t>
                </w:r>
              </w:sdtContent>
            </w:sdt>
          </w:p>
        </w:tc>
      </w:tr>
      <w:tr w:rsidR="00BA1C07" w:rsidRPr="00DA352E" w14:paraId="2000BD1B" w14:textId="77777777" w:rsidTr="00BA1C07">
        <w:tc>
          <w:tcPr>
            <w:tcW w:w="4999" w:type="pct"/>
          </w:tcPr>
          <w:p w14:paraId="7B215A92" w14:textId="77777777" w:rsidR="00BA1C07" w:rsidRDefault="00BA1C07" w:rsidP="00BA1C07">
            <w:pPr>
              <w:pStyle w:val="Tabletextprimarysource"/>
            </w:pPr>
            <w:r>
              <w:t>Summary of additional data:</w:t>
            </w:r>
          </w:p>
          <w:p w14:paraId="61579FB3" w14:textId="653E8E5A" w:rsidR="00BA1C07" w:rsidRDefault="00BA1C07" w:rsidP="00BA1C07">
            <w:pPr>
              <w:pStyle w:val="Tabletextprimarysource"/>
            </w:pPr>
            <w:r>
              <w:t>MAK</w:t>
            </w:r>
            <w:r w:rsidRPr="00C23338">
              <w:t xml:space="preserve"> derived from </w:t>
            </w:r>
            <w:r>
              <w:t>a weight of evidence approach combining inhalational NOAEL of 100 ppm in</w:t>
            </w:r>
            <w:r w:rsidRPr="00C23338">
              <w:t xml:space="preserve"> rats</w:t>
            </w:r>
            <w:r w:rsidR="002756CB">
              <w:t xml:space="preserve"> </w:t>
            </w:r>
            <w:r>
              <w:t>and RD</w:t>
            </w:r>
            <w:r>
              <w:rPr>
                <w:vertAlign w:val="subscript"/>
              </w:rPr>
              <w:t>0</w:t>
            </w:r>
            <w:r>
              <w:t xml:space="preserve"> values of structurally related </w:t>
            </w:r>
            <w:proofErr w:type="spellStart"/>
            <w:r>
              <w:t>diethylamine</w:t>
            </w:r>
            <w:proofErr w:type="spellEnd"/>
            <w:r>
              <w:t xml:space="preserve"> and the previous MAK for </w:t>
            </w:r>
            <w:proofErr w:type="spellStart"/>
            <w:r>
              <w:t>diethylamine</w:t>
            </w:r>
            <w:proofErr w:type="spellEnd"/>
            <w:r>
              <w:t xml:space="preserve"> (5</w:t>
            </w:r>
            <w:r w:rsidR="00357F1A">
              <w:t> </w:t>
            </w:r>
            <w:r>
              <w:t xml:space="preserve">ppm) based on a LOAEC of 10 ppm for subjective irritation from a volunteer study. Despite the amendment of the current </w:t>
            </w:r>
            <w:proofErr w:type="spellStart"/>
            <w:r>
              <w:t>diethylamine</w:t>
            </w:r>
            <w:proofErr w:type="spellEnd"/>
            <w:r>
              <w:t xml:space="preserve"> MAK to 2 ppm to account for a chronic exposure study with mice and rats, the ethylamine MAK of 5 ppm is retained due to animal studies showing a lower local irritation potency for ethylamine than </w:t>
            </w:r>
            <w:proofErr w:type="spellStart"/>
            <w:r>
              <w:t>diethylamine</w:t>
            </w:r>
            <w:proofErr w:type="spellEnd"/>
            <w:r>
              <w:t xml:space="preserve">. </w:t>
            </w:r>
          </w:p>
          <w:p w14:paraId="7C31FECE" w14:textId="599A088F" w:rsidR="00BA1C07" w:rsidRDefault="00BA1C07" w:rsidP="00BA1C07">
            <w:pPr>
              <w:pStyle w:val="Tabletextprimarysource"/>
            </w:pPr>
            <w:r>
              <w:t xml:space="preserve">No carcinogenicity studies available for assessment. Carcinogenic activity however not expected based on chemical structure, which </w:t>
            </w:r>
            <w:proofErr w:type="gramStart"/>
            <w:r>
              <w:t>is supported</w:t>
            </w:r>
            <w:proofErr w:type="gramEnd"/>
            <w:r>
              <w:t xml:space="preserve"> by an absence of carcinogenicity in mice and rats chronically exposure to </w:t>
            </w:r>
            <w:proofErr w:type="spellStart"/>
            <w:r>
              <w:t>diethylamine</w:t>
            </w:r>
            <w:proofErr w:type="spellEnd"/>
            <w:r>
              <w:t>.</w:t>
            </w:r>
          </w:p>
          <w:p w14:paraId="44251A6A" w14:textId="72F216EA" w:rsidR="00BA1C07" w:rsidRDefault="00BA1C07" w:rsidP="00BA1C07">
            <w:pPr>
              <w:pStyle w:val="Tabletextprimarysource"/>
              <w:rPr>
                <w:rFonts w:cs="Arial"/>
              </w:rPr>
            </w:pPr>
            <w:r>
              <w:t>Dermal uptake calculated to be 39 mg from a 0.5% aqueous solution or 10 mg from a gas, which is less than 25% of the systemically tolerable level of 240 mg</w:t>
            </w:r>
            <w:r>
              <w:rPr>
                <w:rFonts w:cs="Arial"/>
              </w:rPr>
              <w:t xml:space="preserve">. Therefore, a skin notation </w:t>
            </w:r>
            <w:proofErr w:type="gramStart"/>
            <w:r>
              <w:rPr>
                <w:rFonts w:cs="Arial"/>
              </w:rPr>
              <w:t>is not considered</w:t>
            </w:r>
            <w:proofErr w:type="gramEnd"/>
            <w:r>
              <w:rPr>
                <w:rFonts w:cs="Arial"/>
              </w:rPr>
              <w:t xml:space="preserve"> necessary.</w:t>
            </w:r>
          </w:p>
          <w:p w14:paraId="4C65F1B0" w14:textId="3A01EF09" w:rsidR="00BA1C07" w:rsidRDefault="00BA1C07" w:rsidP="00BA1C07">
            <w:pPr>
              <w:pStyle w:val="Tabletextprimarysource"/>
            </w:pPr>
            <w:r>
              <w:rPr>
                <w:rFonts w:cs="Arial"/>
              </w:rPr>
              <w:t>No data on sensitisation available.</w:t>
            </w:r>
          </w:p>
          <w:p w14:paraId="3882B140" w14:textId="5D394DA0" w:rsidR="00BA1C07" w:rsidRDefault="00BA1C07" w:rsidP="00BA1C07">
            <w:pPr>
              <w:pStyle w:val="Tabletextprimarysource"/>
            </w:pPr>
            <w:r>
              <w:t>Human data:</w:t>
            </w:r>
          </w:p>
          <w:p w14:paraId="7A63D055" w14:textId="61E520C3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No irritant studies in humans available for assessment, analogy made to effects of </w:t>
            </w:r>
            <w:proofErr w:type="spellStart"/>
            <w:r>
              <w:t>diethylamine</w:t>
            </w:r>
            <w:proofErr w:type="spellEnd"/>
            <w:r>
              <w:t xml:space="preserve"> in volunteer study (n=5) with LOAEC of 10 ppm for nose and eye irritation (no further details provided)</w:t>
            </w:r>
          </w:p>
          <w:p w14:paraId="62903A3A" w14:textId="1CF97591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3 studies estimate dermal uptake fluxes from a 0.5% aqueous solution: 19.5,10.2, or 3.1 µg/cm</w:t>
            </w:r>
            <w:r>
              <w:rPr>
                <w:vertAlign w:val="superscript"/>
              </w:rPr>
              <w:t>2</w:t>
            </w:r>
            <w:r>
              <w:t>/h; assuming 2,000 cm</w:t>
            </w:r>
            <w:r>
              <w:rPr>
                <w:vertAlign w:val="superscript"/>
              </w:rPr>
              <w:t>2</w:t>
            </w:r>
            <w:r>
              <w:t xml:space="preserve"> skin surface and 1 h exposure </w:t>
            </w:r>
            <w:r>
              <w:rPr>
                <w:rFonts w:cs="Arial"/>
              </w:rPr>
              <w:t>≡</w:t>
            </w:r>
            <w:r>
              <w:t>39, 20.4, or 6.2, respectively (&lt;1% aqueous solution considered irritating due to corrosive effect)</w:t>
            </w:r>
          </w:p>
          <w:p w14:paraId="2B95F8B8" w14:textId="03F45FFB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equivalent exposure to gaseous substance from such an aqueous solution calculated to be 10 mg in 8 h assuming whole-body exposure (18,000 cm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2CC3A2B1" w14:textId="3A43F42D" w:rsidR="00BA1C07" w:rsidRPr="00C4524E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 w:rsidRPr="00C4524E">
              <w:rPr>
                <w:rFonts w:cs="Arial"/>
                <w:shd w:val="clear" w:color="auto" w:fill="FFFFFF"/>
              </w:rPr>
              <w:t>Oral dose of ethylamine hydrochloride (2 g) was “tolerated well”, 32% recovered in urine (no further information provided)</w:t>
            </w:r>
          </w:p>
          <w:p w14:paraId="1AC8D5EF" w14:textId="6C8E865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Reports of </w:t>
            </w:r>
            <w:r w:rsidRPr="00315E7F">
              <w:t xml:space="preserve">workplace </w:t>
            </w:r>
            <w:r>
              <w:t>exposure causing</w:t>
            </w:r>
            <w:r w:rsidRPr="00315E7F">
              <w:t xml:space="preserve"> formation of a thin, blue layer on the cornea</w:t>
            </w:r>
            <w:r>
              <w:t xml:space="preserve"> (cited data dates from 1949, no further information provided).</w:t>
            </w:r>
          </w:p>
          <w:p w14:paraId="0F3FBFDA" w14:textId="3C916607" w:rsidR="00BA1C07" w:rsidRDefault="00BA1C07" w:rsidP="00BA1C07">
            <w:pPr>
              <w:pStyle w:val="Tabletextprimarysource"/>
            </w:pPr>
            <w:r>
              <w:t>Animal data:</w:t>
            </w:r>
          </w:p>
          <w:p w14:paraId="38F0F783" w14:textId="4FEA46CA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t>: 6,830 ppm (female rats, 4 h)</w:t>
            </w:r>
          </w:p>
          <w:p w14:paraId="7E2A654B" w14:textId="665D5B39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LD</w:t>
            </w:r>
            <w:r>
              <w:rPr>
                <w:vertAlign w:val="subscript"/>
              </w:rPr>
              <w:t>50</w:t>
            </w:r>
            <w:r>
              <w:t>: 265 mg/kg (rabbits, dermal); potentially higher uptake due to damaged skin</w:t>
            </w:r>
          </w:p>
          <w:p w14:paraId="0059DE67" w14:textId="49E9F40C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Sub-chronic inhalation studies show that local </w:t>
            </w:r>
            <w:proofErr w:type="spellStart"/>
            <w:r>
              <w:t>irritational</w:t>
            </w:r>
            <w:proofErr w:type="spellEnd"/>
            <w:r>
              <w:t xml:space="preserve"> effects of ethylamine </w:t>
            </w:r>
            <w:r>
              <w:rPr>
                <w:rFonts w:cs="Arial"/>
              </w:rPr>
              <w:t>≈</w:t>
            </w:r>
            <w:r>
              <w:t>triethylamine &lt;</w:t>
            </w:r>
            <w:proofErr w:type="spellStart"/>
            <w:r>
              <w:t>diethylamine</w:t>
            </w:r>
            <w:proofErr w:type="spellEnd"/>
            <w:r>
              <w:t xml:space="preserve"> based on nasal inflammation (rats, 10 d):</w:t>
            </w:r>
          </w:p>
          <w:p w14:paraId="0387899B" w14:textId="79106FDA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ethylamine: moderate at 1,000 ppm and slight at 250 ppm</w:t>
            </w:r>
          </w:p>
          <w:p w14:paraId="59A3D3AA" w14:textId="62A10878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triethylamine: moderate at 1,000 ppm</w:t>
            </w:r>
          </w:p>
          <w:p w14:paraId="52B0F796" w14:textId="519C7E47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proofErr w:type="spellStart"/>
            <w:r>
              <w:t>diethylamine</w:t>
            </w:r>
            <w:proofErr w:type="spellEnd"/>
            <w:r>
              <w:t>: moderate to severe at 500 ppm</w:t>
            </w:r>
          </w:p>
          <w:p w14:paraId="1B6AE673" w14:textId="03D7941D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Inhalation studies with structurally related </w:t>
            </w:r>
            <w:proofErr w:type="spellStart"/>
            <w:r>
              <w:t>diethylamine</w:t>
            </w:r>
            <w:proofErr w:type="spellEnd"/>
            <w:r>
              <w:t xml:space="preserve"> (rats, 13 </w:t>
            </w:r>
            <w:proofErr w:type="spellStart"/>
            <w:r>
              <w:t>wk</w:t>
            </w:r>
            <w:proofErr w:type="spellEnd"/>
            <w:r>
              <w:t xml:space="preserve"> or 2 </w:t>
            </w:r>
            <w:proofErr w:type="spellStart"/>
            <w:r>
              <w:t>yr</w:t>
            </w:r>
            <w:proofErr w:type="spellEnd"/>
            <w:r>
              <w:t>) reported</w:t>
            </w:r>
          </w:p>
          <w:p w14:paraId="4888DDAC" w14:textId="77777777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 xml:space="preserve">NOAEL: 16 ppm; LOAEL: 32 ppm for nasal effects (13 </w:t>
            </w:r>
            <w:proofErr w:type="spellStart"/>
            <w:r>
              <w:t>wk</w:t>
            </w:r>
            <w:proofErr w:type="spellEnd"/>
            <w:r>
              <w:t>)</w:t>
            </w:r>
          </w:p>
          <w:p w14:paraId="750A11A8" w14:textId="77777777" w:rsidR="00BA1C07" w:rsidRDefault="00BA1C07" w:rsidP="00BA1C07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 xml:space="preserve">LOAEL: 32 ppm for nasal effects (2 </w:t>
            </w:r>
            <w:proofErr w:type="spellStart"/>
            <w:r>
              <w:t>yr</w:t>
            </w:r>
            <w:proofErr w:type="spellEnd"/>
            <w:r>
              <w:t>); no NOAEL determined</w:t>
            </w:r>
          </w:p>
          <w:p w14:paraId="25F87C61" w14:textId="7777777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>Non-mutagenic in bacterial assays, slight increased sister chromatid exchange reported in Chinese hamster V79 cells.</w:t>
            </w:r>
          </w:p>
          <w:p w14:paraId="17B5440F" w14:textId="7DB8649B" w:rsidR="00662120" w:rsidRPr="008101CE" w:rsidRDefault="00662120" w:rsidP="00613D3A">
            <w:pPr>
              <w:pStyle w:val="Tabletextprimarysource"/>
              <w:ind w:left="720"/>
            </w:pPr>
          </w:p>
        </w:tc>
      </w:tr>
      <w:tr w:rsidR="00BA1C07" w:rsidRPr="00DA352E" w14:paraId="208B41BE" w14:textId="77777777" w:rsidTr="00BA1C07">
        <w:tc>
          <w:tcPr>
            <w:tcW w:w="4999" w:type="pct"/>
            <w:shd w:val="clear" w:color="auto" w:fill="F2F2F2" w:themeFill="background1" w:themeFillShade="F2"/>
          </w:tcPr>
          <w:p w14:paraId="576388FD" w14:textId="1C14CC67" w:rsidR="00BA1C07" w:rsidRPr="00DA352E" w:rsidRDefault="00BA1C07" w:rsidP="00BA1C07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Pr="003365A5">
              <w:t xml:space="preserve"> </w:t>
            </w:r>
            <w:r w:rsidRPr="003365A5">
              <w:tab/>
            </w:r>
            <w:sdt>
              <w:sdtPr>
                <w:id w:val="-768699850"/>
                <w:placeholder>
                  <w:docPart w:val="BFF4908BD7D4480BA08891BEEE34B84F"/>
                </w:placeholder>
                <w:text/>
              </w:sdtPr>
              <w:sdtEndPr/>
              <w:sdtContent>
                <w:r>
                  <w:t>1994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89AE9F9E6024AC18C39AE520BD6B9CC"/>
                </w:placeholder>
              </w:sdtPr>
              <w:sdtEndPr/>
              <w:sdtContent>
                <w:r w:rsidRPr="00F95058">
                  <w:t>TWA</w:t>
                </w:r>
                <w:r>
                  <w:t>: 5 ppm (9.4 mg/m</w:t>
                </w:r>
                <w:r w:rsidRPr="00F95058">
                  <w:rPr>
                    <w:vertAlign w:val="superscript"/>
                  </w:rPr>
                  <w:t>3</w:t>
                </w:r>
                <w:r>
                  <w:t>)</w:t>
                </w:r>
              </w:sdtContent>
            </w:sdt>
          </w:p>
        </w:tc>
      </w:tr>
      <w:tr w:rsidR="00BA1C07" w:rsidRPr="00DA352E" w14:paraId="74627D77" w14:textId="77777777" w:rsidTr="00BA1C07">
        <w:tc>
          <w:tcPr>
            <w:tcW w:w="4999" w:type="pct"/>
          </w:tcPr>
          <w:p w14:paraId="73236046" w14:textId="77777777" w:rsidR="00BA1C07" w:rsidRDefault="00BA1C07" w:rsidP="00BA1C07">
            <w:pPr>
              <w:pStyle w:val="Tabletextprimarysource"/>
            </w:pPr>
            <w:r>
              <w:t>Summary of additional data:</w:t>
            </w:r>
          </w:p>
          <w:p w14:paraId="25E683F7" w14:textId="52BC80BD" w:rsidR="00BA1C07" w:rsidRDefault="00BA1C07" w:rsidP="00BA1C07">
            <w:pPr>
              <w:pStyle w:val="Tabletextprimarysource"/>
            </w:pPr>
            <w:r>
              <w:t xml:space="preserve">TWA based on sub-chronic inhalation study with rabbits, reported a LOAEL of 48 ppm for lung damage (also </w:t>
            </w:r>
            <w:r w:rsidR="002F6897">
              <w:t xml:space="preserve">reported </w:t>
            </w:r>
            <w:r w:rsidR="006D19D5">
              <w:t xml:space="preserve">by </w:t>
            </w:r>
            <w:r>
              <w:t xml:space="preserve">ACGIH). An uncertainty factor of 10 </w:t>
            </w:r>
            <w:proofErr w:type="gramStart"/>
            <w:r>
              <w:t>is applied</w:t>
            </w:r>
            <w:proofErr w:type="gramEnd"/>
            <w:r>
              <w:t xml:space="preserve"> </w:t>
            </w:r>
            <w:r w:rsidR="006D19D5">
              <w:t xml:space="preserve">on </w:t>
            </w:r>
            <w:r>
              <w:t xml:space="preserve">the LOAEL to account for </w:t>
            </w:r>
            <w:r>
              <w:lastRenderedPageBreak/>
              <w:t xml:space="preserve">the absence of an experimentally determined NOAEL and lack of chronic exposure data. Insufficient data available to recommend a STEL, a skin notation </w:t>
            </w:r>
            <w:proofErr w:type="gramStart"/>
            <w:r>
              <w:t>is not considered</w:t>
            </w:r>
            <w:proofErr w:type="gramEnd"/>
            <w:r>
              <w:t xml:space="preserve"> necessary.</w:t>
            </w:r>
          </w:p>
          <w:p w14:paraId="03C24356" w14:textId="76B8AD8A" w:rsidR="00BA1C07" w:rsidRDefault="00BA1C07" w:rsidP="00BA1C07">
            <w:pPr>
              <w:pStyle w:val="Tabletextprimarysource"/>
            </w:pPr>
            <w:r>
              <w:t>Animal data:</w:t>
            </w:r>
          </w:p>
          <w:p w14:paraId="7F480CD1" w14:textId="77777777" w:rsidR="00BA1C07" w:rsidRDefault="00BA1C07" w:rsidP="00BA1C07">
            <w:pPr>
              <w:pStyle w:val="Tabletextprimarysource"/>
              <w:numPr>
                <w:ilvl w:val="0"/>
                <w:numId w:val="1"/>
              </w:numPr>
            </w:pPr>
            <w:r>
              <w:t xml:space="preserve">Non-mutagenic to bacteria </w:t>
            </w:r>
            <w:r>
              <w:rPr>
                <w:i/>
              </w:rPr>
              <w:t>in vitro</w:t>
            </w:r>
            <w:r>
              <w:t xml:space="preserve"> except in combination with nitrite.</w:t>
            </w:r>
          </w:p>
          <w:p w14:paraId="1965E081" w14:textId="4D98F050" w:rsidR="00BA1C07" w:rsidRPr="00DF529B" w:rsidRDefault="00BA1C07" w:rsidP="00BA1C07">
            <w:pPr>
              <w:pStyle w:val="Tabletextprimarysource"/>
            </w:pPr>
          </w:p>
        </w:tc>
      </w:tr>
      <w:tr w:rsidR="00BA1C07" w:rsidRPr="00DA352E" w14:paraId="639A5959" w14:textId="77777777" w:rsidTr="00BA1C07">
        <w:tc>
          <w:tcPr>
            <w:tcW w:w="4999" w:type="pct"/>
            <w:shd w:val="clear" w:color="auto" w:fill="F2F2F2" w:themeFill="background1" w:themeFillShade="F2"/>
          </w:tcPr>
          <w:p w14:paraId="01743ED0" w14:textId="21316506" w:rsidR="00BA1C07" w:rsidRPr="00DA352E" w:rsidRDefault="00BA1C07" w:rsidP="00BA1C07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OARS/AIHA</w:t>
            </w:r>
            <w:r w:rsidRPr="003365A5">
              <w:t xml:space="preserve"> </w:t>
            </w:r>
            <w:r w:rsidRPr="003365A5">
              <w:tab/>
            </w:r>
            <w:sdt>
              <w:sdtPr>
                <w:id w:val="-936748013"/>
                <w:placeholder>
                  <w:docPart w:val="A6A37D32C5794517A9C9632C3239CFC6"/>
                </w:placeholder>
                <w:text/>
              </w:sdtPr>
              <w:sdtEndPr/>
              <w:sdtContent>
                <w:r>
                  <w:t>NA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D6518EAC56504D9A86734AA3B0F6A37C"/>
                </w:placeholder>
              </w:sdtPr>
              <w:sdtEndPr/>
              <w:sdtContent>
                <w:proofErr w:type="spellStart"/>
                <w:r>
                  <w:t>NA</w:t>
                </w:r>
                <w:proofErr w:type="spellEnd"/>
              </w:sdtContent>
            </w:sdt>
          </w:p>
        </w:tc>
      </w:tr>
      <w:tr w:rsidR="00BA1C07" w:rsidRPr="00DA352E" w14:paraId="6833C83E" w14:textId="77777777" w:rsidTr="00BA1C07">
        <w:tc>
          <w:tcPr>
            <w:tcW w:w="4999" w:type="pct"/>
          </w:tcPr>
          <w:p w14:paraId="3362967B" w14:textId="0FDB49B5" w:rsidR="00BA1C07" w:rsidRPr="00DA352E" w:rsidRDefault="00BA1C07" w:rsidP="00BA1C07">
            <w:pPr>
              <w:pStyle w:val="Tabletextprimarysource"/>
            </w:pPr>
            <w:r>
              <w:t>No report.</w:t>
            </w:r>
          </w:p>
        </w:tc>
      </w:tr>
      <w:tr w:rsidR="00BA1C07" w:rsidRPr="00DA352E" w14:paraId="0459DD93" w14:textId="77777777" w:rsidTr="00BA1C07">
        <w:tc>
          <w:tcPr>
            <w:tcW w:w="4999" w:type="pct"/>
            <w:shd w:val="clear" w:color="auto" w:fill="F2F2F2" w:themeFill="background1" w:themeFillShade="F2"/>
          </w:tcPr>
          <w:p w14:paraId="2595F161" w14:textId="4E15E526" w:rsidR="00BA1C07" w:rsidRPr="00DA352E" w:rsidRDefault="00BA1C07" w:rsidP="00BA1C07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Pr="003365A5">
              <w:t xml:space="preserve"> </w:t>
            </w:r>
            <w:r w:rsidRPr="003365A5">
              <w:tab/>
            </w:r>
            <w:sdt>
              <w:sdtPr>
                <w:id w:val="1543090908"/>
                <w:placeholder>
                  <w:docPart w:val="ADC59E82309A497990566DF08B69660D"/>
                </w:placeholder>
                <w:text/>
              </w:sdtPr>
              <w:sdtEndPr/>
              <w:sdtContent>
                <w:r>
                  <w:t>NA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68CBCB17583D42C8879DE57B68C2BC79"/>
                </w:placeholder>
              </w:sdtPr>
              <w:sdtEndPr/>
              <w:sdtContent>
                <w:proofErr w:type="spellStart"/>
                <w:r>
                  <w:t>NA</w:t>
                </w:r>
                <w:proofErr w:type="spellEnd"/>
              </w:sdtContent>
            </w:sdt>
          </w:p>
        </w:tc>
      </w:tr>
      <w:tr w:rsidR="00BA1C07" w:rsidRPr="00DA352E" w14:paraId="43ACA595" w14:textId="77777777" w:rsidTr="00BA1C07">
        <w:tc>
          <w:tcPr>
            <w:tcW w:w="4999" w:type="pct"/>
          </w:tcPr>
          <w:p w14:paraId="069600E3" w14:textId="375A5419" w:rsidR="00BA1C07" w:rsidRPr="00DA352E" w:rsidRDefault="00BA1C07" w:rsidP="00BA1C07">
            <w:pPr>
              <w:pStyle w:val="Tabletextprimarysource"/>
            </w:pPr>
            <w:r>
              <w:t>No report.</w:t>
            </w:r>
          </w:p>
        </w:tc>
      </w:tr>
    </w:tbl>
    <w:p w14:paraId="515929E8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0"/>
        <w:gridCol w:w="422"/>
        <w:gridCol w:w="661"/>
        <w:gridCol w:w="6453"/>
      </w:tblGrid>
      <w:tr w:rsidR="00EE51DD" w:rsidRPr="00263255" w14:paraId="6E7DE8F0" w14:textId="77777777" w:rsidTr="00C4524E">
        <w:trPr>
          <w:cantSplit/>
          <w:trHeight w:val="393"/>
          <w:tblHeader/>
        </w:trPr>
        <w:tc>
          <w:tcPr>
            <w:tcW w:w="1490" w:type="dxa"/>
            <w:shd w:val="clear" w:color="auto" w:fill="BFBFBF" w:themeFill="background1" w:themeFillShade="BF"/>
            <w:vAlign w:val="center"/>
          </w:tcPr>
          <w:p w14:paraId="64A98EE2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57DB59A1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150A540D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53" w:type="dxa"/>
            <w:shd w:val="clear" w:color="auto" w:fill="BFBFBF" w:themeFill="background1" w:themeFillShade="BF"/>
            <w:vAlign w:val="center"/>
          </w:tcPr>
          <w:p w14:paraId="4847330A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4AB1E3B2" w14:textId="77777777" w:rsidTr="00C4524E">
        <w:trPr>
          <w:cantSplit/>
        </w:trPr>
        <w:tc>
          <w:tcPr>
            <w:tcW w:w="1490" w:type="dxa"/>
          </w:tcPr>
          <w:p w14:paraId="6F5E2503" w14:textId="77777777" w:rsidR="004966BF" w:rsidRPr="004C23F4" w:rsidRDefault="004966BF" w:rsidP="00224EE2">
            <w:pPr>
              <w:pStyle w:val="Tablefont"/>
            </w:pPr>
            <w:r>
              <w:t>HSE</w:t>
            </w:r>
          </w:p>
        </w:tc>
        <w:tc>
          <w:tcPr>
            <w:tcW w:w="422" w:type="dxa"/>
          </w:tcPr>
          <w:p w14:paraId="09BEDE9A" w14:textId="08BB35BC" w:rsidR="004966BF" w:rsidRPr="00CE617F" w:rsidRDefault="009D192A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382551732"/>
                <w:placeholder>
                  <w:docPart w:val="8DD754E365844A4E82EC69A07E229629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410B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7A6E6CD2" w14:textId="10D520BE" w:rsidR="004966BF" w:rsidRPr="004C23F4" w:rsidRDefault="009410BF" w:rsidP="00717D45">
            <w:pPr>
              <w:pStyle w:val="Tablefont"/>
            </w:pPr>
            <w:r>
              <w:t>2002</w:t>
            </w:r>
          </w:p>
        </w:tc>
        <w:tc>
          <w:tcPr>
            <w:tcW w:w="6453" w:type="dxa"/>
          </w:tcPr>
          <w:p w14:paraId="79519AF0" w14:textId="156668AA" w:rsidR="004966BF" w:rsidRPr="004C23F4" w:rsidRDefault="009410BF" w:rsidP="00BA1C07">
            <w:pPr>
              <w:pStyle w:val="ListBullet"/>
              <w:spacing w:before="60" w:after="60"/>
              <w:ind w:left="714" w:hanging="357"/>
              <w:contextualSpacing w:val="0"/>
            </w:pPr>
            <w:r w:rsidRPr="009410BF">
              <w:t>TWA: 2 ppm (3.8 mg/m</w:t>
            </w:r>
            <w:r w:rsidRPr="009410BF">
              <w:rPr>
                <w:vertAlign w:val="superscript"/>
              </w:rPr>
              <w:t>3</w:t>
            </w:r>
            <w:r w:rsidRPr="009410BF">
              <w:t>); STEL: 6 ppm (11</w:t>
            </w:r>
            <w:r w:rsidR="001C6DE3">
              <w:t> </w:t>
            </w:r>
            <w:r w:rsidRPr="009410BF">
              <w:t>mg/m</w:t>
            </w:r>
            <w:r w:rsidRPr="009410BF">
              <w:rPr>
                <w:vertAlign w:val="superscript"/>
              </w:rPr>
              <w:t>3</w:t>
            </w:r>
            <w:r w:rsidRPr="009410BF">
              <w:t>)</w:t>
            </w:r>
            <w:r w:rsidR="004D2CB5">
              <w:t>.</w:t>
            </w:r>
          </w:p>
        </w:tc>
      </w:tr>
      <w:tr w:rsidR="004966BF" w:rsidRPr="004C23F4" w14:paraId="14F500E2" w14:textId="77777777" w:rsidTr="00C4524E">
        <w:trPr>
          <w:cantSplit/>
        </w:trPr>
        <w:tc>
          <w:tcPr>
            <w:tcW w:w="1490" w:type="dxa"/>
          </w:tcPr>
          <w:p w14:paraId="5856D616" w14:textId="77777777" w:rsidR="004966BF" w:rsidRPr="004C23F4" w:rsidRDefault="004966BF" w:rsidP="00224EE2">
            <w:pPr>
              <w:pStyle w:val="Tablefont"/>
            </w:pPr>
            <w:r>
              <w:t>OECD</w:t>
            </w:r>
          </w:p>
        </w:tc>
        <w:tc>
          <w:tcPr>
            <w:tcW w:w="422" w:type="dxa"/>
          </w:tcPr>
          <w:p w14:paraId="165FE1A9" w14:textId="471673AD" w:rsidR="004966BF" w:rsidRPr="00CE617F" w:rsidRDefault="009D192A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491947220"/>
                <w:placeholder>
                  <w:docPart w:val="320A77D155374054996F168A20882C2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BD377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7760D7CC" w14:textId="74B25BFA" w:rsidR="004966BF" w:rsidRPr="004C23F4" w:rsidRDefault="009410BF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2011</w:t>
            </w:r>
          </w:p>
        </w:tc>
        <w:tc>
          <w:tcPr>
            <w:tcW w:w="6453" w:type="dxa"/>
          </w:tcPr>
          <w:p w14:paraId="4C1C983A" w14:textId="5D01A792" w:rsidR="00BE229E" w:rsidRPr="00BA1C07" w:rsidRDefault="00BE229E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 w:rsidRPr="00BA1C07">
              <w:t>Grouped with related primary alkyl amines (i.e. not di- and triethylamine) to close gaps in toxicological database</w:t>
            </w:r>
          </w:p>
          <w:p w14:paraId="0CBF6A05" w14:textId="19F63FCC" w:rsidR="009410BF" w:rsidRPr="00BA1C07" w:rsidRDefault="009410BF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 w:rsidRPr="00BA1C07">
              <w:t xml:space="preserve">Observed </w:t>
            </w:r>
            <w:proofErr w:type="spellStart"/>
            <w:r w:rsidR="00BE229E" w:rsidRPr="00BA1C07">
              <w:t>corrosivity</w:t>
            </w:r>
            <w:proofErr w:type="spellEnd"/>
            <w:r w:rsidR="00BE229E" w:rsidRPr="00BA1C07">
              <w:t xml:space="preserve">/basicity in foreground of </w:t>
            </w:r>
            <w:r w:rsidRPr="00BA1C07">
              <w:t xml:space="preserve">systemic toxicity </w:t>
            </w:r>
          </w:p>
          <w:p w14:paraId="3E60E59F" w14:textId="59193E99" w:rsidR="00BE229E" w:rsidRPr="00BA1C07" w:rsidRDefault="00BE229E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 w:rsidRPr="00BA1C07">
              <w:t>Dermal absorption only considered likely if natural acidity of skin is neutralised, absorption of short-chain (&lt;C6) considered negligible</w:t>
            </w:r>
          </w:p>
          <w:p w14:paraId="40D09279" w14:textId="7DDE3535" w:rsidR="00BE229E" w:rsidRPr="00BA1C07" w:rsidRDefault="00BE229E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 w:rsidRPr="00BA1C07">
              <w:t>Dermal LD</w:t>
            </w:r>
            <w:r w:rsidRPr="00613D3A">
              <w:rPr>
                <w:vertAlign w:val="subscript"/>
              </w:rPr>
              <w:t>50</w:t>
            </w:r>
            <w:r w:rsidRPr="00BA1C07">
              <w:t xml:space="preserve"> values </w:t>
            </w:r>
            <w:r w:rsidR="00BA6099" w:rsidRPr="00BA1C07">
              <w:t xml:space="preserve">(24 h patch) </w:t>
            </w:r>
            <w:r w:rsidRPr="00BA1C07">
              <w:t xml:space="preserve">in this group range from </w:t>
            </w:r>
            <w:r w:rsidR="00BA6099" w:rsidRPr="00BA1C07">
              <w:t>200</w:t>
            </w:r>
            <w:r w:rsidR="00822E6B">
              <w:t> </w:t>
            </w:r>
            <w:r w:rsidR="00BA6099" w:rsidRPr="00BA1C07">
              <w:t>mg/kg with long-chain congeners to 2,000 mg/kg for short-chain and substituted congeners (unspecified species)</w:t>
            </w:r>
          </w:p>
          <w:p w14:paraId="795D6563" w14:textId="7324D3AF" w:rsidR="00BA6099" w:rsidRPr="00BA1C07" w:rsidRDefault="00BA6099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 w:rsidRPr="00BA1C07">
              <w:t>Lack of skin sensitisation potential for various primary amines, no data presented for ethylamine but expected to have similar properties</w:t>
            </w:r>
          </w:p>
          <w:p w14:paraId="3E8372AA" w14:textId="0726569B" w:rsidR="00BA6099" w:rsidRPr="00BA1C07" w:rsidRDefault="00BA6099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 w:rsidRPr="00BA1C07">
              <w:t>Weight of evidence suggests members of the primary amine group assessment are not mutagenic</w:t>
            </w:r>
          </w:p>
          <w:p w14:paraId="5CAF2E60" w14:textId="2780321B" w:rsidR="00BA6099" w:rsidRDefault="00BA6099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>
              <w:t>No carcinogenicity data are available</w:t>
            </w:r>
          </w:p>
          <w:p w14:paraId="333DE59A" w14:textId="14060CCD" w:rsidR="00EE51DD" w:rsidRDefault="000B57C4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>
              <w:t>No adverse effect on male and female gonads at up to 500</w:t>
            </w:r>
            <w:r w:rsidR="00822E6B">
              <w:t> </w:t>
            </w:r>
            <w:r>
              <w:t xml:space="preserve">ppm repeat inhalation study (rats, </w:t>
            </w:r>
            <w:r w:rsidR="00BA6099">
              <w:t>24</w:t>
            </w:r>
            <w:r>
              <w:t xml:space="preserve"> </w:t>
            </w:r>
            <w:proofErr w:type="spellStart"/>
            <w:r>
              <w:t>wk</w:t>
            </w:r>
            <w:proofErr w:type="spellEnd"/>
            <w:r>
              <w:t>)</w:t>
            </w:r>
            <w:r w:rsidR="00BA6099">
              <w:t xml:space="preserve">, </w:t>
            </w:r>
          </w:p>
          <w:p w14:paraId="36AE50B2" w14:textId="3DCE8C02" w:rsidR="00227E26" w:rsidRDefault="00EE51DD" w:rsidP="00613D3A">
            <w:pPr>
              <w:pStyle w:val="ListBullet"/>
              <w:numPr>
                <w:ilvl w:val="0"/>
                <w:numId w:val="8"/>
              </w:numPr>
              <w:spacing w:beforeLines="60" w:before="144" w:afterLines="60" w:after="144"/>
              <w:ind w:hanging="357"/>
              <w:contextualSpacing w:val="0"/>
            </w:pPr>
            <w:r>
              <w:t xml:space="preserve">No substance-specific developmental studies for ethylamine; </w:t>
            </w:r>
            <w:r w:rsidR="0015028F">
              <w:t>foetal toxicity</w:t>
            </w:r>
            <w:r>
              <w:t xml:space="preserve"> </w:t>
            </w:r>
            <w:r w:rsidR="0015028F">
              <w:t xml:space="preserve">reported in </w:t>
            </w:r>
            <w:r>
              <w:t>repeat oral dose</w:t>
            </w:r>
            <w:r w:rsidR="0015028F">
              <w:t xml:space="preserve">s </w:t>
            </w:r>
            <w:r>
              <w:t xml:space="preserve">with structurally </w:t>
            </w:r>
            <w:r w:rsidR="0063491C">
              <w:t>related</w:t>
            </w:r>
            <w:r>
              <w:t xml:space="preserve"> </w:t>
            </w:r>
            <w:proofErr w:type="spellStart"/>
            <w:r>
              <w:t>butylamine</w:t>
            </w:r>
            <w:proofErr w:type="spellEnd"/>
            <w:r w:rsidR="0015028F">
              <w:t xml:space="preserve"> hydrochloride (400 mg/kg/d), but not by inhalation of the free amine (&gt;243 ppm)</w:t>
            </w:r>
          </w:p>
          <w:p w14:paraId="5943B148" w14:textId="0580D787" w:rsidR="00BD377F" w:rsidRPr="007E5BD9" w:rsidRDefault="0015028F" w:rsidP="00613D3A">
            <w:pPr>
              <w:pStyle w:val="ListBullet"/>
              <w:numPr>
                <w:ilvl w:val="0"/>
                <w:numId w:val="2"/>
              </w:numPr>
              <w:spacing w:beforeLines="60" w:before="144" w:afterLines="60" w:after="144"/>
              <w:ind w:left="1080" w:hanging="357"/>
              <w:contextualSpacing w:val="0"/>
              <w:rPr>
                <w:rStyle w:val="checkbox"/>
                <w:rFonts w:ascii="Arial" w:hAnsi="Arial"/>
              </w:rPr>
            </w:pPr>
            <w:proofErr w:type="gramStart"/>
            <w:r>
              <w:t>data</w:t>
            </w:r>
            <w:proofErr w:type="gramEnd"/>
            <w:r>
              <w:t xml:space="preserve"> for </w:t>
            </w:r>
            <w:proofErr w:type="spellStart"/>
            <w:r>
              <w:t>butylamine</w:t>
            </w:r>
            <w:proofErr w:type="spellEnd"/>
            <w:r>
              <w:t xml:space="preserve"> hydrochloride used </w:t>
            </w:r>
            <w:proofErr w:type="spellStart"/>
            <w:r>
              <w:t>precautionarily</w:t>
            </w:r>
            <w:proofErr w:type="spellEnd"/>
            <w:r w:rsidR="00EE51DD">
              <w:t xml:space="preserve"> for </w:t>
            </w:r>
            <w:r w:rsidR="00227E26">
              <w:t xml:space="preserve">developmental toxicity </w:t>
            </w:r>
            <w:r w:rsidR="00EE51DD">
              <w:t xml:space="preserve">assessment </w:t>
            </w:r>
            <w:r>
              <w:t>of orally ingested primary amine hydrochloride salts.</w:t>
            </w:r>
          </w:p>
        </w:tc>
      </w:tr>
      <w:tr w:rsidR="004966BF" w:rsidRPr="004C23F4" w14:paraId="261BBD52" w14:textId="77777777" w:rsidTr="00C4524E">
        <w:trPr>
          <w:cantSplit/>
        </w:trPr>
        <w:tc>
          <w:tcPr>
            <w:tcW w:w="1490" w:type="dxa"/>
          </w:tcPr>
          <w:p w14:paraId="162F9CE5" w14:textId="7DB23D3A" w:rsidR="004966BF" w:rsidRDefault="004966BF" w:rsidP="00224EE2">
            <w:pPr>
              <w:pStyle w:val="Tablefont"/>
            </w:pPr>
            <w:r>
              <w:t>US NIOSH</w:t>
            </w:r>
          </w:p>
        </w:tc>
        <w:tc>
          <w:tcPr>
            <w:tcW w:w="422" w:type="dxa"/>
          </w:tcPr>
          <w:p w14:paraId="3BA2B8E9" w14:textId="576EE2D3" w:rsidR="004966BF" w:rsidRDefault="009D192A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-1814863282"/>
                <w:placeholder>
                  <w:docPart w:val="EA51C8540A4D4F0A9062F5B1698DCBB0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410B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6C9C9391" w14:textId="5E945DCB" w:rsidR="004966BF" w:rsidRPr="004C23F4" w:rsidRDefault="009410BF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1994</w:t>
            </w:r>
          </w:p>
        </w:tc>
        <w:tc>
          <w:tcPr>
            <w:tcW w:w="6453" w:type="dxa"/>
          </w:tcPr>
          <w:p w14:paraId="4DD6021C" w14:textId="6BF34B83" w:rsidR="004966BF" w:rsidRPr="00BA1C07" w:rsidRDefault="009410BF" w:rsidP="00BA1C07">
            <w:pPr>
              <w:pStyle w:val="ListBullet"/>
              <w:spacing w:before="60" w:after="60"/>
              <w:ind w:left="714" w:hanging="357"/>
              <w:contextualSpacing w:val="0"/>
            </w:pPr>
            <w:r w:rsidRPr="00BA1C07">
              <w:t>IDLH based on acute inhalation toxicity data in animals.</w:t>
            </w:r>
          </w:p>
        </w:tc>
      </w:tr>
    </w:tbl>
    <w:bookmarkEnd w:id="1"/>
    <w:p w14:paraId="162840EA" w14:textId="77777777" w:rsidR="007E2A4B" w:rsidRDefault="007E2A4B" w:rsidP="007E2A4B">
      <w:pPr>
        <w:pStyle w:val="Heading3"/>
      </w:pPr>
      <w:r>
        <w:lastRenderedPageBreak/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597"/>
        <w:gridCol w:w="2429"/>
      </w:tblGrid>
      <w:tr w:rsidR="002E0D61" w14:paraId="153028A3" w14:textId="77777777" w:rsidTr="00315E7F">
        <w:trPr>
          <w:trHeight w:val="454"/>
          <w:tblHeader/>
        </w:trPr>
        <w:tc>
          <w:tcPr>
            <w:tcW w:w="6597" w:type="dxa"/>
            <w:vAlign w:val="center"/>
          </w:tcPr>
          <w:p w14:paraId="214F1A24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9" w:type="dxa"/>
                <w:vAlign w:val="center"/>
              </w:tcPr>
              <w:p w14:paraId="72AA9557" w14:textId="3163FA9C" w:rsidR="002E0D61" w:rsidRDefault="00BA6099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37E5C833" w14:textId="77777777" w:rsidTr="00315E7F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597" w:type="dxa"/>
                <w:vAlign w:val="center"/>
              </w:tcPr>
              <w:p w14:paraId="3DA68524" w14:textId="099A22F7" w:rsidR="008A36CF" w:rsidRPr="006901A2" w:rsidRDefault="00BA6099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9" w:type="dxa"/>
            <w:vAlign w:val="center"/>
          </w:tcPr>
          <w:p w14:paraId="384E88E0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2890057E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0FF6A79E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382F8DAA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135A72E6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31F2170B" w14:textId="77777777" w:rsidTr="00812887">
        <w:trPr>
          <w:cantSplit/>
        </w:trPr>
        <w:tc>
          <w:tcPr>
            <w:tcW w:w="3227" w:type="dxa"/>
          </w:tcPr>
          <w:p w14:paraId="04890582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17A50D0B" w14:textId="2183E785" w:rsidR="00687890" w:rsidRPr="00DD2F9B" w:rsidRDefault="00F8245A" w:rsidP="00DD2F9B">
            <w:pPr>
              <w:pStyle w:val="Tablefont"/>
            </w:pPr>
            <w:r w:rsidRPr="00F8245A">
              <w:t>—</w:t>
            </w:r>
          </w:p>
        </w:tc>
      </w:tr>
      <w:tr w:rsidR="007925F0" w:rsidRPr="004C23F4" w14:paraId="1D403C56" w14:textId="77777777" w:rsidTr="00812887">
        <w:trPr>
          <w:cantSplit/>
        </w:trPr>
        <w:tc>
          <w:tcPr>
            <w:tcW w:w="3227" w:type="dxa"/>
          </w:tcPr>
          <w:p w14:paraId="2F6AD5BE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30969E36" w14:textId="137BAE04" w:rsidR="007925F0" w:rsidRPr="00DD2F9B" w:rsidRDefault="00F8245A" w:rsidP="00DD2F9B">
            <w:pPr>
              <w:pStyle w:val="Tablefont"/>
            </w:pPr>
            <w:r w:rsidRPr="00F8245A">
              <w:t>—</w:t>
            </w:r>
          </w:p>
        </w:tc>
      </w:tr>
      <w:tr w:rsidR="00AF483F" w:rsidRPr="004C23F4" w14:paraId="1447EF7D" w14:textId="77777777" w:rsidTr="00812887">
        <w:trPr>
          <w:cantSplit/>
        </w:trPr>
        <w:tc>
          <w:tcPr>
            <w:tcW w:w="3227" w:type="dxa"/>
          </w:tcPr>
          <w:p w14:paraId="445763FE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67A3DC51" w14:textId="497D9AF0" w:rsidR="00AF483F" w:rsidRPr="00DD2F9B" w:rsidRDefault="00F8245A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6E9BEAC1" w14:textId="77777777" w:rsidTr="00812887">
        <w:trPr>
          <w:cantSplit/>
        </w:trPr>
        <w:tc>
          <w:tcPr>
            <w:tcW w:w="3227" w:type="dxa"/>
          </w:tcPr>
          <w:p w14:paraId="26BB3CA5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78123C30" w14:textId="6BC72B34" w:rsidR="00687890" w:rsidRPr="00DD2F9B" w:rsidRDefault="00A2021B" w:rsidP="00DD2F9B">
            <w:pPr>
              <w:pStyle w:val="Tablefont"/>
            </w:pPr>
            <w:r>
              <w:t>—</w:t>
            </w:r>
          </w:p>
        </w:tc>
      </w:tr>
      <w:tr w:rsidR="00E41A26" w:rsidRPr="004C23F4" w14:paraId="4AB7A68B" w14:textId="77777777" w:rsidTr="00812887">
        <w:trPr>
          <w:cantSplit/>
        </w:trPr>
        <w:tc>
          <w:tcPr>
            <w:tcW w:w="3227" w:type="dxa"/>
          </w:tcPr>
          <w:p w14:paraId="6E89EEEA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3C9F6A23" w14:textId="257E3045" w:rsidR="00E41A26" w:rsidRPr="00DD2F9B" w:rsidRDefault="00F8245A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573E50D1" w14:textId="77777777" w:rsidTr="00812887">
        <w:trPr>
          <w:cantSplit/>
        </w:trPr>
        <w:tc>
          <w:tcPr>
            <w:tcW w:w="3227" w:type="dxa"/>
          </w:tcPr>
          <w:p w14:paraId="027CF692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0F0BEAE0" w14:textId="204FF4B9" w:rsidR="002E0D61" w:rsidRPr="00DD2F9B" w:rsidRDefault="00F8245A" w:rsidP="00DD2F9B">
            <w:pPr>
              <w:pStyle w:val="Tablefont"/>
            </w:pPr>
            <w:r w:rsidRPr="00F8245A">
              <w:t>Skin</w:t>
            </w:r>
          </w:p>
        </w:tc>
      </w:tr>
      <w:tr w:rsidR="002E0D61" w:rsidRPr="004C23F4" w14:paraId="44839542" w14:textId="77777777" w:rsidTr="00812887">
        <w:trPr>
          <w:cantSplit/>
        </w:trPr>
        <w:tc>
          <w:tcPr>
            <w:tcW w:w="3227" w:type="dxa"/>
          </w:tcPr>
          <w:p w14:paraId="0CAF50AC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3CB69BCB" w14:textId="52AA737D" w:rsidR="002E0D61" w:rsidRPr="00DD2F9B" w:rsidRDefault="00F8245A" w:rsidP="00DD2F9B">
            <w:pPr>
              <w:pStyle w:val="Tablefont"/>
            </w:pPr>
            <w:r w:rsidRPr="00F8245A">
              <w:t>—</w:t>
            </w:r>
          </w:p>
        </w:tc>
      </w:tr>
      <w:tr w:rsidR="002E0D61" w:rsidRPr="004C23F4" w14:paraId="1625245C" w14:textId="77777777" w:rsidTr="00812887">
        <w:trPr>
          <w:cantSplit/>
        </w:trPr>
        <w:tc>
          <w:tcPr>
            <w:tcW w:w="3227" w:type="dxa"/>
          </w:tcPr>
          <w:p w14:paraId="0701EF01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703AADA9" w14:textId="4B8F0B52" w:rsidR="002E0D61" w:rsidRPr="00DD2F9B" w:rsidRDefault="00F8245A" w:rsidP="00DD2F9B">
            <w:pPr>
              <w:pStyle w:val="Tablefont"/>
            </w:pPr>
            <w:r w:rsidRPr="00F8245A">
              <w:t>—</w:t>
            </w:r>
          </w:p>
        </w:tc>
      </w:tr>
      <w:tr w:rsidR="002E0D61" w:rsidRPr="004C23F4" w14:paraId="4155962D" w14:textId="77777777" w:rsidTr="00812887">
        <w:trPr>
          <w:cantSplit/>
        </w:trPr>
        <w:tc>
          <w:tcPr>
            <w:tcW w:w="3227" w:type="dxa"/>
          </w:tcPr>
          <w:p w14:paraId="29F0898E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0BD9E5E7" w14:textId="09AC657F" w:rsidR="002E0D61" w:rsidRPr="00DD2F9B" w:rsidRDefault="00F8245A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06A9651B" w14:textId="77777777" w:rsidTr="00812887">
        <w:trPr>
          <w:cantSplit/>
        </w:trPr>
        <w:tc>
          <w:tcPr>
            <w:tcW w:w="3227" w:type="dxa"/>
          </w:tcPr>
          <w:p w14:paraId="0B6F0C3A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3E34B24F" w14:textId="167C4258" w:rsidR="00386093" w:rsidRPr="00DD2F9B" w:rsidRDefault="00F8245A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2EFDFCE3" w14:textId="77777777" w:rsidTr="00812887">
        <w:trPr>
          <w:cantSplit/>
        </w:trPr>
        <w:tc>
          <w:tcPr>
            <w:tcW w:w="3227" w:type="dxa"/>
          </w:tcPr>
          <w:p w14:paraId="2B987F92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1462D7D0" w14:textId="772C4EA6" w:rsidR="00386093" w:rsidRPr="00DD2F9B" w:rsidRDefault="00F8245A" w:rsidP="00D87570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60DB5E63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5AC0F892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5F676EE2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80CD580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420F1917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783" w:type="dxa"/>
              <w:tblLook w:val="04A0" w:firstRow="1" w:lastRow="0" w:firstColumn="1" w:lastColumn="0" w:noHBand="0" w:noVBand="1"/>
            </w:tblPr>
            <w:tblGrid>
              <w:gridCol w:w="3968"/>
              <w:gridCol w:w="513"/>
              <w:gridCol w:w="1032"/>
              <w:gridCol w:w="3277"/>
            </w:tblGrid>
            <w:tr w:rsidR="00315E7F" w:rsidRPr="00315E7F" w14:paraId="6AEAF3CF" w14:textId="77777777" w:rsidTr="00315E7F">
              <w:trPr>
                <w:trHeight w:val="221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21FC56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2DA3E4B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9948EED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33BDF1B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5E7F" w:rsidRPr="00315E7F" w14:paraId="49547FF2" w14:textId="77777777" w:rsidTr="00315E7F">
              <w:trPr>
                <w:trHeight w:val="221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29846B5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36DD66FF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6C504EC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F5ACC18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5E7F" w:rsidRPr="00315E7F" w14:paraId="67A4DC81" w14:textId="77777777" w:rsidTr="00315E7F">
              <w:trPr>
                <w:trHeight w:val="221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9BD4ED7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E866578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4EFA4DC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8942D90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5E7F" w:rsidRPr="00315E7F" w14:paraId="30865451" w14:textId="77777777" w:rsidTr="00315E7F">
              <w:trPr>
                <w:trHeight w:val="221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AAC2FFC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7AB99855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D15E127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B6B5AC8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5E7F" w:rsidRPr="00315E7F" w14:paraId="07A9D5BE" w14:textId="77777777" w:rsidTr="00315E7F">
              <w:trPr>
                <w:trHeight w:val="221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C5D80F7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A295FE5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5097B4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ED8A11D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5E7F" w:rsidRPr="00315E7F" w14:paraId="78A47858" w14:textId="77777777" w:rsidTr="00315E7F">
              <w:trPr>
                <w:trHeight w:val="221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9798569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65FFC723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0877A2F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2.00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8672935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315E7F" w:rsidRPr="00315E7F" w14:paraId="64DAE03B" w14:textId="77777777" w:rsidTr="00315E7F">
              <w:trPr>
                <w:trHeight w:val="68"/>
              </w:trPr>
              <w:tc>
                <w:tcPr>
                  <w:tcW w:w="39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8A9BA9C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268C938" w14:textId="77777777" w:rsidR="00315E7F" w:rsidRPr="00315E7F" w:rsidRDefault="00315E7F" w:rsidP="00315E7F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8FC14F5" w14:textId="77777777" w:rsidR="00315E7F" w:rsidRPr="00315E7F" w:rsidRDefault="00315E7F" w:rsidP="00315E7F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2.6666667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9BCA38B" w14:textId="77777777" w:rsidR="00315E7F" w:rsidRPr="00315E7F" w:rsidRDefault="00315E7F" w:rsidP="00315E7F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315E7F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consider assigning a skin notation</w:t>
                  </w:r>
                </w:p>
              </w:tc>
            </w:tr>
          </w:tbl>
          <w:p w14:paraId="1E15B6B6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5842714E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24B58D2C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08019109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3F25B5A0" w14:textId="66AA3394" w:rsidR="00EB3D1B" w:rsidRDefault="00F8245A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63F5A6DA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388ACEFA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20ED92D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6EAE8756" w14:textId="63EDC08E" w:rsidR="001B79E5" w:rsidRDefault="00F8245A" w:rsidP="001B79E5">
                <w:pPr>
                  <w:pStyle w:val="Tablefont"/>
                </w:pPr>
                <w:r w:rsidRPr="00F8245A">
                  <w:t>45.08</w:t>
                </w:r>
              </w:p>
            </w:tc>
          </w:sdtContent>
        </w:sdt>
      </w:tr>
      <w:tr w:rsidR="00A31D99" w:rsidRPr="004C23F4" w14:paraId="6035C88E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4033137A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027F142E" w14:textId="1059828B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F8245A">
                  <w:t>1.84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F8245A">
                  <w:t>0.54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2A286BB6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A5BD100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7F6D9635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62D890A3" w14:textId="77777777" w:rsidTr="00EA6243">
        <w:trPr>
          <w:cantSplit/>
        </w:trPr>
        <w:tc>
          <w:tcPr>
            <w:tcW w:w="4077" w:type="dxa"/>
            <w:vAlign w:val="center"/>
          </w:tcPr>
          <w:p w14:paraId="6BB8F3B7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316AA213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0676B5DC" w14:textId="77777777" w:rsidTr="00EA6243">
        <w:trPr>
          <w:cantSplit/>
        </w:trPr>
        <w:tc>
          <w:tcPr>
            <w:tcW w:w="4077" w:type="dxa"/>
            <w:vAlign w:val="center"/>
          </w:tcPr>
          <w:p w14:paraId="29319FF9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FD2D65E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4C402ED5" w14:textId="77777777" w:rsidTr="00EA6243">
        <w:trPr>
          <w:cantSplit/>
        </w:trPr>
        <w:tc>
          <w:tcPr>
            <w:tcW w:w="4077" w:type="dxa"/>
            <w:vAlign w:val="center"/>
          </w:tcPr>
          <w:p w14:paraId="132B6701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031B600B" w14:textId="77777777" w:rsidR="00E06F40" w:rsidRPr="00A006A0" w:rsidRDefault="009D192A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55517AFF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0CBC6F86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31E85C68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3A2DDE78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3A618C87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340F178F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4207A569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4B58F9A6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2F6E30A5" w14:textId="7C244CC0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17A150CC" w14:textId="04298D12" w:rsidR="00F8245A" w:rsidRDefault="00F8245A" w:rsidP="00084859">
      <w:r>
        <w:t xml:space="preserve">Deutsche </w:t>
      </w:r>
      <w:proofErr w:type="spellStart"/>
      <w:r>
        <w:t>Forschungsgemeinschaft</w:t>
      </w:r>
      <w:proofErr w:type="spellEnd"/>
      <w:r>
        <w:t xml:space="preserve"> (DFG) (</w:t>
      </w:r>
      <w:r w:rsidR="00E51FE0">
        <w:t>1996</w:t>
      </w:r>
      <w:r>
        <w:t xml:space="preserve">) </w:t>
      </w:r>
      <w:proofErr w:type="spellStart"/>
      <w:r w:rsidRPr="00F8245A">
        <w:t>Ethylamin</w:t>
      </w:r>
      <w:proofErr w:type="spellEnd"/>
      <w:r>
        <w:t xml:space="preserve"> – MAK value documentation</w:t>
      </w:r>
      <w:r w:rsidR="00E51FE0">
        <w:t>, German language edition</w:t>
      </w:r>
      <w:r>
        <w:t>.</w:t>
      </w:r>
    </w:p>
    <w:p w14:paraId="333BFFFA" w14:textId="470E6839" w:rsidR="00E51FE0" w:rsidRDefault="00E51FE0" w:rsidP="00084859">
      <w:r w:rsidRPr="00E51FE0">
        <w:t xml:space="preserve">Deutsche </w:t>
      </w:r>
      <w:proofErr w:type="spellStart"/>
      <w:r w:rsidRPr="00E51FE0">
        <w:t>Forschungsgemeinschaft</w:t>
      </w:r>
      <w:proofErr w:type="spellEnd"/>
      <w:r w:rsidRPr="00E51FE0">
        <w:t xml:space="preserve"> (DFG) (2002) </w:t>
      </w:r>
      <w:proofErr w:type="spellStart"/>
      <w:r w:rsidRPr="00E51FE0">
        <w:t>Ethylamin</w:t>
      </w:r>
      <w:proofErr w:type="spellEnd"/>
      <w:r w:rsidRPr="00E51FE0">
        <w:t xml:space="preserve"> – MAK value documentation</w:t>
      </w:r>
      <w:r>
        <w:t>, German language edition.</w:t>
      </w:r>
    </w:p>
    <w:p w14:paraId="2D84E104" w14:textId="13EBBB9F" w:rsidR="00E51FE0" w:rsidRDefault="00E51FE0" w:rsidP="00084859">
      <w:r w:rsidRPr="00E51FE0">
        <w:t xml:space="preserve">Deutsche </w:t>
      </w:r>
      <w:proofErr w:type="spellStart"/>
      <w:r w:rsidRPr="00E51FE0">
        <w:t>Forschungsgemeinschaft</w:t>
      </w:r>
      <w:proofErr w:type="spellEnd"/>
      <w:r w:rsidRPr="00E51FE0">
        <w:t xml:space="preserve"> (DFG) (</w:t>
      </w:r>
      <w:r>
        <w:t>2019</w:t>
      </w:r>
      <w:r w:rsidRPr="00E51FE0">
        <w:t xml:space="preserve">) </w:t>
      </w:r>
      <w:proofErr w:type="spellStart"/>
      <w:r w:rsidRPr="00E51FE0">
        <w:t>Ethylamin</w:t>
      </w:r>
      <w:proofErr w:type="spellEnd"/>
      <w:r w:rsidRPr="00E51FE0">
        <w:t xml:space="preserve"> – MAK value documentation</w:t>
      </w:r>
      <w:r>
        <w:t>, German language edition</w:t>
      </w:r>
      <w:r w:rsidRPr="00E51FE0">
        <w:t>.</w:t>
      </w:r>
    </w:p>
    <w:p w14:paraId="6AD0C0D6" w14:textId="77777777" w:rsidR="0063491C" w:rsidRDefault="0063491C" w:rsidP="0063491C">
      <w:r>
        <w:t xml:space="preserve">EU Scientific Committee on Occupational Exposure Limits (SCOEL) (1994) Recommendation from the Scientific Committee on Occupational Exposure Limits for </w:t>
      </w:r>
      <w:r w:rsidRPr="00F8245A">
        <w:t>Ethylamine</w:t>
      </w:r>
      <w:r>
        <w:t>. SCOEL/</w:t>
      </w:r>
      <w:r w:rsidRPr="00F8245A">
        <w:t>SUM/33</w:t>
      </w:r>
      <w:r>
        <w:t>.</w:t>
      </w:r>
    </w:p>
    <w:p w14:paraId="5565DD6A" w14:textId="4279336F" w:rsidR="00D01BA9" w:rsidRDefault="00BD038A" w:rsidP="0063491C">
      <w:r w:rsidRPr="00D86E03">
        <w:t>Organisation for Economic Cooperation and Development (OECD)</w:t>
      </w:r>
      <w:r>
        <w:t xml:space="preserve"> (2011) SIDS initial assessment profile – C1-13 Primary Amines.</w:t>
      </w:r>
    </w:p>
    <w:p w14:paraId="31FEB47A" w14:textId="549AE591" w:rsidR="0063491C" w:rsidRDefault="0063491C" w:rsidP="0063491C">
      <w:r w:rsidRPr="009A7744">
        <w:t>UK Health and Safety Executive (HSE) (2002) EH40/2005 Workplace exposure limits.</w:t>
      </w:r>
    </w:p>
    <w:p w14:paraId="3D6E137D" w14:textId="642A250B" w:rsidR="00C4524E" w:rsidRDefault="00C4524E" w:rsidP="00C4524E">
      <w:r>
        <w:t xml:space="preserve">US National Institute for Occupational Safety and Health (NIOSH) (1994) </w:t>
      </w:r>
      <w:proofErr w:type="gramStart"/>
      <w:r>
        <w:t>Immediately</w:t>
      </w:r>
      <w:proofErr w:type="gramEnd"/>
      <w:r>
        <w:t xml:space="preserve"> dangerous to life or health concentrations – Ethylamine. </w:t>
      </w:r>
    </w:p>
    <w:bookmarkEnd w:id="0"/>
    <w:p w14:paraId="7445BA08" w14:textId="77777777" w:rsidR="0063491C" w:rsidRPr="00351FE0" w:rsidRDefault="0063491C" w:rsidP="00084859"/>
    <w:sectPr w:rsidR="0063491C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CB282" w16cid:durableId="218127E2"/>
  <w16cid:commentId w16cid:paraId="28E53F55" w16cid:durableId="218124B6"/>
  <w16cid:commentId w16cid:paraId="749FC253" w16cid:durableId="21812554"/>
  <w16cid:commentId w16cid:paraId="5D66CAE5" w16cid:durableId="218125A3"/>
  <w16cid:commentId w16cid:paraId="2631D06E" w16cid:durableId="218125F2"/>
  <w16cid:commentId w16cid:paraId="30213B8B" w16cid:durableId="218127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1148A" w14:textId="77777777" w:rsidR="0047092F" w:rsidRDefault="0047092F" w:rsidP="00F43AD5">
      <w:pPr>
        <w:spacing w:after="0" w:line="240" w:lineRule="auto"/>
      </w:pPr>
      <w:r>
        <w:separator/>
      </w:r>
    </w:p>
  </w:endnote>
  <w:endnote w:type="continuationSeparator" w:id="0">
    <w:p w14:paraId="555116FC" w14:textId="77777777" w:rsidR="0047092F" w:rsidRDefault="0047092F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22B8A" w14:textId="77777777" w:rsidR="009D192A" w:rsidRDefault="009D1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B0B0DE3" w14:textId="5F44A6C3" w:rsidR="00C83C71" w:rsidRDefault="00C83C71" w:rsidP="0034744C">
        <w:pPr>
          <w:pStyle w:val="Footer"/>
          <w:rPr>
            <w:sz w:val="18"/>
            <w:szCs w:val="18"/>
          </w:rPr>
        </w:pPr>
        <w:r w:rsidRPr="00F25815">
          <w:rPr>
            <w:b/>
            <w:sz w:val="18"/>
            <w:szCs w:val="18"/>
          </w:rPr>
          <w:t>Ethylamine</w:t>
        </w:r>
        <w:r>
          <w:rPr>
            <w:b/>
            <w:sz w:val="18"/>
            <w:szCs w:val="18"/>
          </w:rPr>
          <w:t xml:space="preserve"> (</w:t>
        </w:r>
        <w:r w:rsidRPr="00F25815">
          <w:rPr>
            <w:b/>
            <w:sz w:val="18"/>
            <w:szCs w:val="18"/>
          </w:rPr>
          <w:t>75-04-7</w:t>
        </w:r>
        <w:proofErr w:type="gramStart"/>
        <w:r>
          <w:rPr>
            <w:b/>
            <w:sz w:val="18"/>
            <w:szCs w:val="18"/>
          </w:rPr>
          <w:t>)</w:t>
        </w:r>
        <w:proofErr w:type="gramEnd"/>
        <w:r w:rsidRPr="00F43AD5">
          <w:rPr>
            <w:sz w:val="18"/>
            <w:szCs w:val="18"/>
          </w:rPr>
          <w:br/>
          <w:t xml:space="preserve">Safe Work Australia </w:t>
        </w:r>
        <w:r w:rsidRPr="00F43AD5">
          <w:rPr>
            <w:rFonts w:ascii="Courier New" w:hAnsi="Courier New" w:cs="Courier New"/>
            <w:sz w:val="18"/>
            <w:szCs w:val="18"/>
          </w:rPr>
          <w:t>—</w:t>
        </w:r>
        <w:r w:rsidRPr="00F43AD5">
          <w:rPr>
            <w:sz w:val="18"/>
            <w:szCs w:val="18"/>
          </w:rPr>
          <w:t xml:space="preserve"> 201</w:t>
        </w:r>
        <w:r>
          <w:rPr>
            <w:sz w:val="18"/>
            <w:szCs w:val="18"/>
          </w:rPr>
          <w:t>9</w:t>
        </w:r>
      </w:p>
      <w:p w14:paraId="6220852B" w14:textId="3C93D316" w:rsidR="00C83C71" w:rsidRPr="00F43AD5" w:rsidRDefault="00C83C71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9D192A">
          <w:rPr>
            <w:noProof/>
            <w:sz w:val="18"/>
            <w:szCs w:val="18"/>
          </w:rPr>
          <w:t>2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7219" w14:textId="77777777" w:rsidR="009D192A" w:rsidRDefault="009D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9DECF" w14:textId="77777777" w:rsidR="0047092F" w:rsidRDefault="0047092F" w:rsidP="00F43AD5">
      <w:pPr>
        <w:spacing w:after="0" w:line="240" w:lineRule="auto"/>
      </w:pPr>
      <w:r>
        <w:separator/>
      </w:r>
    </w:p>
  </w:footnote>
  <w:footnote w:type="continuationSeparator" w:id="0">
    <w:p w14:paraId="77F529F3" w14:textId="77777777" w:rsidR="0047092F" w:rsidRDefault="0047092F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C87E6" w14:textId="7ACEBF58" w:rsidR="009D192A" w:rsidRDefault="009D192A">
    <w:pPr>
      <w:pStyle w:val="Header"/>
    </w:pPr>
    <w:r>
      <w:rPr>
        <w:noProof/>
      </w:rPr>
      <w:pict w14:anchorId="7451A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8266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1DC7" w14:textId="1EC38742" w:rsidR="00C83C71" w:rsidRDefault="009D192A" w:rsidP="00F43AD5">
    <w:pPr>
      <w:pStyle w:val="Header"/>
      <w:jc w:val="right"/>
    </w:pPr>
    <w:r>
      <w:rPr>
        <w:noProof/>
      </w:rPr>
      <w:pict w14:anchorId="79F74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8267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C83C71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1" name="Picture 1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625E" w14:textId="7FEB2D16" w:rsidR="009D192A" w:rsidRDefault="009D192A">
    <w:pPr>
      <w:pStyle w:val="Header"/>
    </w:pPr>
    <w:r>
      <w:rPr>
        <w:noProof/>
      </w:rPr>
      <w:pict w14:anchorId="6E8BAF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8265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F3510" w14:textId="090199B3" w:rsidR="009D192A" w:rsidRDefault="009D192A">
    <w:pPr>
      <w:pStyle w:val="Header"/>
    </w:pPr>
    <w:r>
      <w:rPr>
        <w:noProof/>
      </w:rPr>
      <w:pict w14:anchorId="7AF0F5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8269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27BC" w14:textId="7C049FB0" w:rsidR="00C83C71" w:rsidRDefault="009D192A" w:rsidP="00F43AD5">
    <w:pPr>
      <w:pStyle w:val="Header"/>
      <w:jc w:val="right"/>
    </w:pPr>
    <w:r>
      <w:rPr>
        <w:noProof/>
      </w:rPr>
      <w:pict w14:anchorId="72BA9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8270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AC79E" w14:textId="2E91B176" w:rsidR="009D192A" w:rsidRDefault="009D192A">
    <w:pPr>
      <w:pStyle w:val="Header"/>
    </w:pPr>
    <w:r>
      <w:rPr>
        <w:noProof/>
      </w:rPr>
      <w:pict w14:anchorId="543FCC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208268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89447F"/>
    <w:multiLevelType w:val="hybridMultilevel"/>
    <w:tmpl w:val="F5FC5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043"/>
    <w:multiLevelType w:val="hybridMultilevel"/>
    <w:tmpl w:val="F2787DBC"/>
    <w:lvl w:ilvl="0" w:tplc="66924E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85D47"/>
    <w:multiLevelType w:val="hybridMultilevel"/>
    <w:tmpl w:val="4B6E29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580F"/>
    <w:rsid w:val="00017C82"/>
    <w:rsid w:val="00032B88"/>
    <w:rsid w:val="00032C86"/>
    <w:rsid w:val="00045E5E"/>
    <w:rsid w:val="00046DF5"/>
    <w:rsid w:val="00047D10"/>
    <w:rsid w:val="00051111"/>
    <w:rsid w:val="00052060"/>
    <w:rsid w:val="0005574A"/>
    <w:rsid w:val="00055FE1"/>
    <w:rsid w:val="00056EC2"/>
    <w:rsid w:val="00060B48"/>
    <w:rsid w:val="00067F32"/>
    <w:rsid w:val="00071807"/>
    <w:rsid w:val="000803E1"/>
    <w:rsid w:val="00084513"/>
    <w:rsid w:val="00084859"/>
    <w:rsid w:val="00092D94"/>
    <w:rsid w:val="000B0847"/>
    <w:rsid w:val="000B0868"/>
    <w:rsid w:val="000B3E12"/>
    <w:rsid w:val="000B3E78"/>
    <w:rsid w:val="000B57C4"/>
    <w:rsid w:val="000B7B48"/>
    <w:rsid w:val="000C096D"/>
    <w:rsid w:val="000C139A"/>
    <w:rsid w:val="000C2053"/>
    <w:rsid w:val="000C248C"/>
    <w:rsid w:val="000C6A3B"/>
    <w:rsid w:val="000D291C"/>
    <w:rsid w:val="000E5A54"/>
    <w:rsid w:val="000E63D3"/>
    <w:rsid w:val="000E67CF"/>
    <w:rsid w:val="000F0348"/>
    <w:rsid w:val="0010461E"/>
    <w:rsid w:val="00106FAA"/>
    <w:rsid w:val="00113443"/>
    <w:rsid w:val="001177AA"/>
    <w:rsid w:val="001269A7"/>
    <w:rsid w:val="00131092"/>
    <w:rsid w:val="00140E6A"/>
    <w:rsid w:val="00146545"/>
    <w:rsid w:val="00146B75"/>
    <w:rsid w:val="0015028F"/>
    <w:rsid w:val="0015266D"/>
    <w:rsid w:val="0015288A"/>
    <w:rsid w:val="00160F47"/>
    <w:rsid w:val="00175ED2"/>
    <w:rsid w:val="00177CA1"/>
    <w:rsid w:val="001811E8"/>
    <w:rsid w:val="001816E2"/>
    <w:rsid w:val="00183823"/>
    <w:rsid w:val="00183942"/>
    <w:rsid w:val="00191BE6"/>
    <w:rsid w:val="0019785E"/>
    <w:rsid w:val="001A009E"/>
    <w:rsid w:val="001A1287"/>
    <w:rsid w:val="001A240A"/>
    <w:rsid w:val="001A3859"/>
    <w:rsid w:val="001A3C9D"/>
    <w:rsid w:val="001A43F8"/>
    <w:rsid w:val="001B2A0E"/>
    <w:rsid w:val="001B79E5"/>
    <w:rsid w:val="001C6DE3"/>
    <w:rsid w:val="001D135B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890"/>
    <w:rsid w:val="00227E26"/>
    <w:rsid w:val="00227EC7"/>
    <w:rsid w:val="00244AD1"/>
    <w:rsid w:val="00245522"/>
    <w:rsid w:val="002463BC"/>
    <w:rsid w:val="002465CE"/>
    <w:rsid w:val="00252099"/>
    <w:rsid w:val="0025734A"/>
    <w:rsid w:val="00263255"/>
    <w:rsid w:val="002756CB"/>
    <w:rsid w:val="00276494"/>
    <w:rsid w:val="00277B0C"/>
    <w:rsid w:val="002873DD"/>
    <w:rsid w:val="00295898"/>
    <w:rsid w:val="002A5664"/>
    <w:rsid w:val="002B15ED"/>
    <w:rsid w:val="002B1A2C"/>
    <w:rsid w:val="002C1D50"/>
    <w:rsid w:val="002C34F2"/>
    <w:rsid w:val="002C58FF"/>
    <w:rsid w:val="002C745D"/>
    <w:rsid w:val="002C7AFE"/>
    <w:rsid w:val="002D05D2"/>
    <w:rsid w:val="002E0D61"/>
    <w:rsid w:val="002E4C7B"/>
    <w:rsid w:val="002F3A3F"/>
    <w:rsid w:val="002F6897"/>
    <w:rsid w:val="0030740C"/>
    <w:rsid w:val="00315833"/>
    <w:rsid w:val="00315E7F"/>
    <w:rsid w:val="003215EE"/>
    <w:rsid w:val="003224BF"/>
    <w:rsid w:val="003241A8"/>
    <w:rsid w:val="00324DFD"/>
    <w:rsid w:val="003253F0"/>
    <w:rsid w:val="003337DA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57F1A"/>
    <w:rsid w:val="00362895"/>
    <w:rsid w:val="00370DBF"/>
    <w:rsid w:val="00386093"/>
    <w:rsid w:val="003904A4"/>
    <w:rsid w:val="00391841"/>
    <w:rsid w:val="00391B6D"/>
    <w:rsid w:val="00394922"/>
    <w:rsid w:val="003A0E32"/>
    <w:rsid w:val="003A2B94"/>
    <w:rsid w:val="003B387D"/>
    <w:rsid w:val="003C0D58"/>
    <w:rsid w:val="003C2F6B"/>
    <w:rsid w:val="003D1160"/>
    <w:rsid w:val="003D4FA3"/>
    <w:rsid w:val="003E0807"/>
    <w:rsid w:val="003E51FB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414B5"/>
    <w:rsid w:val="00444482"/>
    <w:rsid w:val="00444B42"/>
    <w:rsid w:val="00445E44"/>
    <w:rsid w:val="004506E3"/>
    <w:rsid w:val="004509E2"/>
    <w:rsid w:val="004515EE"/>
    <w:rsid w:val="004529F0"/>
    <w:rsid w:val="00460A03"/>
    <w:rsid w:val="0047092F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58B6"/>
    <w:rsid w:val="004D16A3"/>
    <w:rsid w:val="004D2CB5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446A2"/>
    <w:rsid w:val="00544D2F"/>
    <w:rsid w:val="00551BD8"/>
    <w:rsid w:val="00581055"/>
    <w:rsid w:val="00587640"/>
    <w:rsid w:val="00591E38"/>
    <w:rsid w:val="005A19C5"/>
    <w:rsid w:val="005A3034"/>
    <w:rsid w:val="005A42CF"/>
    <w:rsid w:val="005A462D"/>
    <w:rsid w:val="005B253B"/>
    <w:rsid w:val="005B771D"/>
    <w:rsid w:val="005C5D16"/>
    <w:rsid w:val="005D3193"/>
    <w:rsid w:val="005D4A6E"/>
    <w:rsid w:val="005E6979"/>
    <w:rsid w:val="005E75CB"/>
    <w:rsid w:val="006013C1"/>
    <w:rsid w:val="006062D3"/>
    <w:rsid w:val="0060669E"/>
    <w:rsid w:val="00610F2E"/>
    <w:rsid w:val="00611399"/>
    <w:rsid w:val="00613D3A"/>
    <w:rsid w:val="006179BA"/>
    <w:rsid w:val="00624C4E"/>
    <w:rsid w:val="00625200"/>
    <w:rsid w:val="0063491C"/>
    <w:rsid w:val="006363A8"/>
    <w:rsid w:val="00636B90"/>
    <w:rsid w:val="00636DB7"/>
    <w:rsid w:val="00640900"/>
    <w:rsid w:val="00650905"/>
    <w:rsid w:val="00652296"/>
    <w:rsid w:val="006532ED"/>
    <w:rsid w:val="006549F2"/>
    <w:rsid w:val="006567B7"/>
    <w:rsid w:val="00657BFB"/>
    <w:rsid w:val="00662120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A0BDA"/>
    <w:rsid w:val="006B160A"/>
    <w:rsid w:val="006B4E6C"/>
    <w:rsid w:val="006B50B6"/>
    <w:rsid w:val="006C2CB4"/>
    <w:rsid w:val="006C6559"/>
    <w:rsid w:val="006D19D5"/>
    <w:rsid w:val="006D55F0"/>
    <w:rsid w:val="006D7059"/>
    <w:rsid w:val="006D79EA"/>
    <w:rsid w:val="006E5D05"/>
    <w:rsid w:val="00701053"/>
    <w:rsid w:val="00701507"/>
    <w:rsid w:val="00714021"/>
    <w:rsid w:val="00716A0F"/>
    <w:rsid w:val="00717D45"/>
    <w:rsid w:val="007208F7"/>
    <w:rsid w:val="007218AF"/>
    <w:rsid w:val="00734473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C30EB"/>
    <w:rsid w:val="007E063C"/>
    <w:rsid w:val="007E2A4B"/>
    <w:rsid w:val="007E307D"/>
    <w:rsid w:val="007E5BD9"/>
    <w:rsid w:val="007E6A4E"/>
    <w:rsid w:val="007E6C94"/>
    <w:rsid w:val="007F1005"/>
    <w:rsid w:val="007F25E0"/>
    <w:rsid w:val="007F5328"/>
    <w:rsid w:val="00804F5A"/>
    <w:rsid w:val="008101CE"/>
    <w:rsid w:val="00810C6D"/>
    <w:rsid w:val="00812887"/>
    <w:rsid w:val="00822E6B"/>
    <w:rsid w:val="00824362"/>
    <w:rsid w:val="00826F21"/>
    <w:rsid w:val="008323A6"/>
    <w:rsid w:val="00834CC8"/>
    <w:rsid w:val="00835E00"/>
    <w:rsid w:val="00837113"/>
    <w:rsid w:val="008414E4"/>
    <w:rsid w:val="00843E21"/>
    <w:rsid w:val="0084508E"/>
    <w:rsid w:val="008516C1"/>
    <w:rsid w:val="0085295D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40A1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10BF"/>
    <w:rsid w:val="00942CFD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900A1"/>
    <w:rsid w:val="0099303A"/>
    <w:rsid w:val="009971C2"/>
    <w:rsid w:val="009A0A9A"/>
    <w:rsid w:val="009A1254"/>
    <w:rsid w:val="009A7744"/>
    <w:rsid w:val="009B2FF2"/>
    <w:rsid w:val="009B380C"/>
    <w:rsid w:val="009B4843"/>
    <w:rsid w:val="009B6543"/>
    <w:rsid w:val="009C199D"/>
    <w:rsid w:val="009C1C00"/>
    <w:rsid w:val="009C278F"/>
    <w:rsid w:val="009C2B94"/>
    <w:rsid w:val="009C5874"/>
    <w:rsid w:val="009D192A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21B"/>
    <w:rsid w:val="00A2073D"/>
    <w:rsid w:val="00A20751"/>
    <w:rsid w:val="00A27E2D"/>
    <w:rsid w:val="00A31D99"/>
    <w:rsid w:val="00A357BA"/>
    <w:rsid w:val="00A35ADC"/>
    <w:rsid w:val="00A402A3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330B"/>
    <w:rsid w:val="00AB43C4"/>
    <w:rsid w:val="00AC32E7"/>
    <w:rsid w:val="00AC3A9F"/>
    <w:rsid w:val="00AC6D2F"/>
    <w:rsid w:val="00AE2745"/>
    <w:rsid w:val="00AE2F64"/>
    <w:rsid w:val="00AF42CB"/>
    <w:rsid w:val="00AF483F"/>
    <w:rsid w:val="00AF5E07"/>
    <w:rsid w:val="00AF5F06"/>
    <w:rsid w:val="00B00A25"/>
    <w:rsid w:val="00B1422A"/>
    <w:rsid w:val="00B1765C"/>
    <w:rsid w:val="00B17BB0"/>
    <w:rsid w:val="00B213C4"/>
    <w:rsid w:val="00B40C60"/>
    <w:rsid w:val="00B479A9"/>
    <w:rsid w:val="00B52EDF"/>
    <w:rsid w:val="00B65352"/>
    <w:rsid w:val="00B71188"/>
    <w:rsid w:val="00B76A41"/>
    <w:rsid w:val="00B87D4C"/>
    <w:rsid w:val="00B93646"/>
    <w:rsid w:val="00BA0B38"/>
    <w:rsid w:val="00BA1C07"/>
    <w:rsid w:val="00BA1C9A"/>
    <w:rsid w:val="00BA1DBB"/>
    <w:rsid w:val="00BA4510"/>
    <w:rsid w:val="00BA529A"/>
    <w:rsid w:val="00BA6099"/>
    <w:rsid w:val="00BB612A"/>
    <w:rsid w:val="00BC0F2A"/>
    <w:rsid w:val="00BD038A"/>
    <w:rsid w:val="00BD377F"/>
    <w:rsid w:val="00BD499F"/>
    <w:rsid w:val="00BD56DE"/>
    <w:rsid w:val="00BE229E"/>
    <w:rsid w:val="00BF2406"/>
    <w:rsid w:val="00C06E43"/>
    <w:rsid w:val="00C16315"/>
    <w:rsid w:val="00C20451"/>
    <w:rsid w:val="00C23338"/>
    <w:rsid w:val="00C3091E"/>
    <w:rsid w:val="00C40FF1"/>
    <w:rsid w:val="00C419E2"/>
    <w:rsid w:val="00C4524E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3C71"/>
    <w:rsid w:val="00C850A0"/>
    <w:rsid w:val="00C85A86"/>
    <w:rsid w:val="00C90577"/>
    <w:rsid w:val="00C978F0"/>
    <w:rsid w:val="00CA0B20"/>
    <w:rsid w:val="00CA58FE"/>
    <w:rsid w:val="00CB1CB1"/>
    <w:rsid w:val="00CB6BC1"/>
    <w:rsid w:val="00CB6CB8"/>
    <w:rsid w:val="00CC1A68"/>
    <w:rsid w:val="00CC2123"/>
    <w:rsid w:val="00CD2BFD"/>
    <w:rsid w:val="00CE5AD6"/>
    <w:rsid w:val="00CE617F"/>
    <w:rsid w:val="00CE78EF"/>
    <w:rsid w:val="00D01BA9"/>
    <w:rsid w:val="00D048F7"/>
    <w:rsid w:val="00D0517E"/>
    <w:rsid w:val="00D140FC"/>
    <w:rsid w:val="00D21D8C"/>
    <w:rsid w:val="00D31357"/>
    <w:rsid w:val="00D325CE"/>
    <w:rsid w:val="00D33220"/>
    <w:rsid w:val="00D334D1"/>
    <w:rsid w:val="00D34D28"/>
    <w:rsid w:val="00D44C89"/>
    <w:rsid w:val="00D516CD"/>
    <w:rsid w:val="00D668E6"/>
    <w:rsid w:val="00D70670"/>
    <w:rsid w:val="00D73B60"/>
    <w:rsid w:val="00D74D80"/>
    <w:rsid w:val="00D76624"/>
    <w:rsid w:val="00D87570"/>
    <w:rsid w:val="00D91CB9"/>
    <w:rsid w:val="00D97989"/>
    <w:rsid w:val="00D97D8D"/>
    <w:rsid w:val="00DA352E"/>
    <w:rsid w:val="00DC01E4"/>
    <w:rsid w:val="00DC7694"/>
    <w:rsid w:val="00DD1BF6"/>
    <w:rsid w:val="00DD2F9B"/>
    <w:rsid w:val="00DD35FD"/>
    <w:rsid w:val="00DE2513"/>
    <w:rsid w:val="00DE26E8"/>
    <w:rsid w:val="00DF3A89"/>
    <w:rsid w:val="00DF529B"/>
    <w:rsid w:val="00DF6F36"/>
    <w:rsid w:val="00E0084C"/>
    <w:rsid w:val="00E025AB"/>
    <w:rsid w:val="00E02B23"/>
    <w:rsid w:val="00E06F40"/>
    <w:rsid w:val="00E07CE8"/>
    <w:rsid w:val="00E26A07"/>
    <w:rsid w:val="00E32595"/>
    <w:rsid w:val="00E37CFD"/>
    <w:rsid w:val="00E41A26"/>
    <w:rsid w:val="00E45C37"/>
    <w:rsid w:val="00E46BCB"/>
    <w:rsid w:val="00E51CAF"/>
    <w:rsid w:val="00E51FE0"/>
    <w:rsid w:val="00E554DA"/>
    <w:rsid w:val="00E60F04"/>
    <w:rsid w:val="00E62AAC"/>
    <w:rsid w:val="00E67C2F"/>
    <w:rsid w:val="00E67EF5"/>
    <w:rsid w:val="00E804EA"/>
    <w:rsid w:val="00E80A71"/>
    <w:rsid w:val="00E82337"/>
    <w:rsid w:val="00E92499"/>
    <w:rsid w:val="00E949AF"/>
    <w:rsid w:val="00E96077"/>
    <w:rsid w:val="00EA084C"/>
    <w:rsid w:val="00EA0A06"/>
    <w:rsid w:val="00EA3BD9"/>
    <w:rsid w:val="00EA6243"/>
    <w:rsid w:val="00EA74AB"/>
    <w:rsid w:val="00EB3D1B"/>
    <w:rsid w:val="00ED1D89"/>
    <w:rsid w:val="00ED3304"/>
    <w:rsid w:val="00ED66BC"/>
    <w:rsid w:val="00EE51DD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25815"/>
    <w:rsid w:val="00F26E34"/>
    <w:rsid w:val="00F30844"/>
    <w:rsid w:val="00F43AD5"/>
    <w:rsid w:val="00F4402E"/>
    <w:rsid w:val="00F56DD0"/>
    <w:rsid w:val="00F6491C"/>
    <w:rsid w:val="00F67BBB"/>
    <w:rsid w:val="00F72F26"/>
    <w:rsid w:val="00F8245A"/>
    <w:rsid w:val="00F87D92"/>
    <w:rsid w:val="00F90AA7"/>
    <w:rsid w:val="00F92498"/>
    <w:rsid w:val="00F9496B"/>
    <w:rsid w:val="00F95058"/>
    <w:rsid w:val="00F970C9"/>
    <w:rsid w:val="00FA06A8"/>
    <w:rsid w:val="00FA3DF5"/>
    <w:rsid w:val="00FA741F"/>
    <w:rsid w:val="00FB4E07"/>
    <w:rsid w:val="00FB755A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Paragraph">
    <w:name w:val="List Paragraph"/>
    <w:basedOn w:val="Normal"/>
    <w:uiPriority w:val="34"/>
    <w:qFormat/>
    <w:rsid w:val="00DD35F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B57C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0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A9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A9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9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8DD754E365844A4E82EC69A07E229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DB53-9FC4-45A7-A37C-FDECC7AE23CB}"/>
      </w:docPartPr>
      <w:docPartBody>
        <w:p w:rsidR="00D21A9F" w:rsidRDefault="00D21A9F">
          <w:pPr>
            <w:pStyle w:val="8DD754E365844A4E82EC69A07E229629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320A77D155374054996F168A20882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0181-19B2-490D-83F0-D85D1689E2A9}"/>
      </w:docPartPr>
      <w:docPartBody>
        <w:p w:rsidR="00D21A9F" w:rsidRDefault="00D21A9F">
          <w:pPr>
            <w:pStyle w:val="320A77D155374054996F168A20882C2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EA51C8540A4D4F0A9062F5B1698D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35A6-51B4-4D9C-B1D2-B881B06F755D}"/>
      </w:docPartPr>
      <w:docPartBody>
        <w:p w:rsidR="00D21A9F" w:rsidRDefault="00D21A9F">
          <w:pPr>
            <w:pStyle w:val="EA51C8540A4D4F0A9062F5B1698DCBB0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C93B96D006A4415EBC3F529DC478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BC93E-3097-427A-BBEB-70CC4CB96972}"/>
      </w:docPartPr>
      <w:docPartBody>
        <w:p w:rsidR="00A77904" w:rsidRDefault="00D95627" w:rsidP="00D95627">
          <w:pPr>
            <w:pStyle w:val="C93B96D006A4415EBC3F529DC4780A84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5AF7C27A34D142EFB8C53460D4EC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A606-0842-4ACB-AA92-E3BC0F114C6A}"/>
      </w:docPartPr>
      <w:docPartBody>
        <w:p w:rsidR="002E4DAB" w:rsidRDefault="00C171FF" w:rsidP="00C171FF">
          <w:pPr>
            <w:pStyle w:val="5AF7C27A34D142EFB8C53460D4ECFDF6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0CF97C18C0E9446CBC175ED7276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06A5-C209-493D-8E03-51D25EF0D799}"/>
      </w:docPartPr>
      <w:docPartBody>
        <w:p w:rsidR="002E4DAB" w:rsidRDefault="00C171FF" w:rsidP="00C171FF">
          <w:pPr>
            <w:pStyle w:val="0CF97C18C0E9446CBC175ED7276E3518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37E60BEB4F8405C85031B2338F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8596-4126-4B0A-9919-F8AD169302F6}"/>
      </w:docPartPr>
      <w:docPartBody>
        <w:p w:rsidR="002E4DAB" w:rsidRDefault="00C171FF" w:rsidP="00C171FF">
          <w:pPr>
            <w:pStyle w:val="437E60BEB4F8405C85031B2338FDA14C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4273524CA2B4887A6C8A8EE8042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6EFA-C902-4B3A-AB80-C485D1C96D21}"/>
      </w:docPartPr>
      <w:docPartBody>
        <w:p w:rsidR="002E4DAB" w:rsidRDefault="00C171FF" w:rsidP="00C171FF">
          <w:pPr>
            <w:pStyle w:val="F4273524CA2B4887A6C8A8EE8042352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0A98F08068864FFC98C794341355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DA85-F3D6-4225-9720-EC8BD4E7E376}"/>
      </w:docPartPr>
      <w:docPartBody>
        <w:p w:rsidR="002E4DAB" w:rsidRDefault="00C171FF" w:rsidP="00C171FF">
          <w:pPr>
            <w:pStyle w:val="0A98F08068864FFC98C7943413557821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D052385D84F44ED398B2525C44B7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D3FC-B50C-4465-AF32-A56ABB226CFB}"/>
      </w:docPartPr>
      <w:docPartBody>
        <w:p w:rsidR="002E4DAB" w:rsidRDefault="00C171FF" w:rsidP="00C171FF">
          <w:pPr>
            <w:pStyle w:val="D052385D84F44ED398B2525C44B7453D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BFF4908BD7D4480BA08891BEEE34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D81B-58B5-4CA6-96FD-BE2D380D92C0}"/>
      </w:docPartPr>
      <w:docPartBody>
        <w:p w:rsidR="002E4DAB" w:rsidRDefault="00C171FF" w:rsidP="00C171FF">
          <w:pPr>
            <w:pStyle w:val="BFF4908BD7D4480BA08891BEEE34B84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89AE9F9E6024AC18C39AE520BD6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46AA-6032-4C98-ABE3-9CC5E00DD28D}"/>
      </w:docPartPr>
      <w:docPartBody>
        <w:p w:rsidR="002E4DAB" w:rsidRDefault="00C171FF" w:rsidP="00C171FF">
          <w:pPr>
            <w:pStyle w:val="989AE9F9E6024AC18C39AE520BD6B9CC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A6A37D32C5794517A9C9632C3239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AEF1-27F1-4AF8-981F-90E90519B7D3}"/>
      </w:docPartPr>
      <w:docPartBody>
        <w:p w:rsidR="002E4DAB" w:rsidRDefault="00C171FF" w:rsidP="00C171FF">
          <w:pPr>
            <w:pStyle w:val="A6A37D32C5794517A9C9632C3239CFC6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D6518EAC56504D9A86734AA3B0F6A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0CF2-CF08-450D-B785-7792B479D7B8}"/>
      </w:docPartPr>
      <w:docPartBody>
        <w:p w:rsidR="002E4DAB" w:rsidRDefault="00C171FF" w:rsidP="00C171FF">
          <w:pPr>
            <w:pStyle w:val="D6518EAC56504D9A86734AA3B0F6A37C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ADC59E82309A497990566DF08B69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B867-612F-4134-A1D1-FFFB77EB5C28}"/>
      </w:docPartPr>
      <w:docPartBody>
        <w:p w:rsidR="002E4DAB" w:rsidRDefault="00C171FF" w:rsidP="00C171FF">
          <w:pPr>
            <w:pStyle w:val="ADC59E82309A497990566DF08B69660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68CBCB17583D42C8879DE57B68C2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75FD-8170-4A48-8E6B-E2863FB3C0A4}"/>
      </w:docPartPr>
      <w:docPartBody>
        <w:p w:rsidR="002E4DAB" w:rsidRDefault="00C171FF" w:rsidP="00C171FF">
          <w:pPr>
            <w:pStyle w:val="68CBCB17583D42C8879DE57B68C2BC79"/>
          </w:pPr>
          <w:r w:rsidRPr="0051509C">
            <w:rPr>
              <w:rStyle w:val="PlaceholderText"/>
            </w:rPr>
            <w:t>Click here to enter standard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2E4DAB"/>
    <w:rsid w:val="00443003"/>
    <w:rsid w:val="004A3A0C"/>
    <w:rsid w:val="0086027A"/>
    <w:rsid w:val="00A77904"/>
    <w:rsid w:val="00C171FF"/>
    <w:rsid w:val="00D21A9F"/>
    <w:rsid w:val="00D9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1FF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85B5F74B7BF544BEA28A0C186A52555F">
    <w:name w:val="85B5F74B7BF544BEA28A0C186A52555F"/>
    <w:rsid w:val="00443003"/>
  </w:style>
  <w:style w:type="paragraph" w:customStyle="1" w:styleId="EEE72E84D89A451E9C34DED23B6FCB95">
    <w:name w:val="EEE72E84D89A451E9C34DED23B6FCB95"/>
    <w:rsid w:val="00443003"/>
  </w:style>
  <w:style w:type="paragraph" w:customStyle="1" w:styleId="1055ABA209C8480899DE4458DEB347AD">
    <w:name w:val="1055ABA209C8480899DE4458DEB347AD"/>
    <w:rsid w:val="00443003"/>
  </w:style>
  <w:style w:type="paragraph" w:customStyle="1" w:styleId="B15D4316710A42F3A26FD881847E7558">
    <w:name w:val="B15D4316710A42F3A26FD881847E7558"/>
    <w:rsid w:val="00443003"/>
  </w:style>
  <w:style w:type="paragraph" w:customStyle="1" w:styleId="BA7B9C1F57384ACFA02193E84A7CE41F">
    <w:name w:val="BA7B9C1F57384ACFA02193E84A7CE41F"/>
    <w:rsid w:val="00443003"/>
  </w:style>
  <w:style w:type="paragraph" w:customStyle="1" w:styleId="DE05E9B0D81440299ED8B6BF1BF2F5DB">
    <w:name w:val="DE05E9B0D81440299ED8B6BF1BF2F5DB"/>
    <w:rsid w:val="004A3A0C"/>
  </w:style>
  <w:style w:type="paragraph" w:customStyle="1" w:styleId="2F69EC71EE7B46BBB629EBD94C8B5FB5">
    <w:name w:val="2F69EC71EE7B46BBB629EBD94C8B5FB5"/>
    <w:rsid w:val="004A3A0C"/>
  </w:style>
  <w:style w:type="paragraph" w:customStyle="1" w:styleId="C93B96D006A4415EBC3F529DC4780A84">
    <w:name w:val="C93B96D006A4415EBC3F529DC4780A84"/>
    <w:rsid w:val="00D95627"/>
  </w:style>
  <w:style w:type="paragraph" w:customStyle="1" w:styleId="5AF7C27A34D142EFB8C53460D4ECFDF6">
    <w:name w:val="5AF7C27A34D142EFB8C53460D4ECFDF6"/>
    <w:rsid w:val="00C171FF"/>
  </w:style>
  <w:style w:type="paragraph" w:customStyle="1" w:styleId="0CF97C18C0E9446CBC175ED7276E3518">
    <w:name w:val="0CF97C18C0E9446CBC175ED7276E3518"/>
    <w:rsid w:val="00C171FF"/>
  </w:style>
  <w:style w:type="paragraph" w:customStyle="1" w:styleId="437E60BEB4F8405C85031B2338FDA14C">
    <w:name w:val="437E60BEB4F8405C85031B2338FDA14C"/>
    <w:rsid w:val="00C171FF"/>
  </w:style>
  <w:style w:type="paragraph" w:customStyle="1" w:styleId="F4273524CA2B4887A6C8A8EE8042352E">
    <w:name w:val="F4273524CA2B4887A6C8A8EE8042352E"/>
    <w:rsid w:val="00C171FF"/>
  </w:style>
  <w:style w:type="paragraph" w:customStyle="1" w:styleId="0A98F08068864FFC98C7943413557821">
    <w:name w:val="0A98F08068864FFC98C7943413557821"/>
    <w:rsid w:val="00C171FF"/>
  </w:style>
  <w:style w:type="paragraph" w:customStyle="1" w:styleId="D052385D84F44ED398B2525C44B7453D">
    <w:name w:val="D052385D84F44ED398B2525C44B7453D"/>
    <w:rsid w:val="00C171FF"/>
  </w:style>
  <w:style w:type="paragraph" w:customStyle="1" w:styleId="BFF4908BD7D4480BA08891BEEE34B84F">
    <w:name w:val="BFF4908BD7D4480BA08891BEEE34B84F"/>
    <w:rsid w:val="00C171FF"/>
  </w:style>
  <w:style w:type="paragraph" w:customStyle="1" w:styleId="989AE9F9E6024AC18C39AE520BD6B9CC">
    <w:name w:val="989AE9F9E6024AC18C39AE520BD6B9CC"/>
    <w:rsid w:val="00C171FF"/>
  </w:style>
  <w:style w:type="paragraph" w:customStyle="1" w:styleId="A6A37D32C5794517A9C9632C3239CFC6">
    <w:name w:val="A6A37D32C5794517A9C9632C3239CFC6"/>
    <w:rsid w:val="00C171FF"/>
  </w:style>
  <w:style w:type="paragraph" w:customStyle="1" w:styleId="D6518EAC56504D9A86734AA3B0F6A37C">
    <w:name w:val="D6518EAC56504D9A86734AA3B0F6A37C"/>
    <w:rsid w:val="00C171FF"/>
  </w:style>
  <w:style w:type="paragraph" w:customStyle="1" w:styleId="ADC59E82309A497990566DF08B69660D">
    <w:name w:val="ADC59E82309A497990566DF08B69660D"/>
    <w:rsid w:val="00C171FF"/>
  </w:style>
  <w:style w:type="paragraph" w:customStyle="1" w:styleId="68CBCB17583D42C8879DE57B68C2BC79">
    <w:name w:val="68CBCB17583D42C8879DE57B68C2BC79"/>
    <w:rsid w:val="00C17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AA50-945E-4A22-A02D-1AF9DD61DC27}">
  <ds:schemaRefs>
    <ds:schemaRef ds:uri="http://schemas.openxmlformats.org/package/2006/metadata/core-properties"/>
    <ds:schemaRef ds:uri="http://schemas.microsoft.com/office/2006/documentManagement/types"/>
    <ds:schemaRef ds:uri="bf54d604-3e62-4e70-ba33-9e9084b96a66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32DF5B-3EA8-4A83-BFA8-607DEBA2C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9A4A7-8AD3-4289-A8E0-8D8F0FA0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4983C-E6FE-4161-9944-22AD5A10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2019-11-11T05:37:00Z</dcterms:created>
  <dcterms:modified xsi:type="dcterms:W3CDTF">2019-12-03T01:32:00Z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