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4F0ACFDE" w14:textId="6A0608A7" w:rsidR="00BD499F" w:rsidRPr="004C23F4" w:rsidRDefault="00873F29" w:rsidP="00B40C60">
          <w:pPr>
            <w:pStyle w:val="Heading1"/>
            <w:jc w:val="center"/>
            <w:rPr>
              <w:rFonts w:ascii="Arial" w:hAnsi="Arial" w:cs="Arial"/>
            </w:rPr>
          </w:pPr>
          <w:r w:rsidRPr="00873F29">
            <w:rPr>
              <w:rFonts w:ascii="Arial" w:hAnsi="Arial" w:cs="Arial"/>
            </w:rPr>
            <w:t>Ethylenediamine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2"/>
        <w:gridCol w:w="5044"/>
      </w:tblGrid>
      <w:tr w:rsidR="00F43AD5" w:rsidRPr="004C23F4" w14:paraId="6A68AABA" w14:textId="77777777" w:rsidTr="00B76A41">
        <w:trPr>
          <w:cantSplit/>
          <w:tblHeader/>
        </w:trPr>
        <w:tc>
          <w:tcPr>
            <w:tcW w:w="4077" w:type="dxa"/>
          </w:tcPr>
          <w:p w14:paraId="6CD546C5" w14:textId="77777777" w:rsidR="00F43AD5" w:rsidRPr="00921DE7" w:rsidRDefault="00CB1CB1" w:rsidP="00B76A41">
            <w:pPr>
              <w:pStyle w:val="Tablerowright"/>
            </w:pPr>
            <w:bookmarkStart w:id="0" w:name="_Hlk25243869"/>
            <w:r w:rsidRPr="00921DE7">
              <w:t>CAS number:</w:t>
            </w:r>
          </w:p>
        </w:tc>
        <w:tc>
          <w:tcPr>
            <w:tcW w:w="5165" w:type="dxa"/>
          </w:tcPr>
          <w:p w14:paraId="4D08EC93" w14:textId="73BEED80" w:rsidR="00F43AD5" w:rsidRPr="00717D45" w:rsidRDefault="005365E0" w:rsidP="00B76A41">
            <w:pPr>
              <w:pStyle w:val="Tablefont"/>
            </w:pPr>
            <w:r w:rsidRPr="005365E0">
              <w:t>107-15-3</w:t>
            </w:r>
          </w:p>
        </w:tc>
      </w:tr>
      <w:bookmarkEnd w:id="0"/>
      <w:tr w:rsidR="00F43AD5" w:rsidRPr="004C23F4" w14:paraId="78D3224E" w14:textId="77777777" w:rsidTr="00B76A41">
        <w:trPr>
          <w:cantSplit/>
        </w:trPr>
        <w:tc>
          <w:tcPr>
            <w:tcW w:w="4077" w:type="dxa"/>
          </w:tcPr>
          <w:p w14:paraId="4C6A8DEB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2ED33CE0" w14:textId="5A56189F" w:rsidR="00F43AD5" w:rsidRPr="00717D45" w:rsidRDefault="005365E0" w:rsidP="00B76A41">
            <w:pPr>
              <w:pStyle w:val="Tablefont"/>
            </w:pPr>
            <w:r w:rsidRPr="005365E0">
              <w:t>1,2-Diaminoethane</w:t>
            </w:r>
            <w:r w:rsidR="00174DB0">
              <w:t>, EDA</w:t>
            </w:r>
          </w:p>
        </w:tc>
      </w:tr>
      <w:tr w:rsidR="00F43AD5" w:rsidRPr="004C23F4" w14:paraId="339CBEF9" w14:textId="77777777" w:rsidTr="00B76A41">
        <w:trPr>
          <w:cantSplit/>
        </w:trPr>
        <w:tc>
          <w:tcPr>
            <w:tcW w:w="4077" w:type="dxa"/>
          </w:tcPr>
          <w:p w14:paraId="56D80EBC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39BA1AA3" w14:textId="3069F51E" w:rsidR="00F43AD5" w:rsidRPr="00717D45" w:rsidRDefault="006653F5" w:rsidP="00B76A41">
            <w:pPr>
              <w:pStyle w:val="Tablefont"/>
            </w:pPr>
            <w:r>
              <w:t>C</w:t>
            </w:r>
            <w:r w:rsidRPr="006653F5">
              <w:rPr>
                <w:vertAlign w:val="subscript"/>
              </w:rPr>
              <w:t>2</w:t>
            </w:r>
            <w:r>
              <w:t>H</w:t>
            </w:r>
            <w:r w:rsidRPr="006653F5">
              <w:rPr>
                <w:vertAlign w:val="subscript"/>
              </w:rPr>
              <w:t>8</w:t>
            </w:r>
            <w:r>
              <w:t>N</w:t>
            </w:r>
            <w:r w:rsidRPr="006653F5">
              <w:rPr>
                <w:vertAlign w:val="subscript"/>
              </w:rPr>
              <w:t>2</w:t>
            </w:r>
          </w:p>
        </w:tc>
      </w:tr>
      <w:tr w:rsidR="00F43AD5" w:rsidRPr="004C23F4" w14:paraId="7BE688E4" w14:textId="77777777" w:rsidTr="00B76A41">
        <w:trPr>
          <w:cantSplit/>
        </w:trPr>
        <w:tc>
          <w:tcPr>
            <w:tcW w:w="4077" w:type="dxa"/>
          </w:tcPr>
          <w:p w14:paraId="1F57358B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6FADDC3A" w14:textId="38D55581" w:rsidR="00F43AD5" w:rsidRPr="00B40C60" w:rsidRDefault="006653F5" w:rsidP="00B76A41">
            <w:pPr>
              <w:pStyle w:val="Tablerowheading"/>
              <w:rPr>
                <w:b w:val="0"/>
              </w:rPr>
            </w:pPr>
            <w:r w:rsidRPr="006653F5">
              <w:rPr>
                <w:b w:val="0"/>
              </w:rPr>
              <w:t>—</w:t>
            </w:r>
          </w:p>
        </w:tc>
      </w:tr>
    </w:tbl>
    <w:p w14:paraId="561E7B5A" w14:textId="349C288D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68140B">
            <w:rPr>
              <w:rStyle w:val="WESstatus"/>
            </w:rPr>
            <w:t>(retained)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534FC492" w14:textId="77777777" w:rsidTr="00174DB0">
        <w:trPr>
          <w:cantSplit/>
          <w:tblHeader/>
        </w:trPr>
        <w:tc>
          <w:tcPr>
            <w:tcW w:w="4005" w:type="dxa"/>
            <w:vAlign w:val="center"/>
          </w:tcPr>
          <w:p w14:paraId="6A6F1485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42731094" w14:textId="1346EB0C" w:rsidR="002C7AFE" w:rsidRPr="0068140B" w:rsidRDefault="0068140B" w:rsidP="00017C82">
            <w:pPr>
              <w:pStyle w:val="Tablefont"/>
              <w:rPr>
                <w:b/>
              </w:rPr>
            </w:pPr>
            <w:r w:rsidRPr="0068140B">
              <w:rPr>
                <w:b/>
              </w:rPr>
              <w:t>10 ppm (25 mg/m</w:t>
            </w:r>
            <w:r w:rsidRPr="0068140B"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</w:tr>
      <w:tr w:rsidR="002C7AFE" w:rsidRPr="004C23F4" w14:paraId="0A36F621" w14:textId="77777777" w:rsidTr="00174DB0">
        <w:trPr>
          <w:cantSplit/>
        </w:trPr>
        <w:tc>
          <w:tcPr>
            <w:tcW w:w="4005" w:type="dxa"/>
            <w:vAlign w:val="center"/>
          </w:tcPr>
          <w:p w14:paraId="363507D5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2B7A3459" w14:textId="012E769B" w:rsidR="002C7AFE" w:rsidRPr="00EB3D1B" w:rsidRDefault="0068140B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16BD5F27" w14:textId="77777777" w:rsidTr="00174DB0">
        <w:trPr>
          <w:cantSplit/>
        </w:trPr>
        <w:tc>
          <w:tcPr>
            <w:tcW w:w="4005" w:type="dxa"/>
            <w:vAlign w:val="center"/>
          </w:tcPr>
          <w:p w14:paraId="798D0183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31800144" w14:textId="7577DDCC" w:rsidR="002C7AFE" w:rsidRPr="00EB3D1B" w:rsidRDefault="0068140B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2AF2C2AF" w14:textId="77777777" w:rsidTr="00174DB0">
        <w:trPr>
          <w:cantSplit/>
        </w:trPr>
        <w:tc>
          <w:tcPr>
            <w:tcW w:w="4005" w:type="dxa"/>
          </w:tcPr>
          <w:p w14:paraId="79F81FA6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3EE32442" w14:textId="3C450320" w:rsidR="002C7AFE" w:rsidRPr="00EB3D1B" w:rsidRDefault="00107BAA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Sk., DSEN, RSEN</w:t>
            </w:r>
          </w:p>
        </w:tc>
      </w:tr>
      <w:tr w:rsidR="002C7AFE" w:rsidRPr="004C23F4" w14:paraId="01E253BA" w14:textId="77777777" w:rsidTr="00174DB0">
        <w:trPr>
          <w:cantSplit/>
        </w:trPr>
        <w:tc>
          <w:tcPr>
            <w:tcW w:w="4005" w:type="dxa"/>
            <w:vAlign w:val="center"/>
          </w:tcPr>
          <w:p w14:paraId="3E236AB9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6FC2090E" w14:textId="4965AD35" w:rsidR="002C7AFE" w:rsidRPr="00EB3D1B" w:rsidRDefault="006653F5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1</w:t>
            </w:r>
            <w:r w:rsidR="009E0F7D">
              <w:rPr>
                <w:b/>
              </w:rPr>
              <w:t>,</w:t>
            </w:r>
            <w:r>
              <w:rPr>
                <w:b/>
              </w:rPr>
              <w:t>000 ppm</w:t>
            </w:r>
          </w:p>
        </w:tc>
      </w:tr>
      <w:tr w:rsidR="00174DB0" w:rsidRPr="004C23F4" w14:paraId="73C5A13D" w14:textId="77777777" w:rsidTr="00EA1D08">
        <w:trPr>
          <w:cantSplit/>
        </w:trPr>
        <w:tc>
          <w:tcPr>
            <w:tcW w:w="9026" w:type="dxa"/>
            <w:gridSpan w:val="2"/>
            <w:vAlign w:val="center"/>
          </w:tcPr>
          <w:p w14:paraId="7EA0A422" w14:textId="4B3280D4" w:rsidR="00174DB0" w:rsidRPr="00EB3D1B" w:rsidRDefault="00174DB0" w:rsidP="00174DB0">
            <w:pPr>
              <w:pStyle w:val="Tablefont"/>
              <w:rPr>
                <w:b/>
              </w:rPr>
            </w:pPr>
            <w:r w:rsidRPr="006B6F82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DA727E810A55408799321AA7DA2317BD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6B6F82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7FC788C8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  <w:bookmarkStart w:id="1" w:name="_GoBack"/>
      <w:bookmarkEnd w:id="1"/>
    </w:p>
    <w:p w14:paraId="2F9C3764" w14:textId="4A8FB86B" w:rsidR="00D62460" w:rsidRPr="00D62460" w:rsidRDefault="00D46E7A" w:rsidP="00D62460">
      <w:pPr>
        <w:rPr>
          <w:rFonts w:cs="Arial"/>
        </w:rPr>
      </w:pPr>
      <w:r>
        <w:rPr>
          <w:rFonts w:cs="Arial"/>
        </w:rPr>
        <w:t>The current</w:t>
      </w:r>
      <w:r w:rsidRPr="00D62460">
        <w:rPr>
          <w:rFonts w:cs="Arial"/>
        </w:rPr>
        <w:t xml:space="preserve"> </w:t>
      </w:r>
      <w:r w:rsidR="00D62460" w:rsidRPr="00D62460">
        <w:rPr>
          <w:rFonts w:cs="Arial"/>
        </w:rPr>
        <w:t xml:space="preserve">TWA of </w:t>
      </w:r>
      <w:r w:rsidR="00D62460">
        <w:rPr>
          <w:rFonts w:cs="Arial"/>
        </w:rPr>
        <w:t>10</w:t>
      </w:r>
      <w:r w:rsidR="00D62460" w:rsidRPr="00D62460">
        <w:rPr>
          <w:rFonts w:cs="Arial"/>
        </w:rPr>
        <w:t xml:space="preserve"> ppm (</w:t>
      </w:r>
      <w:r w:rsidR="00D62460">
        <w:rPr>
          <w:rFonts w:cs="Arial"/>
        </w:rPr>
        <w:t>25</w:t>
      </w:r>
      <w:r w:rsidR="00D62460" w:rsidRPr="00D62460">
        <w:rPr>
          <w:rFonts w:cs="Arial"/>
        </w:rPr>
        <w:t xml:space="preserve"> mg/m</w:t>
      </w:r>
      <w:r w:rsidR="00D62460" w:rsidRPr="00D62460">
        <w:rPr>
          <w:rFonts w:cs="Arial"/>
          <w:vertAlign w:val="superscript"/>
        </w:rPr>
        <w:t>3</w:t>
      </w:r>
      <w:r w:rsidR="00D62460" w:rsidRPr="00D62460">
        <w:rPr>
          <w:rFonts w:cs="Arial"/>
        </w:rPr>
        <w:t xml:space="preserve">) </w:t>
      </w:r>
      <w:proofErr w:type="gramStart"/>
      <w:r w:rsidR="00D62460" w:rsidRPr="00D62460">
        <w:rPr>
          <w:rFonts w:cs="Arial"/>
        </w:rPr>
        <w:t xml:space="preserve">is </w:t>
      </w:r>
      <w:r w:rsidR="00D14B31">
        <w:rPr>
          <w:rFonts w:cs="Arial"/>
        </w:rPr>
        <w:t>recommended</w:t>
      </w:r>
      <w:proofErr w:type="gramEnd"/>
      <w:r w:rsidR="00D62460" w:rsidRPr="00D62460">
        <w:rPr>
          <w:rFonts w:cs="Arial"/>
        </w:rPr>
        <w:t xml:space="preserve"> to protect for </w:t>
      </w:r>
      <w:r w:rsidR="00897D81">
        <w:rPr>
          <w:rFonts w:cs="Arial"/>
        </w:rPr>
        <w:t>irritant effects</w:t>
      </w:r>
      <w:r w:rsidR="00D62460" w:rsidRPr="00D62460">
        <w:rPr>
          <w:rFonts w:cs="Arial"/>
        </w:rPr>
        <w:t xml:space="preserve"> in exposed workers. </w:t>
      </w:r>
    </w:p>
    <w:p w14:paraId="76E21BB3" w14:textId="77777777" w:rsidR="00C7155E" w:rsidRPr="004C23F4" w:rsidRDefault="00F10C97" w:rsidP="003365A5">
      <w:pPr>
        <w:pStyle w:val="Heading2"/>
      </w:pPr>
      <w:r>
        <w:t>Discussion and conclusions</w:t>
      </w:r>
    </w:p>
    <w:p w14:paraId="1CF3BC62" w14:textId="56A6803C" w:rsidR="002718F0" w:rsidRDefault="00C342EC" w:rsidP="006639B4">
      <w:proofErr w:type="spellStart"/>
      <w:r>
        <w:t>Ethylenediamine</w:t>
      </w:r>
      <w:proofErr w:type="spellEnd"/>
      <w:r>
        <w:t xml:space="preserve"> (EDA) </w:t>
      </w:r>
      <w:proofErr w:type="gramStart"/>
      <w:r>
        <w:t>is used</w:t>
      </w:r>
      <w:proofErr w:type="gramEnd"/>
      <w:r>
        <w:t xml:space="preserve"> as an intermediate in the manufacture of chelating agents, fungicides, synthetic waxes, polyamide resins, and corrosion inhibitors.</w:t>
      </w:r>
      <w:r w:rsidR="0075585B">
        <w:t xml:space="preserve"> </w:t>
      </w:r>
      <w:r w:rsidR="002718F0">
        <w:t>It ca</w:t>
      </w:r>
      <w:r w:rsidR="006B50E3">
        <w:t>u</w:t>
      </w:r>
      <w:r w:rsidR="002718F0">
        <w:t xml:space="preserve">ses irritation of skin, mucous membrane and respiratory tract. Undiluted form is corrosive to skin and causes permanent damage to eyes. </w:t>
      </w:r>
    </w:p>
    <w:p w14:paraId="5B4D91AB" w14:textId="1B60BA45" w:rsidR="006639B4" w:rsidRDefault="00720E2E" w:rsidP="006639B4">
      <w:r>
        <w:t xml:space="preserve">No </w:t>
      </w:r>
      <w:r w:rsidR="00FB709F">
        <w:t xml:space="preserve">human exposure </w:t>
      </w:r>
      <w:r>
        <w:t>data are available</w:t>
      </w:r>
      <w:r w:rsidR="00D46E7A">
        <w:t>.</w:t>
      </w:r>
      <w:r>
        <w:t xml:space="preserve"> </w:t>
      </w:r>
      <w:r w:rsidR="00D46E7A">
        <w:t xml:space="preserve">EDA </w:t>
      </w:r>
      <w:proofErr w:type="gramStart"/>
      <w:r w:rsidR="0038162A">
        <w:t>is reported</w:t>
      </w:r>
      <w:proofErr w:type="gramEnd"/>
      <w:r w:rsidR="0038162A">
        <w:t xml:space="preserve"> to cause irritation </w:t>
      </w:r>
      <w:r w:rsidR="00D46E7A">
        <w:t xml:space="preserve">and allergenic </w:t>
      </w:r>
      <w:r w:rsidR="0038162A">
        <w:t xml:space="preserve">effects </w:t>
      </w:r>
      <w:r w:rsidR="00D46E7A">
        <w:t>in s</w:t>
      </w:r>
      <w:r w:rsidR="0075585B">
        <w:t>tudies of workers</w:t>
      </w:r>
      <w:r w:rsidR="00D14B31">
        <w:t>. Exposure</w:t>
      </w:r>
      <w:r w:rsidR="0075585B">
        <w:t xml:space="preserve"> </w:t>
      </w:r>
      <w:r w:rsidR="00D14B31">
        <w:t>can contribute to dermatitis</w:t>
      </w:r>
      <w:r w:rsidR="0075585B">
        <w:t xml:space="preserve"> and cause allergenic effect</w:t>
      </w:r>
      <w:r w:rsidR="00B40E94">
        <w:t>s</w:t>
      </w:r>
      <w:r w:rsidR="0075585B">
        <w:t xml:space="preserve"> on </w:t>
      </w:r>
      <w:r w:rsidR="00B40E94">
        <w:t xml:space="preserve">the </w:t>
      </w:r>
      <w:r w:rsidR="0075585B">
        <w:t xml:space="preserve">respiratory tract of susceptible individuals. </w:t>
      </w:r>
      <w:r w:rsidR="00D14B31">
        <w:t>O</w:t>
      </w:r>
      <w:r w:rsidR="0075585B">
        <w:t xml:space="preserve">ccupational exposure </w:t>
      </w:r>
      <w:proofErr w:type="gramStart"/>
      <w:r w:rsidR="00D14B31">
        <w:t>has also been linked</w:t>
      </w:r>
      <w:proofErr w:type="gramEnd"/>
      <w:r w:rsidR="00D14B31">
        <w:t xml:space="preserve"> to asthma </w:t>
      </w:r>
      <w:r w:rsidR="0075585B">
        <w:t>(ACGIH, 20</w:t>
      </w:r>
      <w:r w:rsidR="00B873F5">
        <w:t>18</w:t>
      </w:r>
      <w:r w:rsidR="00B40E94">
        <w:t xml:space="preserve">, </w:t>
      </w:r>
      <w:r w:rsidR="003B2883">
        <w:t>DFG,</w:t>
      </w:r>
      <w:r w:rsidR="00D50D9C">
        <w:t> </w:t>
      </w:r>
      <w:r w:rsidR="003B2883">
        <w:t>2003</w:t>
      </w:r>
      <w:r w:rsidR="0075585B">
        <w:t xml:space="preserve">). EDA </w:t>
      </w:r>
      <w:r w:rsidR="00D46E7A">
        <w:t xml:space="preserve">is </w:t>
      </w:r>
      <w:r w:rsidR="0075585B">
        <w:t xml:space="preserve">corrosive to </w:t>
      </w:r>
      <w:r w:rsidR="00D14B31">
        <w:t xml:space="preserve">the </w:t>
      </w:r>
      <w:r w:rsidR="0075585B">
        <w:t>skin of rabbits</w:t>
      </w:r>
      <w:r w:rsidR="00D46E7A">
        <w:t xml:space="preserve">. A NOAEC of 59 ppm </w:t>
      </w:r>
      <w:proofErr w:type="gramStart"/>
      <w:r w:rsidR="00D46E7A">
        <w:t>was reported</w:t>
      </w:r>
      <w:proofErr w:type="gramEnd"/>
      <w:r w:rsidR="00D46E7A">
        <w:t xml:space="preserve"> in inhalational studies in rats</w:t>
      </w:r>
      <w:r w:rsidR="001C0724">
        <w:t xml:space="preserve"> </w:t>
      </w:r>
      <w:r w:rsidR="003B2883">
        <w:t>(ACGIH, 20</w:t>
      </w:r>
      <w:r w:rsidR="00B873F5">
        <w:t>18</w:t>
      </w:r>
      <w:r w:rsidR="003B2883">
        <w:t>).</w:t>
      </w:r>
      <w:r w:rsidR="00616DE9">
        <w:t xml:space="preserve"> </w:t>
      </w:r>
      <w:r w:rsidR="00211472">
        <w:t>T</w:t>
      </w:r>
      <w:r w:rsidR="00616DE9">
        <w:t>he AC</w:t>
      </w:r>
      <w:r w:rsidR="00D14B31">
        <w:t>GIH recommend a TLV-TWA of 10 </w:t>
      </w:r>
      <w:r w:rsidR="00616DE9">
        <w:t>ppm</w:t>
      </w:r>
      <w:r w:rsidR="00D1741B">
        <w:t xml:space="preserve"> for occupational exposure.</w:t>
      </w:r>
      <w:r w:rsidR="00616DE9">
        <w:t xml:space="preserve"> </w:t>
      </w:r>
    </w:p>
    <w:p w14:paraId="5FFC71D7" w14:textId="601F5D94" w:rsidR="003B2883" w:rsidRPr="004C23F4" w:rsidRDefault="00AD336E" w:rsidP="006639B4">
      <w:pPr>
        <w:rPr>
          <w:rFonts w:cs="Arial"/>
        </w:rPr>
      </w:pPr>
      <w:r>
        <w:t xml:space="preserve">In the absence of additional data, it </w:t>
      </w:r>
      <w:proofErr w:type="gramStart"/>
      <w:r>
        <w:t>is recommended</w:t>
      </w:r>
      <w:proofErr w:type="gramEnd"/>
      <w:r>
        <w:t xml:space="preserve"> that t</w:t>
      </w:r>
      <w:r w:rsidR="003B2883" w:rsidRPr="00176B16">
        <w:t>he current TWA</w:t>
      </w:r>
      <w:r w:rsidR="003B2883">
        <w:t xml:space="preserve"> </w:t>
      </w:r>
      <w:r>
        <w:t>b</w:t>
      </w:r>
      <w:r w:rsidR="003B2883" w:rsidRPr="00176B16">
        <w:t xml:space="preserve">e retained </w:t>
      </w:r>
      <w:r>
        <w:t>in-line with recommendations from the ACGIH (2018).</w:t>
      </w:r>
      <w:r w:rsidR="00D1741B">
        <w:t xml:space="preserve"> </w:t>
      </w:r>
    </w:p>
    <w:p w14:paraId="49DA3FD6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35463046" w14:textId="645BB544" w:rsidR="005365E0" w:rsidRDefault="005365E0" w:rsidP="005365E0">
      <w:pPr>
        <w:rPr>
          <w:rFonts w:cs="Arial"/>
        </w:rPr>
      </w:pPr>
      <w:r>
        <w:rPr>
          <w:rFonts w:cs="Arial"/>
        </w:rPr>
        <w:t xml:space="preserve">Not classified as a carcinogen according to the Globally Harmonized System of Classification and Labelling </w:t>
      </w:r>
      <w:r w:rsidR="00174DB0">
        <w:rPr>
          <w:rFonts w:cs="Arial"/>
        </w:rPr>
        <w:t xml:space="preserve">of </w:t>
      </w:r>
      <w:r>
        <w:rPr>
          <w:rFonts w:cs="Arial"/>
        </w:rPr>
        <w:t xml:space="preserve">Chemicals (GHS). </w:t>
      </w:r>
    </w:p>
    <w:p w14:paraId="60B6AB8B" w14:textId="2F352CD8" w:rsidR="005365E0" w:rsidRDefault="00107BAA" w:rsidP="005365E0">
      <w:pPr>
        <w:rPr>
          <w:rFonts w:cs="Arial"/>
        </w:rPr>
      </w:pPr>
      <w:r>
        <w:rPr>
          <w:rFonts w:cs="Arial"/>
        </w:rPr>
        <w:t xml:space="preserve">Classified as a skin </w:t>
      </w:r>
      <w:r w:rsidR="00174DB0">
        <w:rPr>
          <w:rFonts w:cs="Arial"/>
        </w:rPr>
        <w:t xml:space="preserve">sensitiser </w:t>
      </w:r>
      <w:r>
        <w:rPr>
          <w:rFonts w:cs="Arial"/>
        </w:rPr>
        <w:t>and respiratory sensitiser according to the GHS</w:t>
      </w:r>
      <w:r w:rsidR="005365E0">
        <w:rPr>
          <w:rFonts w:cs="Arial"/>
        </w:rPr>
        <w:t>.</w:t>
      </w:r>
    </w:p>
    <w:p w14:paraId="5ADFE396" w14:textId="5B214B44" w:rsidR="005365E0" w:rsidRDefault="0068140B" w:rsidP="005365E0">
      <w:pPr>
        <w:rPr>
          <w:rFonts w:cs="Arial"/>
        </w:rPr>
      </w:pPr>
      <w:r w:rsidRPr="0068140B">
        <w:rPr>
          <w:rFonts w:cs="Arial"/>
        </w:rPr>
        <w:t xml:space="preserve">A skin notation </w:t>
      </w:r>
      <w:proofErr w:type="gramStart"/>
      <w:r w:rsidRPr="0068140B">
        <w:rPr>
          <w:rFonts w:cs="Arial"/>
        </w:rPr>
        <w:t>is warranted</w:t>
      </w:r>
      <w:proofErr w:type="gramEnd"/>
      <w:r w:rsidRPr="0068140B">
        <w:rPr>
          <w:rFonts w:cs="Arial"/>
        </w:rPr>
        <w:t xml:space="preserve"> </w:t>
      </w:r>
      <w:r>
        <w:rPr>
          <w:rFonts w:cs="Arial"/>
        </w:rPr>
        <w:t xml:space="preserve">based on </w:t>
      </w:r>
      <w:r>
        <w:t>percutaneous absorption in animals</w:t>
      </w:r>
      <w:r w:rsidR="005365E0" w:rsidRPr="0068140B">
        <w:rPr>
          <w:rFonts w:cs="Arial"/>
        </w:rPr>
        <w:t>.</w:t>
      </w:r>
    </w:p>
    <w:p w14:paraId="43BC15B9" w14:textId="77777777" w:rsidR="0025734A" w:rsidRPr="004C23F4" w:rsidRDefault="0025734A">
      <w:pPr>
        <w:rPr>
          <w:rFonts w:cs="Arial"/>
        </w:rPr>
      </w:pPr>
    </w:p>
    <w:p w14:paraId="70E498B4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0CC315A6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42892BBE" w14:textId="77777777" w:rsidTr="00837082">
        <w:trPr>
          <w:gridAfter w:val="1"/>
          <w:wAfter w:w="8" w:type="pct"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33223648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31E2C790" w14:textId="77777777" w:rsidTr="00837082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5FEBB8" w14:textId="349450AF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6653F5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6653F5">
                  <w:t>TWA: 10 ppm (25 mg/m</w:t>
                </w:r>
                <w:r w:rsidR="006653F5" w:rsidRPr="006653F5">
                  <w:rPr>
                    <w:vertAlign w:val="superscript"/>
                  </w:rPr>
                  <w:t>3</w:t>
                </w:r>
                <w:r w:rsidR="006653F5">
                  <w:t>)</w:t>
                </w:r>
              </w:sdtContent>
            </w:sdt>
          </w:p>
        </w:tc>
      </w:tr>
      <w:tr w:rsidR="00C978F0" w:rsidRPr="00DA352E" w14:paraId="22B6EC4B" w14:textId="77777777" w:rsidTr="00837082">
        <w:trPr>
          <w:gridAfter w:val="1"/>
          <w:wAfter w:w="8" w:type="pct"/>
        </w:trPr>
        <w:tc>
          <w:tcPr>
            <w:tcW w:w="4992" w:type="pct"/>
          </w:tcPr>
          <w:p w14:paraId="640EB15B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6341BC46" w14:textId="77777777" w:rsidTr="00837082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5E93B2DD" w14:textId="11CFEF95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6653F5">
                  <w:t>2001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6653F5">
                  <w:t>TLV-TWA: 10 ppm (25 mg/m</w:t>
                </w:r>
                <w:r w:rsidR="006653F5" w:rsidRPr="006653F5">
                  <w:rPr>
                    <w:vertAlign w:val="superscript"/>
                  </w:rPr>
                  <w:t>3</w:t>
                </w:r>
                <w:r w:rsidR="006653F5">
                  <w:t>)</w:t>
                </w:r>
              </w:sdtContent>
            </w:sdt>
          </w:p>
        </w:tc>
      </w:tr>
      <w:tr w:rsidR="00C978F0" w:rsidRPr="00DA352E" w14:paraId="24ECD3D8" w14:textId="77777777" w:rsidTr="00837082">
        <w:trPr>
          <w:gridAfter w:val="1"/>
          <w:wAfter w:w="8" w:type="pct"/>
        </w:trPr>
        <w:tc>
          <w:tcPr>
            <w:tcW w:w="4992" w:type="pct"/>
          </w:tcPr>
          <w:p w14:paraId="1CF3A646" w14:textId="44AEE2B4" w:rsidR="00392354" w:rsidRDefault="00392354" w:rsidP="003365A5">
            <w:pPr>
              <w:pStyle w:val="Tabletextprimarysource"/>
            </w:pPr>
            <w:r>
              <w:t xml:space="preserve">TLV-TWA recommended </w:t>
            </w:r>
            <w:proofErr w:type="gramStart"/>
            <w:r>
              <w:t>to minimise</w:t>
            </w:r>
            <w:proofErr w:type="gramEnd"/>
            <w:r>
              <w:t xml:space="preserve"> potential for skin, mucous membrane and respiratory tract irritation.</w:t>
            </w:r>
            <w:r w:rsidR="0047066A">
              <w:t xml:space="preserve"> TWA based on no adverse effects observed in study of rats administered 23 mg/kg/d and inhalation study of rats exposed to 59 ppm.</w:t>
            </w:r>
          </w:p>
          <w:p w14:paraId="3AA780C7" w14:textId="77777777" w:rsidR="000F20C4" w:rsidRDefault="000F20C4" w:rsidP="000F20C4">
            <w:pPr>
              <w:pStyle w:val="Tabletextprimarysource"/>
            </w:pPr>
            <w:r>
              <w:t>Summary of data:</w:t>
            </w:r>
          </w:p>
          <w:p w14:paraId="46261CDC" w14:textId="77777777" w:rsidR="000F20C4" w:rsidRDefault="000F20C4" w:rsidP="003365A5">
            <w:pPr>
              <w:pStyle w:val="Tabletextprimarysource"/>
            </w:pPr>
            <w:r>
              <w:t>Human data:</w:t>
            </w:r>
          </w:p>
          <w:p w14:paraId="3576ABFC" w14:textId="6E5C33FC" w:rsidR="002A226E" w:rsidRDefault="000F20C4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Study of workers over 4 </w:t>
            </w:r>
            <w:proofErr w:type="spellStart"/>
            <w:r>
              <w:t>y</w:t>
            </w:r>
            <w:r w:rsidR="009E0F7D">
              <w:t>r</w:t>
            </w:r>
            <w:proofErr w:type="spellEnd"/>
            <w:r>
              <w:t xml:space="preserve"> period following exposure to a mixture of ethylene amines</w:t>
            </w:r>
            <w:r w:rsidR="000A34C0">
              <w:t xml:space="preserve"> including EDA (concentration</w:t>
            </w:r>
            <w:r w:rsidR="00374E3D">
              <w:t xml:space="preserve"> not</w:t>
            </w:r>
            <w:r w:rsidR="000A34C0">
              <w:t xml:space="preserve"> provided) found </w:t>
            </w:r>
            <w:r w:rsidR="002A226E">
              <w:t xml:space="preserve">ethylene amines: </w:t>
            </w:r>
          </w:p>
          <w:p w14:paraId="4D8146BD" w14:textId="6C9302EF" w:rsidR="002A226E" w:rsidRDefault="000A34C0" w:rsidP="00837082">
            <w:pPr>
              <w:pStyle w:val="ListBullet"/>
              <w:numPr>
                <w:ilvl w:val="0"/>
                <w:numId w:val="14"/>
              </w:numPr>
              <w:spacing w:before="60" w:after="60"/>
              <w:contextualSpacing w:val="0"/>
            </w:pPr>
            <w:r>
              <w:t xml:space="preserve">were an important cause of dermatitis </w:t>
            </w:r>
          </w:p>
          <w:p w14:paraId="59F6A957" w14:textId="6C3183EB" w:rsidR="002A226E" w:rsidRDefault="000A34C0" w:rsidP="00837082">
            <w:pPr>
              <w:pStyle w:val="ListBullet"/>
              <w:numPr>
                <w:ilvl w:val="0"/>
                <w:numId w:val="14"/>
              </w:numPr>
              <w:spacing w:before="60" w:after="60"/>
              <w:contextualSpacing w:val="0"/>
            </w:pPr>
            <w:r>
              <w:t xml:space="preserve">were </w:t>
            </w:r>
            <w:proofErr w:type="spellStart"/>
            <w:r>
              <w:t>irritative</w:t>
            </w:r>
            <w:proofErr w:type="spellEnd"/>
            <w:r>
              <w:t xml:space="preserve"> and allergenic and </w:t>
            </w:r>
          </w:p>
          <w:p w14:paraId="1CBE655C" w14:textId="34B68AC6" w:rsidR="000F20C4" w:rsidRDefault="000A34C0" w:rsidP="00837082">
            <w:pPr>
              <w:pStyle w:val="ListBullet"/>
              <w:numPr>
                <w:ilvl w:val="0"/>
                <w:numId w:val="14"/>
              </w:numPr>
              <w:spacing w:before="60" w:after="60"/>
              <w:contextualSpacing w:val="0"/>
            </w:pPr>
            <w:r>
              <w:t>can cause allergenic effect on respiratory tract of susceptible individuals</w:t>
            </w:r>
          </w:p>
          <w:p w14:paraId="3489090E" w14:textId="586E1957" w:rsidR="008046D2" w:rsidRDefault="00374E3D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>Report of fatal poisoning following dermal and inhalation exposure</w:t>
            </w:r>
            <w:r w:rsidR="008046D2">
              <w:t>:</w:t>
            </w:r>
            <w:r w:rsidR="00626E9D">
              <w:t xml:space="preserve"> </w:t>
            </w:r>
          </w:p>
          <w:p w14:paraId="477BD080" w14:textId="6AF40FCB" w:rsidR="008046D2" w:rsidRDefault="008046D2" w:rsidP="00837082">
            <w:pPr>
              <w:pStyle w:val="ListBullet"/>
              <w:numPr>
                <w:ilvl w:val="0"/>
                <w:numId w:val="15"/>
              </w:numPr>
              <w:spacing w:before="60" w:after="60"/>
              <w:contextualSpacing w:val="0"/>
            </w:pPr>
            <w:r>
              <w:t>e</w:t>
            </w:r>
            <w:r w:rsidR="00626E9D">
              <w:t xml:space="preserve">xposure resulted in lysis of </w:t>
            </w:r>
            <w:r w:rsidR="006B6F82">
              <w:t>RBC</w:t>
            </w:r>
            <w:r w:rsidR="00626E9D">
              <w:t xml:space="preserve"> causing </w:t>
            </w:r>
            <w:proofErr w:type="spellStart"/>
            <w:r w:rsidR="00626E9D">
              <w:t>tubulonephritis</w:t>
            </w:r>
            <w:proofErr w:type="spellEnd"/>
            <w:r w:rsidR="00626E9D">
              <w:t xml:space="preserve"> with anuria and lethal </w:t>
            </w:r>
            <w:r w:rsidR="006B6F82">
              <w:t>hyperkalaemia</w:t>
            </w:r>
            <w:r w:rsidR="00626E9D">
              <w:t xml:space="preserve"> (elevated potassium in the blood)</w:t>
            </w:r>
          </w:p>
          <w:p w14:paraId="2558AF9E" w14:textId="7279ED71" w:rsidR="000A34C0" w:rsidRDefault="008046D2" w:rsidP="00837082">
            <w:pPr>
              <w:pStyle w:val="ListBullet"/>
              <w:numPr>
                <w:ilvl w:val="0"/>
                <w:numId w:val="15"/>
              </w:numPr>
              <w:spacing w:before="60" w:after="60"/>
              <w:contextualSpacing w:val="0"/>
            </w:pPr>
            <w:r>
              <w:t xml:space="preserve">death 55 h after the exposure from cardiac collapse </w:t>
            </w:r>
          </w:p>
          <w:p w14:paraId="675EB395" w14:textId="191DD824" w:rsidR="00626E9D" w:rsidRDefault="00626E9D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>100 ppm in vapour reported irritating to humans and caused severe eye injury</w:t>
            </w:r>
          </w:p>
          <w:p w14:paraId="4DCAEA07" w14:textId="2F00886A" w:rsidR="00626E9D" w:rsidRDefault="00626E9D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Occupational exposure linked to asthma and produced cough, wheezing, chest tightness and 26% reduction in forced expiratory volume </w:t>
            </w:r>
            <w:r w:rsidR="006B6F82">
              <w:t>&gt;</w:t>
            </w:r>
            <w:r>
              <w:t>4 h</w:t>
            </w:r>
            <w:r w:rsidR="001C6834">
              <w:t xml:space="preserve"> in a respiratory provocation study of the worker</w:t>
            </w:r>
            <w:r w:rsidR="006B6F82">
              <w:t>.</w:t>
            </w:r>
          </w:p>
          <w:p w14:paraId="4F319E85" w14:textId="77777777" w:rsidR="00626E9D" w:rsidRDefault="00EA2547" w:rsidP="00EA2547">
            <w:pPr>
              <w:pStyle w:val="Tabletextprimarysource"/>
            </w:pPr>
            <w:r>
              <w:t>Animal data:</w:t>
            </w:r>
          </w:p>
          <w:p w14:paraId="2D076FC7" w14:textId="47DE81CA" w:rsidR="00EA2547" w:rsidRDefault="00EA2547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100% mortality in </w:t>
            </w:r>
            <w:proofErr w:type="gramStart"/>
            <w:r>
              <w:t>6</w:t>
            </w:r>
            <w:proofErr w:type="gramEnd"/>
            <w:r>
              <w:t xml:space="preserve"> rats exposed to 4,000 ppm for 8 h; 2,000 ppm produced no lethality. Vapour was irritating to eyes, mucous membranes and respiratory tract</w:t>
            </w:r>
          </w:p>
          <w:p w14:paraId="03AA978A" w14:textId="77777777" w:rsidR="00EA2547" w:rsidRDefault="00EA2547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 w:rsidRPr="00174DB0">
              <w:rPr>
                <w:vertAlign w:val="subscript"/>
              </w:rPr>
              <w:t>50</w:t>
            </w:r>
            <w:r>
              <w:t>: 657 mg/kg (rabbits, dermal)</w:t>
            </w:r>
          </w:p>
          <w:p w14:paraId="38A7B780" w14:textId="77777777" w:rsidR="00EA2547" w:rsidRDefault="00EA2547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 w:rsidRPr="00174DB0">
              <w:rPr>
                <w:vertAlign w:val="subscript"/>
              </w:rPr>
              <w:t>50</w:t>
            </w:r>
            <w:r>
              <w:t>: 1,160 mg/kg (rats, oral)</w:t>
            </w:r>
          </w:p>
          <w:p w14:paraId="3456F11D" w14:textId="1ABFBFF1" w:rsidR="00D84F93" w:rsidRDefault="00EA2547" w:rsidP="00D84F93">
            <w:pPr>
              <w:pStyle w:val="ListBullet"/>
              <w:ind w:left="720"/>
            </w:pPr>
            <w:r>
              <w:t>Undiluted EDA corrosive to rabbit skin with complete tissue destruction after 6</w:t>
            </w:r>
            <w:r w:rsidR="009E0F7D">
              <w:t>–</w:t>
            </w:r>
            <w:r w:rsidR="006B6F82">
              <w:t>12 min</w:t>
            </w:r>
            <w:r w:rsidR="00D84F93">
              <w:t>:</w:t>
            </w:r>
            <w:r w:rsidR="006B6F82">
              <w:t xml:space="preserve"> </w:t>
            </w:r>
          </w:p>
          <w:p w14:paraId="1B03B0E2" w14:textId="02545C02" w:rsidR="00D84F93" w:rsidRDefault="00EA2547" w:rsidP="00837082">
            <w:pPr>
              <w:pStyle w:val="ListBullet"/>
              <w:numPr>
                <w:ilvl w:val="0"/>
                <w:numId w:val="16"/>
              </w:numPr>
              <w:spacing w:before="60" w:after="60"/>
              <w:contextualSpacing w:val="0"/>
            </w:pPr>
            <w:r>
              <w:t>10% solution</w:t>
            </w:r>
            <w:r w:rsidR="00A808F5">
              <w:t xml:space="preserve"> moderately irritating </w:t>
            </w:r>
          </w:p>
          <w:p w14:paraId="2781E27C" w14:textId="77777777" w:rsidR="00D84F93" w:rsidRDefault="00A808F5" w:rsidP="00837082">
            <w:pPr>
              <w:pStyle w:val="ListBullet"/>
              <w:numPr>
                <w:ilvl w:val="0"/>
                <w:numId w:val="16"/>
              </w:numPr>
              <w:spacing w:before="60" w:after="60"/>
              <w:contextualSpacing w:val="0"/>
            </w:pPr>
            <w:r>
              <w:t xml:space="preserve">1% solution produced slight irritation and </w:t>
            </w:r>
          </w:p>
          <w:p w14:paraId="32F58136" w14:textId="66CB7CDC" w:rsidR="00EA2547" w:rsidRDefault="00A808F5" w:rsidP="00837082">
            <w:pPr>
              <w:pStyle w:val="ListBullet"/>
              <w:numPr>
                <w:ilvl w:val="0"/>
                <w:numId w:val="16"/>
              </w:numPr>
              <w:spacing w:before="60" w:after="60"/>
              <w:contextualSpacing w:val="0"/>
            </w:pPr>
            <w:r>
              <w:t>0.1% solution caused no irritation</w:t>
            </w:r>
          </w:p>
          <w:p w14:paraId="218D2D8C" w14:textId="4DC737DA" w:rsidR="00F9104C" w:rsidRDefault="00A808F5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>Undiluted EDA produced permanent eye damage in rabbits</w:t>
            </w:r>
            <w:r w:rsidR="00F9104C">
              <w:t>:</w:t>
            </w:r>
            <w:r>
              <w:t xml:space="preserve"> </w:t>
            </w:r>
          </w:p>
          <w:p w14:paraId="7A6FB368" w14:textId="77777777" w:rsidR="00F9104C" w:rsidRDefault="00A808F5" w:rsidP="00837082">
            <w:pPr>
              <w:pStyle w:val="ListBullet"/>
              <w:numPr>
                <w:ilvl w:val="0"/>
                <w:numId w:val="17"/>
              </w:numPr>
              <w:spacing w:before="60" w:after="60"/>
              <w:contextualSpacing w:val="0"/>
            </w:pPr>
            <w:r>
              <w:t xml:space="preserve">15% solution causing corneal damage and </w:t>
            </w:r>
          </w:p>
          <w:p w14:paraId="06EE0893" w14:textId="601AAD1A" w:rsidR="00A808F5" w:rsidRDefault="00A808F5" w:rsidP="00837082">
            <w:pPr>
              <w:pStyle w:val="ListBullet"/>
              <w:numPr>
                <w:ilvl w:val="0"/>
                <w:numId w:val="17"/>
              </w:numPr>
              <w:spacing w:before="60" w:after="60"/>
              <w:contextualSpacing w:val="0"/>
            </w:pPr>
            <w:r>
              <w:t>5% solution only minor injury</w:t>
            </w:r>
          </w:p>
          <w:p w14:paraId="34C445EA" w14:textId="23C9BAEE" w:rsidR="00F9104C" w:rsidRDefault="00A808F5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Repeated inhalation </w:t>
            </w:r>
            <w:r w:rsidR="00211472">
              <w:t xml:space="preserve">study </w:t>
            </w:r>
            <w:r>
              <w:t>of rats, exposed for 7 h/d, 5 d/</w:t>
            </w:r>
            <w:proofErr w:type="spellStart"/>
            <w:r>
              <w:t>wk</w:t>
            </w:r>
            <w:proofErr w:type="spellEnd"/>
            <w:r>
              <w:t xml:space="preserve"> for 30 d at 0, 59, 132, 225, or 484 ppm produced</w:t>
            </w:r>
            <w:r w:rsidR="00F9104C">
              <w:t>:</w:t>
            </w:r>
            <w:r>
              <w:t xml:space="preserve"> </w:t>
            </w:r>
          </w:p>
          <w:p w14:paraId="67E3377C" w14:textId="718D8E05" w:rsidR="00F9104C" w:rsidRDefault="00A808F5" w:rsidP="00837082">
            <w:pPr>
              <w:pStyle w:val="ListBullet"/>
              <w:numPr>
                <w:ilvl w:val="0"/>
                <w:numId w:val="18"/>
              </w:numPr>
              <w:spacing w:before="60" w:after="60"/>
              <w:contextualSpacing w:val="0"/>
            </w:pPr>
            <w:r>
              <w:t xml:space="preserve">100% lethality at 484 ppm </w:t>
            </w:r>
          </w:p>
          <w:p w14:paraId="0375E794" w14:textId="1A40405F" w:rsidR="00F9104C" w:rsidRDefault="00A808F5" w:rsidP="00837082">
            <w:pPr>
              <w:pStyle w:val="ListBullet"/>
              <w:numPr>
                <w:ilvl w:val="0"/>
                <w:numId w:val="18"/>
              </w:numPr>
              <w:spacing w:before="60" w:after="60"/>
              <w:contextualSpacing w:val="0"/>
            </w:pPr>
            <w:r>
              <w:t xml:space="preserve">80% lethality </w:t>
            </w:r>
            <w:r w:rsidR="00C95DFF">
              <w:t xml:space="preserve">and liver and kidney effects </w:t>
            </w:r>
            <w:r>
              <w:t>at 225 ppm</w:t>
            </w:r>
            <w:r w:rsidR="00C95DFF">
              <w:t xml:space="preserve"> </w:t>
            </w:r>
          </w:p>
          <w:p w14:paraId="6CDF483E" w14:textId="1DC65087" w:rsidR="00F9104C" w:rsidRDefault="00C95DFF" w:rsidP="00837082">
            <w:pPr>
              <w:pStyle w:val="ListBullet"/>
              <w:numPr>
                <w:ilvl w:val="0"/>
                <w:numId w:val="18"/>
              </w:numPr>
              <w:spacing w:before="60" w:after="60"/>
              <w:contextualSpacing w:val="0"/>
            </w:pPr>
            <w:r>
              <w:t xml:space="preserve">depilation only at 132 ppm </w:t>
            </w:r>
          </w:p>
          <w:p w14:paraId="340B2B6E" w14:textId="0BD0BAD4" w:rsidR="00A808F5" w:rsidRDefault="00F9104C" w:rsidP="00837082">
            <w:pPr>
              <w:pStyle w:val="ListBullet"/>
              <w:numPr>
                <w:ilvl w:val="0"/>
                <w:numId w:val="18"/>
              </w:numPr>
              <w:spacing w:before="60" w:after="60"/>
              <w:contextualSpacing w:val="0"/>
            </w:pPr>
            <w:r>
              <w:t>n</w:t>
            </w:r>
            <w:r w:rsidR="00C95DFF" w:rsidRPr="00F56B34">
              <w:t>o effects at 59 ppm</w:t>
            </w:r>
          </w:p>
          <w:p w14:paraId="083343C0" w14:textId="77777777" w:rsidR="00C95DFF" w:rsidRDefault="00C95DFF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Studies of </w:t>
            </w:r>
            <w:proofErr w:type="spellStart"/>
            <w:r>
              <w:t>dihydrochloride</w:t>
            </w:r>
            <w:proofErr w:type="spellEnd"/>
            <w:r>
              <w:t xml:space="preserve"> salt of EDA found hydrogen chloride moiety did not influence the toxicity of EDA following oral administration</w:t>
            </w:r>
          </w:p>
          <w:p w14:paraId="0377B6C8" w14:textId="2416994E" w:rsidR="00C95DFF" w:rsidRDefault="007455BB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NOAEL: </w:t>
            </w:r>
            <w:r w:rsidR="0047066A">
              <w:t xml:space="preserve">23 mg/kg/d (rats, </w:t>
            </w:r>
            <w:r w:rsidR="006009F5">
              <w:t xml:space="preserve">dietary, </w:t>
            </w:r>
            <w:r w:rsidR="0047066A">
              <w:t xml:space="preserve">90 d); </w:t>
            </w:r>
            <w:r>
              <w:t>100 mg/kg/d (mice, oral gavage, 90 d)</w:t>
            </w:r>
            <w:r w:rsidR="006009F5">
              <w:t>; 59 ppm (rats, 30 d)</w:t>
            </w:r>
          </w:p>
          <w:p w14:paraId="2702531C" w14:textId="77777777" w:rsidR="001A21A2" w:rsidRDefault="001A21A2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lastRenderedPageBreak/>
              <w:t>No carcinogenic response in dermal (mice) or dietary (rats) administration of EDA</w:t>
            </w:r>
          </w:p>
          <w:p w14:paraId="41D7B3BF" w14:textId="78A2E980" w:rsidR="001A21A2" w:rsidRDefault="001A21A2" w:rsidP="00837082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 mutagenicity reported in five strains of </w:t>
            </w:r>
            <w:r>
              <w:rPr>
                <w:i/>
              </w:rPr>
              <w:t>Salmonella</w:t>
            </w:r>
            <w:r>
              <w:t xml:space="preserve">, </w:t>
            </w:r>
            <w:r>
              <w:rPr>
                <w:i/>
              </w:rPr>
              <w:t>in vivo</w:t>
            </w:r>
            <w:r>
              <w:t xml:space="preserve"> or </w:t>
            </w:r>
            <w:r>
              <w:rPr>
                <w:i/>
              </w:rPr>
              <w:t>in vitro</w:t>
            </w:r>
            <w:r>
              <w:t xml:space="preserve"> tests</w:t>
            </w:r>
            <w:r w:rsidR="00F56B34">
              <w:t>.</w:t>
            </w:r>
          </w:p>
          <w:p w14:paraId="61055C43" w14:textId="77777777" w:rsidR="00D50D9C" w:rsidRDefault="00D50D9C" w:rsidP="001A21A2">
            <w:pPr>
              <w:pStyle w:val="Tablefont"/>
            </w:pPr>
          </w:p>
          <w:p w14:paraId="0F373C8A" w14:textId="77777777" w:rsidR="001A21A2" w:rsidRDefault="001A21A2" w:rsidP="001A21A2">
            <w:pPr>
              <w:pStyle w:val="Tablefont"/>
            </w:pPr>
            <w:r>
              <w:t xml:space="preserve">A skin notation </w:t>
            </w:r>
            <w:proofErr w:type="gramStart"/>
            <w:r>
              <w:t>is recommended</w:t>
            </w:r>
            <w:proofErr w:type="gramEnd"/>
            <w:r>
              <w:t xml:space="preserve"> based on percutaneous absorption in animals. </w:t>
            </w:r>
            <w:r w:rsidR="00407103">
              <w:t>I</w:t>
            </w:r>
            <w:r>
              <w:t xml:space="preserve">nsufficient data to </w:t>
            </w:r>
            <w:r w:rsidR="00407103">
              <w:t xml:space="preserve">recommend SEN notation or </w:t>
            </w:r>
            <w:r>
              <w:t>TLV-STEL</w:t>
            </w:r>
            <w:r w:rsidR="00407103">
              <w:t xml:space="preserve">, although based on link to asthma in worker exposed to EDA, the recommended TLV may not be protective of possible sensitisation or allergic reaction in susceptible workers. </w:t>
            </w:r>
          </w:p>
          <w:p w14:paraId="6BE0AA29" w14:textId="4497D0EF" w:rsidR="008E155A" w:rsidRPr="00DA352E" w:rsidRDefault="008E155A" w:rsidP="001A21A2">
            <w:pPr>
              <w:pStyle w:val="Tablefont"/>
            </w:pPr>
          </w:p>
        </w:tc>
      </w:tr>
      <w:tr w:rsidR="00C978F0" w:rsidRPr="00DA352E" w14:paraId="6E6FE657" w14:textId="77777777" w:rsidTr="00837082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C87BD24" w14:textId="17761B9D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8E67D0">
              <w:lastRenderedPageBreak/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7B2889">
                  <w:t>2003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7B2889">
                  <w:t>Not assigned</w:t>
                </w:r>
              </w:sdtContent>
            </w:sdt>
          </w:p>
        </w:tc>
      </w:tr>
      <w:tr w:rsidR="00C978F0" w:rsidRPr="00DA352E" w14:paraId="3D7873C2" w14:textId="77777777" w:rsidTr="00837082">
        <w:trPr>
          <w:gridAfter w:val="1"/>
          <w:wAfter w:w="8" w:type="pct"/>
        </w:trPr>
        <w:tc>
          <w:tcPr>
            <w:tcW w:w="4992" w:type="pct"/>
          </w:tcPr>
          <w:p w14:paraId="50B91AF3" w14:textId="77777777" w:rsidR="00A808F5" w:rsidRDefault="00A808F5" w:rsidP="00A808F5">
            <w:pPr>
              <w:pStyle w:val="Tabletextprimarysource"/>
              <w:tabs>
                <w:tab w:val="left" w:pos="2654"/>
              </w:tabs>
            </w:pPr>
            <w:r>
              <w:t>Summary of additional data:</w:t>
            </w:r>
          </w:p>
          <w:p w14:paraId="46B95576" w14:textId="3137BC8B" w:rsidR="00636CD3" w:rsidRPr="001B277E" w:rsidRDefault="00751FD4" w:rsidP="00A16541">
            <w:pPr>
              <w:pStyle w:val="ListBullet"/>
              <w:ind w:left="720"/>
            </w:pPr>
            <w:r w:rsidRPr="001B277E">
              <w:rPr>
                <w:rStyle w:val="checkbox"/>
                <w:rFonts w:ascii="Arial" w:hAnsi="Arial" w:cs="Arial"/>
              </w:rPr>
              <w:t xml:space="preserve">Human study identified </w:t>
            </w:r>
            <w:r w:rsidRPr="00211472">
              <w:t>6 subjects from plastics industry developed occupational bronchial asthma following sensitisation and re-exposure</w:t>
            </w:r>
            <w:r w:rsidR="00636CD3" w:rsidRPr="00211472">
              <w:t>:</w:t>
            </w:r>
            <w:r w:rsidRPr="00211472">
              <w:t xml:space="preserve"> </w:t>
            </w:r>
          </w:p>
          <w:p w14:paraId="095815AB" w14:textId="27D253DC" w:rsidR="00636CD3" w:rsidRPr="001B277E" w:rsidRDefault="00636CD3" w:rsidP="00837082">
            <w:pPr>
              <w:pStyle w:val="ListBullet"/>
              <w:numPr>
                <w:ilvl w:val="0"/>
                <w:numId w:val="19"/>
              </w:numPr>
            </w:pPr>
            <w:r w:rsidRPr="00211472">
              <w:t>b</w:t>
            </w:r>
            <w:r w:rsidR="00751FD4" w:rsidRPr="00211472">
              <w:t xml:space="preserve">ronchial provocation test with 0.1% in saline produced immediate reaction </w:t>
            </w:r>
          </w:p>
          <w:p w14:paraId="2AC7BDCC" w14:textId="36698675" w:rsidR="00C978F0" w:rsidRPr="001B277E" w:rsidRDefault="00751FD4" w:rsidP="00837082">
            <w:pPr>
              <w:pStyle w:val="ListBullet"/>
              <w:numPr>
                <w:ilvl w:val="0"/>
                <w:numId w:val="19"/>
              </w:numPr>
            </w:pPr>
            <w:r w:rsidRPr="00211472">
              <w:t xml:space="preserve">a range of investigations were performed on the </w:t>
            </w:r>
            <w:r w:rsidRPr="001B277E">
              <w:t>individuals</w:t>
            </w:r>
            <w:r w:rsidRPr="00211472">
              <w:t xml:space="preserve"> with results indicating they had been sensitised </w:t>
            </w:r>
          </w:p>
          <w:p w14:paraId="79553884" w14:textId="77777777" w:rsidR="00751FD4" w:rsidRPr="00837082" w:rsidRDefault="00AF2783" w:rsidP="00A16541">
            <w:pPr>
              <w:pStyle w:val="ListBullet"/>
              <w:ind w:left="720"/>
            </w:pPr>
            <w:r>
              <w:rPr>
                <w:lang w:val="en"/>
              </w:rPr>
              <w:t xml:space="preserve">Positive results in </w:t>
            </w:r>
            <w:proofErr w:type="spellStart"/>
            <w:r w:rsidRPr="00A16541">
              <w:t>intracutaneous</w:t>
            </w:r>
            <w:proofErr w:type="spellEnd"/>
            <w:r>
              <w:rPr>
                <w:lang w:val="en"/>
              </w:rPr>
              <w:t xml:space="preserve"> test, </w:t>
            </w:r>
            <w:proofErr w:type="spellStart"/>
            <w:r>
              <w:rPr>
                <w:lang w:val="en"/>
              </w:rPr>
              <w:t>Prausnitz-K</w:t>
            </w:r>
            <w:r>
              <w:rPr>
                <w:rFonts w:cs="Arial"/>
                <w:lang w:val="en"/>
              </w:rPr>
              <w:t>ϋstner</w:t>
            </w:r>
            <w:proofErr w:type="spellEnd"/>
            <w:r>
              <w:rPr>
                <w:rFonts w:cs="Arial"/>
                <w:lang w:val="en"/>
              </w:rPr>
              <w:t xml:space="preserve"> test, and delayed reaction from bronchial provocation provide evidence of immunological mechanism.</w:t>
            </w:r>
          </w:p>
          <w:p w14:paraId="55E496C2" w14:textId="44D6A3C3" w:rsidR="00D50D9C" w:rsidRPr="00DA352E" w:rsidRDefault="00D50D9C" w:rsidP="00837082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C978F0" w:rsidRPr="00DA352E" w14:paraId="2DF4F1B2" w14:textId="77777777" w:rsidTr="00837082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50FDA6CD" w14:textId="1A7C1875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6653F5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6653F5">
                  <w:t>NA</w:t>
                </w:r>
                <w:proofErr w:type="spellEnd"/>
              </w:sdtContent>
            </w:sdt>
          </w:p>
        </w:tc>
      </w:tr>
      <w:tr w:rsidR="00C978F0" w:rsidRPr="00DA352E" w14:paraId="1033B253" w14:textId="77777777" w:rsidTr="00837082">
        <w:trPr>
          <w:gridAfter w:val="1"/>
          <w:wAfter w:w="8" w:type="pct"/>
        </w:trPr>
        <w:tc>
          <w:tcPr>
            <w:tcW w:w="4992" w:type="pct"/>
          </w:tcPr>
          <w:p w14:paraId="28E910BC" w14:textId="4B5067CC" w:rsidR="00C978F0" w:rsidRPr="00DA352E" w:rsidRDefault="006653F5" w:rsidP="003365A5">
            <w:pPr>
              <w:pStyle w:val="Tabletextprimarysource"/>
            </w:pPr>
            <w:r>
              <w:t>No report</w:t>
            </w:r>
            <w:r w:rsidR="00A16541">
              <w:t>.</w:t>
            </w:r>
          </w:p>
        </w:tc>
      </w:tr>
      <w:tr w:rsidR="00DA352E" w:rsidRPr="00DA352E" w14:paraId="5F42CD9E" w14:textId="77777777" w:rsidTr="00837082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A4CCC35" w14:textId="237056E2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6653F5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6653F5">
                  <w:t>NA</w:t>
                </w:r>
                <w:proofErr w:type="spellEnd"/>
              </w:sdtContent>
            </w:sdt>
          </w:p>
        </w:tc>
      </w:tr>
      <w:tr w:rsidR="00DA352E" w:rsidRPr="00DA352E" w14:paraId="735C13E4" w14:textId="77777777" w:rsidTr="00837082">
        <w:trPr>
          <w:gridAfter w:val="1"/>
          <w:wAfter w:w="8" w:type="pct"/>
        </w:trPr>
        <w:tc>
          <w:tcPr>
            <w:tcW w:w="4992" w:type="pct"/>
          </w:tcPr>
          <w:p w14:paraId="20D7015D" w14:textId="45C4BD31" w:rsidR="00DA352E" w:rsidRPr="00DA352E" w:rsidRDefault="006653F5" w:rsidP="003365A5">
            <w:pPr>
              <w:pStyle w:val="Tabletextprimarysource"/>
            </w:pPr>
            <w:r>
              <w:t>No report</w:t>
            </w:r>
            <w:r w:rsidR="00A16541">
              <w:t>.</w:t>
            </w:r>
          </w:p>
        </w:tc>
      </w:tr>
      <w:tr w:rsidR="00DA352E" w:rsidRPr="00DA352E" w14:paraId="324F97D6" w14:textId="77777777" w:rsidTr="00837082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E73FA21" w14:textId="31C5FA82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7B288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7B2889">
                  <w:t>NA</w:t>
                </w:r>
                <w:proofErr w:type="spellEnd"/>
              </w:sdtContent>
            </w:sdt>
          </w:p>
        </w:tc>
      </w:tr>
      <w:tr w:rsidR="00DA352E" w:rsidRPr="00DA352E" w14:paraId="0D07E514" w14:textId="77777777" w:rsidTr="00837082">
        <w:trPr>
          <w:gridAfter w:val="1"/>
          <w:wAfter w:w="8" w:type="pct"/>
        </w:trPr>
        <w:tc>
          <w:tcPr>
            <w:tcW w:w="4992" w:type="pct"/>
          </w:tcPr>
          <w:p w14:paraId="3280AA09" w14:textId="01B4EB54" w:rsidR="00DA352E" w:rsidRPr="00DA352E" w:rsidRDefault="007B2889" w:rsidP="003365A5">
            <w:pPr>
              <w:pStyle w:val="Tabletextprimarysource"/>
            </w:pPr>
            <w:r>
              <w:t>No report</w:t>
            </w:r>
            <w:r w:rsidR="00A16541">
              <w:t>.</w:t>
            </w:r>
          </w:p>
        </w:tc>
      </w:tr>
    </w:tbl>
    <w:p w14:paraId="02EBE086" w14:textId="77777777" w:rsidR="00A20751" w:rsidRPr="004C23F4" w:rsidRDefault="00A20751" w:rsidP="003365A5">
      <w:pPr>
        <w:pStyle w:val="Heading3"/>
      </w:pPr>
      <w:bookmarkStart w:id="2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5"/>
        <w:gridCol w:w="423"/>
        <w:gridCol w:w="661"/>
        <w:gridCol w:w="6447"/>
      </w:tblGrid>
      <w:tr w:rsidR="004966BF" w:rsidRPr="00263255" w14:paraId="6B65135B" w14:textId="77777777" w:rsidTr="00A23885">
        <w:trPr>
          <w:cantSplit/>
          <w:trHeight w:val="393"/>
          <w:tblHeader/>
        </w:trPr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2E112742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631BD9C1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3E7DBC98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7" w:type="dxa"/>
            <w:shd w:val="clear" w:color="auto" w:fill="BFBFBF" w:themeFill="background1" w:themeFillShade="BF"/>
            <w:vAlign w:val="center"/>
          </w:tcPr>
          <w:p w14:paraId="78B8FA3E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7055F3D3" w14:textId="77777777" w:rsidTr="00A23885">
        <w:trPr>
          <w:cantSplit/>
        </w:trPr>
        <w:tc>
          <w:tcPr>
            <w:tcW w:w="1495" w:type="dxa"/>
          </w:tcPr>
          <w:p w14:paraId="5BA53083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3" w:type="dxa"/>
          </w:tcPr>
          <w:p w14:paraId="6B4308A6" w14:textId="764FD871" w:rsidR="004966BF" w:rsidRPr="00CE617F" w:rsidRDefault="000A231F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40069A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05AFBA33" w14:textId="0741C5D4" w:rsidR="004966BF" w:rsidRPr="004C23F4" w:rsidRDefault="0040069A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2019</w:t>
            </w:r>
          </w:p>
        </w:tc>
        <w:tc>
          <w:tcPr>
            <w:tcW w:w="6447" w:type="dxa"/>
          </w:tcPr>
          <w:p w14:paraId="28C12BED" w14:textId="2AE67DF3" w:rsidR="004966BF" w:rsidRDefault="001F1883" w:rsidP="00837082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 xml:space="preserve">Additional uses include fabric softeners, surface treatment products, adhesives and binding agents, photographic agent, construction materials and electroplating </w:t>
            </w:r>
            <w:r w:rsidRPr="00A16541">
              <w:t>chemical</w:t>
            </w:r>
          </w:p>
          <w:p w14:paraId="0AFE369D" w14:textId="49EF576D" w:rsidR="001F1883" w:rsidRDefault="001F1883" w:rsidP="00837082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TWA 10 ppm (25 mg/m</w:t>
            </w:r>
            <w:r>
              <w:rPr>
                <w:rStyle w:val="checkbox"/>
                <w:rFonts w:ascii="Arial" w:hAnsi="Arial" w:cs="Arial"/>
                <w:vertAlign w:val="superscript"/>
              </w:rPr>
              <w:t>3</w:t>
            </w:r>
            <w:r>
              <w:rPr>
                <w:rStyle w:val="checkbox"/>
                <w:rFonts w:ascii="Arial" w:hAnsi="Arial" w:cs="Arial"/>
              </w:rPr>
              <w:t>). No STEL available</w:t>
            </w:r>
          </w:p>
          <w:p w14:paraId="4186ED9A" w14:textId="04EBCF6D" w:rsidR="00FD28F5" w:rsidRPr="004C23F4" w:rsidRDefault="00FD28F5" w:rsidP="001F0407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A16541">
              <w:t>Respiratory</w:t>
            </w:r>
            <w:r>
              <w:rPr>
                <w:rStyle w:val="checkbox"/>
                <w:rFonts w:ascii="Arial" w:hAnsi="Arial" w:cs="Arial"/>
              </w:rPr>
              <w:t xml:space="preserve"> effects (EDA-associated rhinitis, coughing and wheezing) following workplace exposure of </w:t>
            </w:r>
            <w:r w:rsidR="001F0407">
              <w:rPr>
                <w:rStyle w:val="checkbox"/>
                <w:rFonts w:ascii="Arial" w:hAnsi="Arial" w:cs="Arial"/>
              </w:rPr>
              <w:t>≈</w:t>
            </w:r>
            <w:r>
              <w:rPr>
                <w:rStyle w:val="checkbox"/>
                <w:rFonts w:ascii="Arial" w:hAnsi="Arial" w:cs="Arial"/>
              </w:rPr>
              <w:t>1 ppm</w:t>
            </w:r>
            <w:r w:rsidR="009E0F7D">
              <w:rPr>
                <w:rStyle w:val="checkbox"/>
                <w:rFonts w:ascii="Arial" w:hAnsi="Arial" w:cs="Arial"/>
              </w:rPr>
              <w:t>.</w:t>
            </w:r>
          </w:p>
        </w:tc>
      </w:tr>
      <w:tr w:rsidR="004966BF" w:rsidRPr="004C23F4" w14:paraId="402F1DE3" w14:textId="77777777" w:rsidTr="00A23885">
        <w:trPr>
          <w:cantSplit/>
        </w:trPr>
        <w:tc>
          <w:tcPr>
            <w:tcW w:w="1495" w:type="dxa"/>
          </w:tcPr>
          <w:p w14:paraId="14A6D7E6" w14:textId="77777777" w:rsidR="004966BF" w:rsidRPr="004C23F4" w:rsidRDefault="004966BF" w:rsidP="00224EE2">
            <w:pPr>
              <w:pStyle w:val="Tablefont"/>
            </w:pPr>
            <w:r>
              <w:t>US EPA</w:t>
            </w:r>
          </w:p>
        </w:tc>
        <w:tc>
          <w:tcPr>
            <w:tcW w:w="423" w:type="dxa"/>
          </w:tcPr>
          <w:p w14:paraId="5FB55F34" w14:textId="51AC8F66" w:rsidR="004966BF" w:rsidRPr="00CE617F" w:rsidRDefault="000A231F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1F1883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4C124720" w14:textId="11B026BE" w:rsidR="004966BF" w:rsidRPr="004C23F4" w:rsidRDefault="001F1883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1991</w:t>
            </w:r>
          </w:p>
        </w:tc>
        <w:tc>
          <w:tcPr>
            <w:tcW w:w="6447" w:type="dxa"/>
          </w:tcPr>
          <w:p w14:paraId="743F6C6A" w14:textId="6AA6EBA6" w:rsidR="004966BF" w:rsidRPr="004C23F4" w:rsidRDefault="000E0EF1" w:rsidP="00837082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 xml:space="preserve">Derivation of </w:t>
            </w:r>
            <w:r w:rsidR="00337C1B">
              <w:rPr>
                <w:rStyle w:val="checkbox"/>
                <w:rFonts w:ascii="Arial" w:hAnsi="Arial" w:cs="Arial"/>
              </w:rPr>
              <w:t xml:space="preserve">inhalation </w:t>
            </w:r>
            <w:proofErr w:type="spellStart"/>
            <w:r w:rsidR="00337C1B">
              <w:rPr>
                <w:rStyle w:val="checkbox"/>
                <w:rFonts w:ascii="Arial" w:hAnsi="Arial" w:cs="Arial"/>
              </w:rPr>
              <w:t>RfC</w:t>
            </w:r>
            <w:proofErr w:type="spellEnd"/>
            <w:r w:rsidR="00337C1B">
              <w:rPr>
                <w:rStyle w:val="checkbox"/>
                <w:rFonts w:ascii="Arial" w:hAnsi="Arial" w:cs="Arial"/>
              </w:rPr>
              <w:t xml:space="preserve"> not determined as health effects data deemed </w:t>
            </w:r>
            <w:r w:rsidR="00337C1B" w:rsidRPr="00A16541">
              <w:t>inadequate</w:t>
            </w:r>
            <w:r w:rsidR="009E0F7D">
              <w:t>.</w:t>
            </w:r>
          </w:p>
        </w:tc>
      </w:tr>
      <w:tr w:rsidR="004966BF" w:rsidRPr="004C23F4" w14:paraId="0C9A487F" w14:textId="77777777" w:rsidTr="00A23885">
        <w:trPr>
          <w:cantSplit/>
        </w:trPr>
        <w:tc>
          <w:tcPr>
            <w:tcW w:w="1495" w:type="dxa"/>
          </w:tcPr>
          <w:p w14:paraId="71F2745E" w14:textId="5E07722E" w:rsidR="004966BF" w:rsidRDefault="004966BF" w:rsidP="00224EE2">
            <w:pPr>
              <w:pStyle w:val="Tablefont"/>
            </w:pPr>
            <w:r>
              <w:t>US NIOSH</w:t>
            </w:r>
          </w:p>
        </w:tc>
        <w:tc>
          <w:tcPr>
            <w:tcW w:w="423" w:type="dxa"/>
          </w:tcPr>
          <w:p w14:paraId="7D671C87" w14:textId="006BAFA7" w:rsidR="004966BF" w:rsidRDefault="000A231F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814863282"/>
                <w:placeholder>
                  <w:docPart w:val="EA51C8540A4D4F0A9062F5B1698DCBB0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F56B34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77BE53E9" w14:textId="1523B212" w:rsidR="004966BF" w:rsidRPr="004C23F4" w:rsidRDefault="00122E8C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1994</w:t>
            </w:r>
          </w:p>
        </w:tc>
        <w:tc>
          <w:tcPr>
            <w:tcW w:w="6447" w:type="dxa"/>
          </w:tcPr>
          <w:p w14:paraId="30D87AAB" w14:textId="77777777" w:rsidR="004966BF" w:rsidRDefault="0040069A" w:rsidP="00837082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TWA 10 ppm (25 mg/m</w:t>
            </w:r>
            <w:r>
              <w:rPr>
                <w:rStyle w:val="checkbox"/>
                <w:rFonts w:ascii="Arial" w:hAnsi="Arial" w:cs="Arial"/>
                <w:vertAlign w:val="superscript"/>
              </w:rPr>
              <w:t>3</w:t>
            </w:r>
            <w:r>
              <w:rPr>
                <w:rStyle w:val="checkbox"/>
                <w:rFonts w:ascii="Arial" w:hAnsi="Arial" w:cs="Arial"/>
              </w:rPr>
              <w:t>)</w:t>
            </w:r>
          </w:p>
          <w:p w14:paraId="5BA60F00" w14:textId="4BEAFA7F" w:rsidR="00122E8C" w:rsidRPr="0040069A" w:rsidRDefault="00122E8C" w:rsidP="00837082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 xml:space="preserve">IDLH </w:t>
            </w:r>
            <w:r w:rsidRPr="00A16541">
              <w:t>value</w:t>
            </w:r>
            <w:r>
              <w:rPr>
                <w:rStyle w:val="checkbox"/>
                <w:rFonts w:ascii="Arial" w:hAnsi="Arial" w:cs="Arial"/>
              </w:rPr>
              <w:t xml:space="preserve"> may be conservative due to lack of relevant acute </w:t>
            </w:r>
            <w:r w:rsidRPr="00A16541">
              <w:t>toxicity</w:t>
            </w:r>
            <w:r>
              <w:rPr>
                <w:rStyle w:val="checkbox"/>
                <w:rFonts w:ascii="Arial" w:hAnsi="Arial" w:cs="Arial"/>
              </w:rPr>
              <w:t xml:space="preserve"> data for workers exposed to concentrations between 1,000 and 2,000 ppm</w:t>
            </w:r>
            <w:r w:rsidR="00337C1B">
              <w:rPr>
                <w:rStyle w:val="checkbox"/>
                <w:rFonts w:ascii="Arial" w:hAnsi="Arial" w:cs="Arial"/>
              </w:rPr>
              <w:t>.</w:t>
            </w:r>
          </w:p>
        </w:tc>
      </w:tr>
    </w:tbl>
    <w:bookmarkEnd w:id="2"/>
    <w:p w14:paraId="312A9F06" w14:textId="77777777" w:rsidR="007E2A4B" w:rsidRDefault="007E2A4B" w:rsidP="00A16541">
      <w:pPr>
        <w:pStyle w:val="Heading3"/>
        <w:keepNext w:val="0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4299D379" w14:textId="77777777" w:rsidTr="00ED2807">
        <w:trPr>
          <w:trHeight w:val="454"/>
          <w:tblHeader/>
        </w:trPr>
        <w:tc>
          <w:tcPr>
            <w:tcW w:w="6603" w:type="dxa"/>
            <w:vAlign w:val="center"/>
          </w:tcPr>
          <w:p w14:paraId="4B23880A" w14:textId="77777777" w:rsidR="002E0D61" w:rsidRDefault="00B1422A" w:rsidP="00A16541">
            <w:pPr>
              <w:pStyle w:val="Tablefont"/>
              <w:keepLines/>
              <w:spacing w:before="40" w:after="40"/>
            </w:pPr>
            <w:bookmarkStart w:id="3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2D26BFD3" w14:textId="260E78F6" w:rsidR="002E0D61" w:rsidRDefault="00ED2807" w:rsidP="00A16541">
                <w:pPr>
                  <w:pStyle w:val="Tablefont"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2DF98706" w14:textId="77777777" w:rsidTr="00ED2807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20C62E16" w14:textId="7A5342D2" w:rsidR="008A36CF" w:rsidRPr="006901A2" w:rsidRDefault="00ED2807" w:rsidP="00A16541">
                <w:pPr>
                  <w:pStyle w:val="Tablefont"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6DE2B9A9" w14:textId="77777777" w:rsidR="008A36CF" w:rsidRDefault="008A36CF" w:rsidP="00A16541">
            <w:pPr>
              <w:pStyle w:val="Tablefont"/>
              <w:keepLines/>
              <w:spacing w:before="40" w:after="40"/>
            </w:pPr>
          </w:p>
        </w:tc>
      </w:tr>
    </w:tbl>
    <w:bookmarkEnd w:id="3"/>
    <w:p w14:paraId="259778E5" w14:textId="77777777" w:rsidR="00687890" w:rsidRPr="004C23F4" w:rsidRDefault="00B479A9" w:rsidP="009E0F7D">
      <w:pPr>
        <w:pStyle w:val="Heading2"/>
      </w:pPr>
      <w:r w:rsidRPr="004C23F4">
        <w:lastRenderedPageBreak/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02AC61DA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3F05B16C" w14:textId="77777777" w:rsidR="00687890" w:rsidRPr="004C23F4" w:rsidRDefault="00687890" w:rsidP="00A16541">
            <w:pPr>
              <w:pStyle w:val="Tableheader"/>
              <w:keepNext/>
            </w:pPr>
            <w:bookmarkStart w:id="4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587459F8" w14:textId="77777777" w:rsidR="00687890" w:rsidRPr="004C23F4" w:rsidRDefault="00687890" w:rsidP="00A16541">
            <w:pPr>
              <w:pStyle w:val="Tableheader"/>
              <w:keepNext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127C0F67" w14:textId="77777777" w:rsidTr="00812887">
        <w:trPr>
          <w:cantSplit/>
        </w:trPr>
        <w:tc>
          <w:tcPr>
            <w:tcW w:w="3227" w:type="dxa"/>
          </w:tcPr>
          <w:p w14:paraId="2A32AB1C" w14:textId="77777777" w:rsidR="004079B4" w:rsidRPr="004C23F4" w:rsidRDefault="00084513" w:rsidP="00A16541">
            <w:pPr>
              <w:pStyle w:val="Tablefont"/>
              <w:keepNext/>
            </w:pPr>
            <w:r w:rsidRPr="004C23F4">
              <w:t>SWA</w:t>
            </w:r>
          </w:p>
        </w:tc>
        <w:tc>
          <w:tcPr>
            <w:tcW w:w="6015" w:type="dxa"/>
          </w:tcPr>
          <w:p w14:paraId="74DB0C84" w14:textId="26909ECE" w:rsidR="00687890" w:rsidRPr="00DD2F9B" w:rsidRDefault="007B2889" w:rsidP="00A16541">
            <w:pPr>
              <w:pStyle w:val="Tablefont"/>
              <w:keepNext/>
            </w:pPr>
            <w:r w:rsidRPr="007B2889">
              <w:t>Sen</w:t>
            </w:r>
          </w:p>
        </w:tc>
      </w:tr>
      <w:tr w:rsidR="007925F0" w:rsidRPr="004C23F4" w14:paraId="26CB3C00" w14:textId="77777777" w:rsidTr="00812887">
        <w:trPr>
          <w:cantSplit/>
        </w:trPr>
        <w:tc>
          <w:tcPr>
            <w:tcW w:w="3227" w:type="dxa"/>
          </w:tcPr>
          <w:p w14:paraId="3C67A82D" w14:textId="77777777" w:rsidR="004079B4" w:rsidRPr="004C23F4" w:rsidRDefault="007925F0" w:rsidP="00A16541">
            <w:pPr>
              <w:pStyle w:val="Tablefont"/>
              <w:keepNext/>
            </w:pPr>
            <w:r>
              <w:t>HCIS</w:t>
            </w:r>
          </w:p>
        </w:tc>
        <w:tc>
          <w:tcPr>
            <w:tcW w:w="6015" w:type="dxa"/>
          </w:tcPr>
          <w:p w14:paraId="6FABA44E" w14:textId="560B52E1" w:rsidR="007925F0" w:rsidRPr="00DD2F9B" w:rsidRDefault="007B2889" w:rsidP="00A16541">
            <w:pPr>
              <w:pStyle w:val="Tablefont"/>
              <w:keepNext/>
            </w:pPr>
            <w:r w:rsidRPr="007B2889">
              <w:t>Skin sensitisation – category 1</w:t>
            </w:r>
            <w:r>
              <w:t xml:space="preserve">, </w:t>
            </w:r>
            <w:r w:rsidRPr="007B2889">
              <w:t>Respiratory sensitisation – category 1</w:t>
            </w:r>
          </w:p>
        </w:tc>
      </w:tr>
      <w:tr w:rsidR="00AF483F" w:rsidRPr="004C23F4" w14:paraId="51BA1512" w14:textId="77777777" w:rsidTr="00812887">
        <w:trPr>
          <w:cantSplit/>
        </w:trPr>
        <w:tc>
          <w:tcPr>
            <w:tcW w:w="3227" w:type="dxa"/>
          </w:tcPr>
          <w:p w14:paraId="5DC9829F" w14:textId="77777777" w:rsidR="00AF483F" w:rsidRPr="004C23F4" w:rsidRDefault="00AF483F" w:rsidP="00A16541">
            <w:pPr>
              <w:pStyle w:val="Tablefont"/>
              <w:keepNext/>
            </w:pPr>
            <w:r>
              <w:t>NICNAS</w:t>
            </w:r>
          </w:p>
        </w:tc>
        <w:tc>
          <w:tcPr>
            <w:tcW w:w="6015" w:type="dxa"/>
          </w:tcPr>
          <w:p w14:paraId="16A4F790" w14:textId="505B3B53" w:rsidR="00AF483F" w:rsidRPr="00DD2F9B" w:rsidRDefault="007B2889" w:rsidP="00A16541">
            <w:pPr>
              <w:pStyle w:val="Tablefont"/>
              <w:keepNext/>
            </w:pPr>
            <w:r>
              <w:t>—</w:t>
            </w:r>
          </w:p>
        </w:tc>
      </w:tr>
      <w:tr w:rsidR="00687890" w:rsidRPr="004C23F4" w14:paraId="2A378B19" w14:textId="77777777" w:rsidTr="00812887">
        <w:trPr>
          <w:cantSplit/>
        </w:trPr>
        <w:tc>
          <w:tcPr>
            <w:tcW w:w="3227" w:type="dxa"/>
          </w:tcPr>
          <w:p w14:paraId="6AC7317F" w14:textId="77777777" w:rsidR="004079B4" w:rsidRPr="004C23F4" w:rsidRDefault="00687890" w:rsidP="00A16541">
            <w:pPr>
              <w:pStyle w:val="Tablefont"/>
              <w:keepNext/>
            </w:pPr>
            <w:r w:rsidRPr="004C23F4">
              <w:t>EU Annex</w:t>
            </w:r>
          </w:p>
        </w:tc>
        <w:tc>
          <w:tcPr>
            <w:tcW w:w="6015" w:type="dxa"/>
          </w:tcPr>
          <w:p w14:paraId="76C2CCCB" w14:textId="134385D0" w:rsidR="00687890" w:rsidRPr="00DD2F9B" w:rsidRDefault="007B2889" w:rsidP="00A16541">
            <w:pPr>
              <w:pStyle w:val="Tablefont"/>
              <w:keepNext/>
            </w:pPr>
            <w:r>
              <w:t>NA</w:t>
            </w:r>
          </w:p>
        </w:tc>
      </w:tr>
      <w:tr w:rsidR="00E41A26" w:rsidRPr="004C23F4" w14:paraId="758D4DC0" w14:textId="77777777" w:rsidTr="00812887">
        <w:trPr>
          <w:cantSplit/>
        </w:trPr>
        <w:tc>
          <w:tcPr>
            <w:tcW w:w="3227" w:type="dxa"/>
          </w:tcPr>
          <w:p w14:paraId="2FE00198" w14:textId="77777777" w:rsidR="00E41A26" w:rsidRDefault="00E41A26" w:rsidP="00A16541">
            <w:pPr>
              <w:pStyle w:val="Tablefont"/>
              <w:keepNext/>
            </w:pPr>
            <w:r>
              <w:t>ECHA</w:t>
            </w:r>
          </w:p>
        </w:tc>
        <w:tc>
          <w:tcPr>
            <w:tcW w:w="6015" w:type="dxa"/>
          </w:tcPr>
          <w:p w14:paraId="3FA9F0F2" w14:textId="672A4065" w:rsidR="00E41A26" w:rsidRPr="00DD2F9B" w:rsidRDefault="007B2889" w:rsidP="00A16541">
            <w:pPr>
              <w:pStyle w:val="Tablefont"/>
              <w:keepNext/>
            </w:pPr>
            <w:r w:rsidRPr="007B2889">
              <w:t>Skin Sens. 1</w:t>
            </w:r>
            <w:r>
              <w:t xml:space="preserve">, </w:t>
            </w:r>
            <w:r w:rsidRPr="007B2889">
              <w:t>Resp. Sens. 1</w:t>
            </w:r>
          </w:p>
        </w:tc>
      </w:tr>
      <w:tr w:rsidR="002E0D61" w:rsidRPr="004C23F4" w14:paraId="28C7481D" w14:textId="77777777" w:rsidTr="00812887">
        <w:trPr>
          <w:cantSplit/>
        </w:trPr>
        <w:tc>
          <w:tcPr>
            <w:tcW w:w="3227" w:type="dxa"/>
          </w:tcPr>
          <w:p w14:paraId="48ECB6C9" w14:textId="77777777" w:rsidR="004079B4" w:rsidRPr="004C23F4" w:rsidRDefault="002E0D61" w:rsidP="00A16541">
            <w:pPr>
              <w:pStyle w:val="Tablefont"/>
              <w:keepNext/>
            </w:pPr>
            <w:r>
              <w:t>ACGIH</w:t>
            </w:r>
          </w:p>
        </w:tc>
        <w:tc>
          <w:tcPr>
            <w:tcW w:w="6015" w:type="dxa"/>
          </w:tcPr>
          <w:p w14:paraId="3C2D168F" w14:textId="3FB9D723" w:rsidR="002E0D61" w:rsidRPr="00DD2F9B" w:rsidRDefault="007B2889" w:rsidP="00A16541">
            <w:pPr>
              <w:pStyle w:val="Tablefont"/>
              <w:keepNext/>
            </w:pPr>
            <w:r w:rsidRPr="007B2889">
              <w:t>Carcinogenicity – A4</w:t>
            </w:r>
            <w:r>
              <w:t xml:space="preserve">, </w:t>
            </w:r>
            <w:r w:rsidRPr="007B2889">
              <w:t>Skin</w:t>
            </w:r>
          </w:p>
        </w:tc>
      </w:tr>
      <w:tr w:rsidR="002E0D61" w:rsidRPr="004C23F4" w14:paraId="34531ED5" w14:textId="77777777" w:rsidTr="00812887">
        <w:trPr>
          <w:cantSplit/>
        </w:trPr>
        <w:tc>
          <w:tcPr>
            <w:tcW w:w="3227" w:type="dxa"/>
          </w:tcPr>
          <w:p w14:paraId="0026440D" w14:textId="77777777" w:rsidR="004079B4" w:rsidRPr="004C23F4" w:rsidRDefault="002E0D61" w:rsidP="00A16541">
            <w:pPr>
              <w:pStyle w:val="Tablefont"/>
              <w:keepNext/>
            </w:pPr>
            <w:r>
              <w:t>DFG</w:t>
            </w:r>
          </w:p>
        </w:tc>
        <w:tc>
          <w:tcPr>
            <w:tcW w:w="6015" w:type="dxa"/>
          </w:tcPr>
          <w:p w14:paraId="570D4D16" w14:textId="76CCA211" w:rsidR="002E0D61" w:rsidRPr="00DD2F9B" w:rsidRDefault="007B2889" w:rsidP="00A16541">
            <w:pPr>
              <w:pStyle w:val="Tablefont"/>
              <w:keepNext/>
            </w:pPr>
            <w:r w:rsidRPr="007B2889">
              <w:t>Sa (respiratory sensitiser)</w:t>
            </w:r>
            <w:r>
              <w:t xml:space="preserve">, </w:t>
            </w:r>
            <w:proofErr w:type="spellStart"/>
            <w:r w:rsidRPr="007B2889">
              <w:t>Sh</w:t>
            </w:r>
            <w:proofErr w:type="spellEnd"/>
            <w:r w:rsidRPr="007B2889">
              <w:t xml:space="preserve"> (dermal sensitiser)</w:t>
            </w:r>
          </w:p>
        </w:tc>
      </w:tr>
      <w:tr w:rsidR="002E0D61" w:rsidRPr="004C23F4" w14:paraId="6641A8D7" w14:textId="77777777" w:rsidTr="00812887">
        <w:trPr>
          <w:cantSplit/>
        </w:trPr>
        <w:tc>
          <w:tcPr>
            <w:tcW w:w="3227" w:type="dxa"/>
          </w:tcPr>
          <w:p w14:paraId="73D2B16F" w14:textId="77777777" w:rsidR="004079B4" w:rsidRPr="004C23F4" w:rsidRDefault="002E0D61" w:rsidP="00A16541">
            <w:pPr>
              <w:pStyle w:val="Tablefont"/>
              <w:keepNext/>
            </w:pPr>
            <w:r>
              <w:t>SCOEL</w:t>
            </w:r>
          </w:p>
        </w:tc>
        <w:tc>
          <w:tcPr>
            <w:tcW w:w="6015" w:type="dxa"/>
          </w:tcPr>
          <w:p w14:paraId="74EDEA47" w14:textId="4CB4E4DF" w:rsidR="002E0D61" w:rsidRPr="00DD2F9B" w:rsidRDefault="007B2889" w:rsidP="00A16541">
            <w:pPr>
              <w:pStyle w:val="Tablefont"/>
              <w:keepNext/>
            </w:pPr>
            <w:r>
              <w:t>NA</w:t>
            </w:r>
          </w:p>
        </w:tc>
      </w:tr>
      <w:tr w:rsidR="002E0D61" w:rsidRPr="004C23F4" w14:paraId="4FEC032D" w14:textId="77777777" w:rsidTr="00812887">
        <w:trPr>
          <w:cantSplit/>
        </w:trPr>
        <w:tc>
          <w:tcPr>
            <w:tcW w:w="3227" w:type="dxa"/>
          </w:tcPr>
          <w:p w14:paraId="7FF73477" w14:textId="77777777" w:rsidR="004079B4" w:rsidRDefault="002E0D61" w:rsidP="00A16541">
            <w:pPr>
              <w:pStyle w:val="Tablefont"/>
              <w:keepNext/>
            </w:pPr>
            <w:r>
              <w:t>HCOTN</w:t>
            </w:r>
          </w:p>
        </w:tc>
        <w:tc>
          <w:tcPr>
            <w:tcW w:w="6015" w:type="dxa"/>
          </w:tcPr>
          <w:p w14:paraId="49A4BCCE" w14:textId="66F86416" w:rsidR="002E0D61" w:rsidRPr="00DD2F9B" w:rsidRDefault="007B2889" w:rsidP="00A16541">
            <w:pPr>
              <w:pStyle w:val="Tablefont"/>
              <w:keepNext/>
            </w:pPr>
            <w:r>
              <w:t>NA</w:t>
            </w:r>
          </w:p>
        </w:tc>
      </w:tr>
      <w:tr w:rsidR="00386093" w:rsidRPr="004C23F4" w14:paraId="7E1136EC" w14:textId="77777777" w:rsidTr="00812887">
        <w:trPr>
          <w:cantSplit/>
        </w:trPr>
        <w:tc>
          <w:tcPr>
            <w:tcW w:w="3227" w:type="dxa"/>
          </w:tcPr>
          <w:p w14:paraId="2C42B51C" w14:textId="77777777" w:rsidR="004079B4" w:rsidRDefault="00386093" w:rsidP="00A16541">
            <w:pPr>
              <w:pStyle w:val="Tablefont"/>
              <w:keepNext/>
            </w:pPr>
            <w:r>
              <w:t>IARC</w:t>
            </w:r>
          </w:p>
        </w:tc>
        <w:tc>
          <w:tcPr>
            <w:tcW w:w="6015" w:type="dxa"/>
          </w:tcPr>
          <w:p w14:paraId="162AABE5" w14:textId="0B639A3C" w:rsidR="00386093" w:rsidRPr="00DD2F9B" w:rsidRDefault="007B2889" w:rsidP="00A16541">
            <w:pPr>
              <w:pStyle w:val="Tablefont"/>
              <w:keepNext/>
            </w:pPr>
            <w:r>
              <w:t>NA</w:t>
            </w:r>
          </w:p>
        </w:tc>
      </w:tr>
      <w:tr w:rsidR="00386093" w:rsidRPr="004C23F4" w14:paraId="69F0E9FF" w14:textId="77777777" w:rsidTr="00812887">
        <w:trPr>
          <w:cantSplit/>
        </w:trPr>
        <w:tc>
          <w:tcPr>
            <w:tcW w:w="3227" w:type="dxa"/>
          </w:tcPr>
          <w:p w14:paraId="7574E78E" w14:textId="77777777" w:rsidR="004079B4" w:rsidRDefault="00386093" w:rsidP="009E0F7D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20E41B1D" w14:textId="208CD83A" w:rsidR="00386093" w:rsidRPr="00DD2F9B" w:rsidRDefault="007B2889">
            <w:pPr>
              <w:pStyle w:val="Tablefont"/>
              <w:keepNext/>
            </w:pPr>
            <w:r>
              <w:t>NA</w:t>
            </w:r>
          </w:p>
        </w:tc>
      </w:tr>
    </w:tbl>
    <w:bookmarkEnd w:id="4"/>
    <w:p w14:paraId="5A4DB9E5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72E1735C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5D9D92F2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E138336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5" w:name="SkinNot"/>
            <w:r>
              <w:t>Calculation</w:t>
            </w:r>
            <w:r w:rsidR="00177CA1">
              <w:tab/>
            </w:r>
          </w:p>
        </w:tc>
      </w:tr>
    </w:tbl>
    <w:tbl>
      <w:tblPr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3346"/>
        <w:gridCol w:w="1008"/>
        <w:gridCol w:w="1008"/>
        <w:gridCol w:w="3633"/>
      </w:tblGrid>
      <w:tr w:rsidR="00FC4BB4" w14:paraId="29E34026" w14:textId="77777777" w:rsidTr="00FC4BB4">
        <w:trPr>
          <w:trHeight w:val="34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bookmarkEnd w:id="5"/>
          <w:p w14:paraId="6B37FA35" w14:textId="77777777" w:rsidR="00FC4BB4" w:rsidRDefault="00FC4BB4">
            <w:pPr>
              <w:spacing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Adverse effects in human case study: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5D86AA0E" w14:textId="77777777" w:rsidR="00FC4BB4" w:rsidRDefault="00FC4BB4">
            <w:pPr>
              <w:jc w:val="center"/>
              <w:rPr>
                <w:rFonts w:ascii="Segoe UI" w:hAnsi="Segoe UI" w:cs="Segoe UI"/>
                <w:color w:val="9C6500"/>
                <w:sz w:val="18"/>
                <w:szCs w:val="18"/>
              </w:rPr>
            </w:pPr>
            <w:r>
              <w:rPr>
                <w:rFonts w:ascii="Segoe UI" w:hAnsi="Segoe UI" w:cs="Segoe UI"/>
                <w:color w:val="9C6500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236BD05" w14:textId="77777777" w:rsidR="00FC4BB4" w:rsidRDefault="00FC4BB4">
            <w:pPr>
              <w:jc w:val="right"/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4.00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8FE2BCD" w14:textId="77777777" w:rsidR="00FC4BB4" w:rsidRDefault="00FC4BB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FC4BB4" w14:paraId="505F1B8B" w14:textId="77777777" w:rsidTr="00FC4BB4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E20C222" w14:textId="77777777" w:rsidR="00FC4BB4" w:rsidRDefault="00FC4BB4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Dermal LD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50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≤1000 mg/kg: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19C43B0A" w14:textId="77777777" w:rsidR="00FC4BB4" w:rsidRDefault="00FC4BB4">
            <w:pPr>
              <w:jc w:val="center"/>
              <w:rPr>
                <w:rFonts w:ascii="Segoe UI" w:hAnsi="Segoe UI" w:cs="Segoe UI"/>
                <w:color w:val="9C6500"/>
                <w:sz w:val="18"/>
                <w:szCs w:val="18"/>
              </w:rPr>
            </w:pPr>
            <w:r>
              <w:rPr>
                <w:rFonts w:ascii="Segoe UI" w:hAnsi="Segoe UI" w:cs="Segoe UI"/>
                <w:color w:val="9C65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819BA50" w14:textId="77777777" w:rsidR="00FC4BB4" w:rsidRDefault="00FC4BB4">
            <w:pPr>
              <w:jc w:val="right"/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3.00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E0D5413" w14:textId="77777777" w:rsidR="00FC4BB4" w:rsidRDefault="00FC4BB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FC4BB4" w14:paraId="5867FF84" w14:textId="77777777" w:rsidTr="00FC4BB4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BB077A3" w14:textId="77777777" w:rsidR="00FC4BB4" w:rsidRDefault="00FC4BB4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Dermal repeat-dose NOAEL ≤200 mg/kg: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BEAA7BE" w14:textId="77777777" w:rsidR="00FC4BB4" w:rsidRDefault="00FC4BB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43203DC" w14:textId="77777777" w:rsidR="00FC4BB4" w:rsidRDefault="00FC4BB4">
            <w:pPr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DCACEB0" w14:textId="77777777" w:rsidR="00FC4BB4" w:rsidRDefault="00FC4BB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FC4BB4" w14:paraId="02DBFD8B" w14:textId="77777777" w:rsidTr="00FC4BB4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8C25308" w14:textId="77777777" w:rsidR="00FC4BB4" w:rsidRDefault="00FC4BB4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Dermal LD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50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/Inhalation LD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50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&lt;10: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1F818D9" w14:textId="77777777" w:rsidR="00FC4BB4" w:rsidRDefault="00FC4BB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5DE067C" w14:textId="77777777" w:rsidR="00FC4BB4" w:rsidRDefault="00FC4BB4">
            <w:pPr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1ABB218" w14:textId="77777777" w:rsidR="00FC4BB4" w:rsidRDefault="00FC4BB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FC4BB4" w14:paraId="095E3290" w14:textId="77777777" w:rsidTr="00FC4BB4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C9A6129" w14:textId="77777777" w:rsidR="00FC4BB4" w:rsidRDefault="00FC4BB4">
            <w:pPr>
              <w:jc w:val="right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In vivo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dermal absorption rate &gt;10%: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98E4D6B" w14:textId="77777777" w:rsidR="00FC4BB4" w:rsidRDefault="00FC4BB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3CE573" w14:textId="77777777" w:rsidR="00FC4BB4" w:rsidRDefault="00FC4BB4">
            <w:pPr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23B55FB" w14:textId="77777777" w:rsidR="00FC4BB4" w:rsidRDefault="00FC4BB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FC4BB4" w14:paraId="32F7973B" w14:textId="77777777" w:rsidTr="00FC4BB4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DC67083" w14:textId="77777777" w:rsidR="00FC4BB4" w:rsidRDefault="00FC4BB4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Estimated dermal exposure at WES &gt;10%: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0D74641" w14:textId="77777777" w:rsidR="00FC4BB4" w:rsidRDefault="00FC4BB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DAEFE69" w14:textId="77777777" w:rsidR="00FC4BB4" w:rsidRDefault="00FC4BB4">
            <w:pPr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D62D0F8" w14:textId="77777777" w:rsidR="00FC4BB4" w:rsidRDefault="00FC4BB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FC4BB4" w14:paraId="0A38ED3A" w14:textId="77777777" w:rsidTr="00FC4BB4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F7183CE" w14:textId="77777777" w:rsidR="00FC4BB4" w:rsidRDefault="00FC4BB4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0DA59B8" w14:textId="77777777" w:rsidR="00FC4BB4" w:rsidRDefault="00FC4BB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B0A030" w14:textId="77777777" w:rsidR="00FC4BB4" w:rsidRDefault="00FC4BB4">
            <w:pPr>
              <w:jc w:val="right"/>
              <w:rPr>
                <w:rFonts w:ascii="Segoe UI" w:hAnsi="Segoe UI" w:cs="Segoe UI"/>
                <w:color w:val="C5D9F1"/>
                <w:sz w:val="18"/>
                <w:szCs w:val="18"/>
              </w:rPr>
            </w:pPr>
            <w:r>
              <w:rPr>
                <w:rFonts w:ascii="Segoe UI" w:hAnsi="Segoe UI" w:cs="Segoe UI"/>
                <w:color w:val="C5D9F1"/>
                <w:sz w:val="18"/>
                <w:szCs w:val="18"/>
              </w:rPr>
              <w:t>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9FE420E" w14:textId="77777777" w:rsidR="00FC4BB4" w:rsidRDefault="00FC4BB4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a skin notation is warranted</w:t>
            </w:r>
          </w:p>
        </w:tc>
      </w:tr>
    </w:tbl>
    <w:p w14:paraId="7F072A45" w14:textId="44F19141" w:rsidR="00EB3D1B" w:rsidRDefault="00FC4BB4" w:rsidP="00EB3D1B">
      <w:pPr>
        <w:pStyle w:val="Heading3"/>
      </w:pPr>
      <w:r>
        <w:t xml:space="preserve"> </w:t>
      </w:r>
      <w:r w:rsidR="00EB3D1B"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5E734F51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50ED9C61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4695087C" w14:textId="41286370" w:rsidR="00EB3D1B" w:rsidRDefault="007B2889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08B6C134" w14:textId="77777777" w:rsidR="00687890" w:rsidRPr="004C23F4" w:rsidRDefault="00B479A9" w:rsidP="009E0F7D">
      <w:pPr>
        <w:pStyle w:val="Heading2"/>
      </w:pPr>
      <w:r w:rsidRPr="004C23F4">
        <w:lastRenderedPageBreak/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1CDE9AC2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61E9525" w14:textId="77777777" w:rsidR="001B79E5" w:rsidRDefault="001B79E5" w:rsidP="00A16541">
            <w:pPr>
              <w:pStyle w:val="Tablefont"/>
              <w:keepNext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3E4CA18E" w14:textId="780B859A" w:rsidR="001B79E5" w:rsidRDefault="007B2889" w:rsidP="00A16541">
                <w:pPr>
                  <w:pStyle w:val="Tablefont"/>
                  <w:keepNext/>
                </w:pPr>
                <w:r w:rsidRPr="007B2889">
                  <w:t>60.1</w:t>
                </w:r>
              </w:p>
            </w:tc>
          </w:sdtContent>
        </w:sdt>
      </w:tr>
      <w:tr w:rsidR="00A31D99" w:rsidRPr="004C23F4" w14:paraId="608721CB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2E3B39C" w14:textId="77777777" w:rsidR="00A31D99" w:rsidRPr="00263255" w:rsidRDefault="00A31D99" w:rsidP="00A16541">
            <w:pPr>
              <w:pStyle w:val="Tablefont"/>
              <w:keepNext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146E24D1" w14:textId="419CB1C8" w:rsidR="00A31D99" w:rsidRDefault="00A0643F" w:rsidP="00A16541">
            <w:pPr>
              <w:pStyle w:val="Tablefont"/>
              <w:keepNext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7B2889">
                  <w:t>2.55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7B2889">
                  <w:t>0.408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79F14952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B28479B" w14:textId="77777777" w:rsidR="00687890" w:rsidRPr="00263255" w:rsidRDefault="00687890" w:rsidP="00A16541">
            <w:pPr>
              <w:pStyle w:val="Tablefont"/>
              <w:keepNext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34FDD81" w14:textId="77777777" w:rsidR="00687890" w:rsidRPr="004C23F4" w:rsidRDefault="00E46BCB" w:rsidP="00A16541">
                <w:pPr>
                  <w:pStyle w:val="Tablefont"/>
                  <w:keepNext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7D422478" w14:textId="77777777" w:rsidTr="00EA6243">
        <w:trPr>
          <w:cantSplit/>
        </w:trPr>
        <w:tc>
          <w:tcPr>
            <w:tcW w:w="4077" w:type="dxa"/>
            <w:vAlign w:val="center"/>
          </w:tcPr>
          <w:p w14:paraId="3896B61E" w14:textId="77777777" w:rsidR="00687890" w:rsidRPr="00263255" w:rsidRDefault="00687890" w:rsidP="00A16541">
            <w:pPr>
              <w:pStyle w:val="Tablefont"/>
              <w:keepNext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8D562F6" w14:textId="77777777" w:rsidR="00687890" w:rsidRPr="004C23F4" w:rsidRDefault="00A20751" w:rsidP="00A16541">
                <w:pPr>
                  <w:pStyle w:val="Tablefont"/>
                  <w:keepNext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51A51087" w14:textId="77777777" w:rsidTr="00EA6243">
        <w:trPr>
          <w:cantSplit/>
        </w:trPr>
        <w:tc>
          <w:tcPr>
            <w:tcW w:w="4077" w:type="dxa"/>
            <w:vAlign w:val="center"/>
          </w:tcPr>
          <w:p w14:paraId="6D7E1D21" w14:textId="77777777" w:rsidR="00687890" w:rsidRPr="00263255" w:rsidRDefault="00687890" w:rsidP="00A16541">
            <w:pPr>
              <w:pStyle w:val="Tablefont"/>
              <w:keepNext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A307FD7" w14:textId="77777777" w:rsidR="00687890" w:rsidRPr="004C23F4" w:rsidRDefault="00687890" w:rsidP="00A16541">
                <w:pPr>
                  <w:pStyle w:val="Tablefont"/>
                  <w:keepNext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385A11C8" w14:textId="77777777" w:rsidTr="00EA6243">
        <w:trPr>
          <w:cantSplit/>
        </w:trPr>
        <w:tc>
          <w:tcPr>
            <w:tcW w:w="4077" w:type="dxa"/>
            <w:vAlign w:val="center"/>
          </w:tcPr>
          <w:p w14:paraId="4477F870" w14:textId="77777777" w:rsidR="00E06F40" w:rsidRPr="00263255" w:rsidRDefault="00E06F40" w:rsidP="00A16541">
            <w:pPr>
              <w:pStyle w:val="Tablefont"/>
              <w:keepNext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4982C205" w14:textId="77777777" w:rsidR="00E06F40" w:rsidRPr="00A006A0" w:rsidRDefault="000A231F" w:rsidP="00A16541">
            <w:pPr>
              <w:pStyle w:val="Tablefont"/>
              <w:keepNext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726908EF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4311EAA1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4288AC83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6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104F08D1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2CDCBF1C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2162FEE1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6DD8AFCA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6"/>
    <w:p w14:paraId="2B9C7036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2B8995B2" w14:textId="1E39487F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1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169EE87C" w14:textId="59F281FE" w:rsidR="007B2889" w:rsidRDefault="007B2889" w:rsidP="00084859">
      <w:r w:rsidRPr="002022B6">
        <w:t xml:space="preserve">Deutsche </w:t>
      </w:r>
      <w:proofErr w:type="spellStart"/>
      <w:r w:rsidRPr="002022B6">
        <w:t>Forschungsgemeinschaft</w:t>
      </w:r>
      <w:proofErr w:type="spellEnd"/>
      <w:r w:rsidRPr="002022B6">
        <w:t xml:space="preserve"> (DFG)</w:t>
      </w:r>
      <w:r>
        <w:t xml:space="preserve"> (20</w:t>
      </w:r>
      <w:r w:rsidR="00FC4BB4">
        <w:t>0</w:t>
      </w:r>
      <w:r>
        <w:t xml:space="preserve">3) </w:t>
      </w:r>
      <w:proofErr w:type="spellStart"/>
      <w:r w:rsidRPr="007B2889">
        <w:t>Ethylenediamine</w:t>
      </w:r>
      <w:proofErr w:type="spellEnd"/>
      <w:r>
        <w:t xml:space="preserve"> – MAK value documentation.</w:t>
      </w:r>
    </w:p>
    <w:p w14:paraId="3BE2ADBA" w14:textId="5ABB318C" w:rsidR="00A16541" w:rsidRDefault="00A16541" w:rsidP="00084859">
      <w:r w:rsidRPr="00E461B8">
        <w:t>European Chemicals Agency Regulation (ECHA) No 1907/2006 of the European Parliament and of the Council of 18 December 2006 concerning the Registration, Evaluation, Authorisation and Restriction of Chemicals (REACH).</w:t>
      </w:r>
    </w:p>
    <w:p w14:paraId="54DE184C" w14:textId="1FEF56D3" w:rsidR="007B2889" w:rsidRDefault="007B2889" w:rsidP="00084859">
      <w:r w:rsidRPr="002022B6">
        <w:t>National Industrial Chemicals Notification and Assessment Scheme (NICNAS)</w:t>
      </w:r>
      <w:r>
        <w:t xml:space="preserve"> (</w:t>
      </w:r>
      <w:r w:rsidRPr="007B2889">
        <w:t>2019</w:t>
      </w:r>
      <w:r>
        <w:t xml:space="preserve">) </w:t>
      </w:r>
      <w:r w:rsidRPr="007B2889">
        <w:t>1</w:t>
      </w:r>
      <w:proofErr w:type="gramStart"/>
      <w:r w:rsidRPr="007B2889">
        <w:t>,2</w:t>
      </w:r>
      <w:proofErr w:type="gramEnd"/>
      <w:r w:rsidRPr="007B2889">
        <w:t>-Ethanediamine</w:t>
      </w:r>
      <w:r w:rsidRPr="0071660C">
        <w:t xml:space="preserve">: Human health </w:t>
      </w:r>
      <w:r w:rsidRPr="007B2889">
        <w:t>tier II</w:t>
      </w:r>
      <w:r>
        <w:t xml:space="preserve"> </w:t>
      </w:r>
      <w:r w:rsidRPr="0071660C">
        <w:t>assessment</w:t>
      </w:r>
      <w:r>
        <w:t xml:space="preserve"> – IMAP report.</w:t>
      </w:r>
    </w:p>
    <w:p w14:paraId="3AFA6A08" w14:textId="269D215B" w:rsidR="00FC4BB4" w:rsidRDefault="00FC4BB4" w:rsidP="00084859">
      <w:r>
        <w:t xml:space="preserve">US Environmental Protection Authority (US EPA) (1991) </w:t>
      </w:r>
      <w:r w:rsidRPr="003448DD">
        <w:t>Integrated R</w:t>
      </w:r>
      <w:r>
        <w:t xml:space="preserve">isk Information System (IRIS) </w:t>
      </w:r>
      <w:r w:rsidRPr="003448DD">
        <w:t>Chemical Assessment Summary</w:t>
      </w:r>
      <w:r>
        <w:t xml:space="preserve"> – Ethylene diamine; CASRN 107-15-3.</w:t>
      </w:r>
    </w:p>
    <w:p w14:paraId="3865D55E" w14:textId="6AC24C6A" w:rsidR="007B2889" w:rsidRPr="00351FE0" w:rsidRDefault="007B2889" w:rsidP="00084859">
      <w:r w:rsidRPr="00D86E03">
        <w:t>US National Institute for Occupational Safety and Health (NIOSH)</w:t>
      </w:r>
      <w:r>
        <w:t xml:space="preserve"> (</w:t>
      </w:r>
      <w:r w:rsidR="00836FA4" w:rsidRPr="00836FA4">
        <w:t>1994</w:t>
      </w:r>
      <w:r>
        <w:t xml:space="preserve">) </w:t>
      </w:r>
      <w:proofErr w:type="gramStart"/>
      <w:r>
        <w:t>Immediately</w:t>
      </w:r>
      <w:proofErr w:type="gramEnd"/>
      <w:r>
        <w:t xml:space="preserve"> dangerous to life or health concentrations – </w:t>
      </w:r>
      <w:proofErr w:type="spellStart"/>
      <w:r w:rsidR="00836FA4" w:rsidRPr="00836FA4">
        <w:t>Ethylenediamine</w:t>
      </w:r>
      <w:proofErr w:type="spellEnd"/>
      <w:r>
        <w:t>.</w:t>
      </w:r>
    </w:p>
    <w:sectPr w:rsidR="007B2889" w:rsidRPr="00351FE0" w:rsidSect="008370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5D03E1" w16cid:durableId="2181325B"/>
  <w16cid:commentId w16cid:paraId="1D74D48F" w16cid:durableId="218133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EA26F" w14:textId="77777777" w:rsidR="007F176C" w:rsidRDefault="007F176C" w:rsidP="00F43AD5">
      <w:pPr>
        <w:spacing w:after="0" w:line="240" w:lineRule="auto"/>
      </w:pPr>
      <w:r>
        <w:separator/>
      </w:r>
    </w:p>
  </w:endnote>
  <w:endnote w:type="continuationSeparator" w:id="0">
    <w:p w14:paraId="7A6393F1" w14:textId="77777777" w:rsidR="007F176C" w:rsidRDefault="007F176C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77AD" w14:textId="77777777" w:rsidR="000A231F" w:rsidRDefault="000A2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475F" w14:textId="78B0EE3C" w:rsidR="00837082" w:rsidRDefault="00837082" w:rsidP="00837082">
    <w:pPr>
      <w:pStyle w:val="Footer"/>
      <w:rPr>
        <w:sz w:val="18"/>
        <w:szCs w:val="18"/>
      </w:rPr>
    </w:pPr>
    <w:proofErr w:type="spellStart"/>
    <w:r>
      <w:rPr>
        <w:b/>
        <w:sz w:val="18"/>
        <w:szCs w:val="18"/>
      </w:rPr>
      <w:t>Ethylenediamine</w:t>
    </w:r>
    <w:proofErr w:type="spellEnd"/>
    <w:r>
      <w:rPr>
        <w:b/>
        <w:sz w:val="18"/>
        <w:szCs w:val="18"/>
      </w:rPr>
      <w:t xml:space="preserve"> (107-15-3</w:t>
    </w:r>
    <w:proofErr w:type="gramStart"/>
    <w:r>
      <w:rPr>
        <w:b/>
        <w:sz w:val="18"/>
        <w:szCs w:val="18"/>
      </w:rPr>
      <w:t>)</w:t>
    </w:r>
    <w:proofErr w:type="gramEnd"/>
    <w:r>
      <w:rPr>
        <w:sz w:val="18"/>
        <w:szCs w:val="18"/>
      </w:rPr>
      <w:br/>
      <w:t xml:space="preserve">Safe Work Australia </w:t>
    </w:r>
    <w:r>
      <w:rPr>
        <w:rFonts w:ascii="Courier New" w:hAnsi="Courier New" w:cs="Courier New"/>
        <w:sz w:val="18"/>
        <w:szCs w:val="18"/>
      </w:rPr>
      <w:t>—</w:t>
    </w:r>
    <w:r>
      <w:rPr>
        <w:sz w:val="18"/>
        <w:szCs w:val="18"/>
      </w:rPr>
      <w:t xml:space="preserve"> 2019</w:t>
    </w:r>
  </w:p>
  <w:p w14:paraId="5633CEE5" w14:textId="0479B17A" w:rsidR="00837082" w:rsidRDefault="00837082" w:rsidP="00837082">
    <w:pPr>
      <w:pStyle w:val="Footer"/>
      <w:tabs>
        <w:tab w:val="clear" w:pos="4513"/>
        <w:tab w:val="clear" w:pos="9026"/>
        <w:tab w:val="left" w:pos="1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7E298" w14:textId="35B501F7" w:rsidR="00837082" w:rsidRDefault="00837082" w:rsidP="00837082">
    <w:pPr>
      <w:pStyle w:val="Footer"/>
      <w:rPr>
        <w:sz w:val="18"/>
        <w:szCs w:val="18"/>
      </w:rPr>
    </w:pPr>
    <w:proofErr w:type="spellStart"/>
    <w:r>
      <w:rPr>
        <w:b/>
        <w:sz w:val="18"/>
        <w:szCs w:val="18"/>
      </w:rPr>
      <w:t>Ethylenediamine</w:t>
    </w:r>
    <w:proofErr w:type="spellEnd"/>
    <w:r>
      <w:rPr>
        <w:b/>
        <w:sz w:val="18"/>
        <w:szCs w:val="18"/>
      </w:rPr>
      <w:t xml:space="preserve"> (107-15-3</w:t>
    </w:r>
    <w:proofErr w:type="gramStart"/>
    <w:r>
      <w:rPr>
        <w:b/>
        <w:sz w:val="18"/>
        <w:szCs w:val="18"/>
      </w:rPr>
      <w:t>)</w:t>
    </w:r>
    <w:proofErr w:type="gramEnd"/>
    <w:r>
      <w:rPr>
        <w:sz w:val="18"/>
        <w:szCs w:val="18"/>
      </w:rPr>
      <w:br/>
      <w:t xml:space="preserve">Safe Work Australia </w:t>
    </w:r>
    <w:r>
      <w:rPr>
        <w:rFonts w:ascii="Courier New" w:hAnsi="Courier New" w:cs="Courier New"/>
        <w:sz w:val="18"/>
        <w:szCs w:val="18"/>
      </w:rPr>
      <w:t>—</w:t>
    </w:r>
    <w:r>
      <w:rPr>
        <w:sz w:val="18"/>
        <w:szCs w:val="18"/>
      </w:rPr>
      <w:t xml:space="preserve"> 2019</w:t>
    </w:r>
  </w:p>
  <w:p w14:paraId="1543FD2B" w14:textId="77777777" w:rsidR="00837082" w:rsidRDefault="00837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096EB" w14:textId="77777777" w:rsidR="007F176C" w:rsidRDefault="007F176C" w:rsidP="00F43AD5">
      <w:pPr>
        <w:spacing w:after="0" w:line="240" w:lineRule="auto"/>
      </w:pPr>
      <w:r>
        <w:separator/>
      </w:r>
    </w:p>
  </w:footnote>
  <w:footnote w:type="continuationSeparator" w:id="0">
    <w:p w14:paraId="39A0821E" w14:textId="77777777" w:rsidR="007F176C" w:rsidRDefault="007F176C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9DDB" w14:textId="646D64E6" w:rsidR="000A231F" w:rsidRDefault="000A231F">
    <w:pPr>
      <w:pStyle w:val="Header"/>
    </w:pPr>
    <w:r>
      <w:rPr>
        <w:noProof/>
      </w:rPr>
      <w:pict w14:anchorId="3712B9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7438" o:spid="_x0000_s614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C1E7" w14:textId="69900E35" w:rsidR="008A36CF" w:rsidRDefault="000A231F" w:rsidP="00F43AD5">
    <w:pPr>
      <w:pStyle w:val="Header"/>
      <w:jc w:val="right"/>
    </w:pPr>
    <w:r>
      <w:rPr>
        <w:noProof/>
      </w:rPr>
      <w:pict w14:anchorId="4D2D9A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7439" o:spid="_x0000_s6147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38DB" w14:textId="71B4DC7D" w:rsidR="00837082" w:rsidRDefault="000A231F" w:rsidP="00837082">
    <w:pPr>
      <w:pStyle w:val="Header"/>
      <w:jc w:val="right"/>
    </w:pPr>
    <w:r>
      <w:rPr>
        <w:noProof/>
      </w:rPr>
      <w:pict w14:anchorId="15EE4A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7437" o:spid="_x0000_s6145" type="#_x0000_t136" style="position:absolute;left:0;text-align:left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37082">
      <w:rPr>
        <w:noProof/>
        <w:lang w:eastAsia="en-AU"/>
      </w:rPr>
      <w:drawing>
        <wp:inline distT="0" distB="0" distL="0" distR="0" wp14:anchorId="5908F5E3" wp14:editId="5561C679">
          <wp:extent cx="2938780" cy="597535"/>
          <wp:effectExtent l="0" t="0" r="0" b="0"/>
          <wp:docPr id="1" name="Picture 1" title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306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1AE1"/>
    <w:multiLevelType w:val="hybridMultilevel"/>
    <w:tmpl w:val="ABAEC16A"/>
    <w:lvl w:ilvl="0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13151A1"/>
    <w:multiLevelType w:val="hybridMultilevel"/>
    <w:tmpl w:val="ABC2E3DA"/>
    <w:lvl w:ilvl="0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DBD0B3B"/>
    <w:multiLevelType w:val="hybridMultilevel"/>
    <w:tmpl w:val="FDA8DAB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B5BA4"/>
    <w:multiLevelType w:val="hybridMultilevel"/>
    <w:tmpl w:val="BF98DB96"/>
    <w:lvl w:ilvl="0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7A780F8B"/>
    <w:multiLevelType w:val="hybridMultilevel"/>
    <w:tmpl w:val="E9D42C26"/>
    <w:lvl w:ilvl="0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7F802631"/>
    <w:multiLevelType w:val="hybridMultilevel"/>
    <w:tmpl w:val="A5B6E188"/>
    <w:lvl w:ilvl="0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6"/>
  </w:num>
  <w:num w:numId="16">
    <w:abstractNumId w:val="2"/>
  </w:num>
  <w:num w:numId="17">
    <w:abstractNumId w:val="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40ED"/>
    <w:rsid w:val="00067F32"/>
    <w:rsid w:val="00071807"/>
    <w:rsid w:val="000803E1"/>
    <w:rsid w:val="00084513"/>
    <w:rsid w:val="00084859"/>
    <w:rsid w:val="00092D94"/>
    <w:rsid w:val="000A231F"/>
    <w:rsid w:val="000A34C0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0EF1"/>
    <w:rsid w:val="000E5A54"/>
    <w:rsid w:val="000E63D3"/>
    <w:rsid w:val="000E67CF"/>
    <w:rsid w:val="000F20C4"/>
    <w:rsid w:val="0010461E"/>
    <w:rsid w:val="00106FAA"/>
    <w:rsid w:val="00107BAA"/>
    <w:rsid w:val="00113443"/>
    <w:rsid w:val="00122E8C"/>
    <w:rsid w:val="001269A7"/>
    <w:rsid w:val="00131092"/>
    <w:rsid w:val="00140E6A"/>
    <w:rsid w:val="00146545"/>
    <w:rsid w:val="00146B75"/>
    <w:rsid w:val="0015266D"/>
    <w:rsid w:val="0015288A"/>
    <w:rsid w:val="00160F47"/>
    <w:rsid w:val="00174DB0"/>
    <w:rsid w:val="00177CA1"/>
    <w:rsid w:val="00183823"/>
    <w:rsid w:val="00183942"/>
    <w:rsid w:val="001A009E"/>
    <w:rsid w:val="001A1287"/>
    <w:rsid w:val="001A21A2"/>
    <w:rsid w:val="001A3859"/>
    <w:rsid w:val="001A3C9D"/>
    <w:rsid w:val="001A43F8"/>
    <w:rsid w:val="001B1E6F"/>
    <w:rsid w:val="001B277E"/>
    <w:rsid w:val="001B79E5"/>
    <w:rsid w:val="001C0724"/>
    <w:rsid w:val="001C6834"/>
    <w:rsid w:val="001D56F0"/>
    <w:rsid w:val="001D663B"/>
    <w:rsid w:val="001D7B41"/>
    <w:rsid w:val="001E46DA"/>
    <w:rsid w:val="001E7D80"/>
    <w:rsid w:val="001F0407"/>
    <w:rsid w:val="001F1883"/>
    <w:rsid w:val="001F4B6C"/>
    <w:rsid w:val="001F62CB"/>
    <w:rsid w:val="001F6ED0"/>
    <w:rsid w:val="001F72E6"/>
    <w:rsid w:val="001F73C5"/>
    <w:rsid w:val="002029FD"/>
    <w:rsid w:val="002046A6"/>
    <w:rsid w:val="00204956"/>
    <w:rsid w:val="00211472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734A"/>
    <w:rsid w:val="00263255"/>
    <w:rsid w:val="002718F0"/>
    <w:rsid w:val="00276494"/>
    <w:rsid w:val="00277B0C"/>
    <w:rsid w:val="002A226E"/>
    <w:rsid w:val="002B1A2C"/>
    <w:rsid w:val="002C34F2"/>
    <w:rsid w:val="002C58FF"/>
    <w:rsid w:val="002C7AFE"/>
    <w:rsid w:val="002D05D2"/>
    <w:rsid w:val="002E0D61"/>
    <w:rsid w:val="002E4C7B"/>
    <w:rsid w:val="002F280D"/>
    <w:rsid w:val="0030740C"/>
    <w:rsid w:val="00315833"/>
    <w:rsid w:val="003215EE"/>
    <w:rsid w:val="003224BF"/>
    <w:rsid w:val="003241A8"/>
    <w:rsid w:val="003253F0"/>
    <w:rsid w:val="003337DA"/>
    <w:rsid w:val="00334EFB"/>
    <w:rsid w:val="00335CDE"/>
    <w:rsid w:val="003365A5"/>
    <w:rsid w:val="00337C1B"/>
    <w:rsid w:val="00347192"/>
    <w:rsid w:val="0034744C"/>
    <w:rsid w:val="00351FE0"/>
    <w:rsid w:val="00352615"/>
    <w:rsid w:val="0035412B"/>
    <w:rsid w:val="003567A8"/>
    <w:rsid w:val="00362895"/>
    <w:rsid w:val="00366CB7"/>
    <w:rsid w:val="00370DBF"/>
    <w:rsid w:val="0037300E"/>
    <w:rsid w:val="00374E3D"/>
    <w:rsid w:val="0038162A"/>
    <w:rsid w:val="00386093"/>
    <w:rsid w:val="003904A4"/>
    <w:rsid w:val="00391841"/>
    <w:rsid w:val="00391B6D"/>
    <w:rsid w:val="00392354"/>
    <w:rsid w:val="00394922"/>
    <w:rsid w:val="003A0E32"/>
    <w:rsid w:val="003A2B94"/>
    <w:rsid w:val="003B2883"/>
    <w:rsid w:val="003B387D"/>
    <w:rsid w:val="003C0D58"/>
    <w:rsid w:val="003D4FA3"/>
    <w:rsid w:val="003E0807"/>
    <w:rsid w:val="003E51FB"/>
    <w:rsid w:val="003E6B39"/>
    <w:rsid w:val="003F07E1"/>
    <w:rsid w:val="0040069A"/>
    <w:rsid w:val="004030BC"/>
    <w:rsid w:val="00403F7D"/>
    <w:rsid w:val="00406785"/>
    <w:rsid w:val="00407103"/>
    <w:rsid w:val="004079B4"/>
    <w:rsid w:val="00417A56"/>
    <w:rsid w:val="00420957"/>
    <w:rsid w:val="00422A10"/>
    <w:rsid w:val="00427F4C"/>
    <w:rsid w:val="00430179"/>
    <w:rsid w:val="004414B5"/>
    <w:rsid w:val="00444482"/>
    <w:rsid w:val="00444B42"/>
    <w:rsid w:val="00445E44"/>
    <w:rsid w:val="004509E2"/>
    <w:rsid w:val="004515EE"/>
    <w:rsid w:val="004529F0"/>
    <w:rsid w:val="00460A03"/>
    <w:rsid w:val="0047066A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365E0"/>
    <w:rsid w:val="005446A2"/>
    <w:rsid w:val="00544D2F"/>
    <w:rsid w:val="00551BD8"/>
    <w:rsid w:val="00581055"/>
    <w:rsid w:val="00591E38"/>
    <w:rsid w:val="005A19C5"/>
    <w:rsid w:val="005A3034"/>
    <w:rsid w:val="005A462D"/>
    <w:rsid w:val="005B253B"/>
    <w:rsid w:val="005B5D76"/>
    <w:rsid w:val="005B771D"/>
    <w:rsid w:val="005C5D16"/>
    <w:rsid w:val="005D3193"/>
    <w:rsid w:val="005D4A6E"/>
    <w:rsid w:val="005E6979"/>
    <w:rsid w:val="005E75CB"/>
    <w:rsid w:val="006009F5"/>
    <w:rsid w:val="006013C1"/>
    <w:rsid w:val="0060669E"/>
    <w:rsid w:val="00610F2E"/>
    <w:rsid w:val="00611399"/>
    <w:rsid w:val="00616DE9"/>
    <w:rsid w:val="00624C4E"/>
    <w:rsid w:val="00625200"/>
    <w:rsid w:val="00626E9D"/>
    <w:rsid w:val="006363A8"/>
    <w:rsid w:val="00636CD3"/>
    <w:rsid w:val="00636DB7"/>
    <w:rsid w:val="00650905"/>
    <w:rsid w:val="006532ED"/>
    <w:rsid w:val="006549F2"/>
    <w:rsid w:val="006567B7"/>
    <w:rsid w:val="00657BFB"/>
    <w:rsid w:val="0066333C"/>
    <w:rsid w:val="006639B4"/>
    <w:rsid w:val="006650FE"/>
    <w:rsid w:val="006653F5"/>
    <w:rsid w:val="0067305D"/>
    <w:rsid w:val="00677D9B"/>
    <w:rsid w:val="0068140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B50E3"/>
    <w:rsid w:val="006B6F82"/>
    <w:rsid w:val="006D79EA"/>
    <w:rsid w:val="006E5D05"/>
    <w:rsid w:val="00701053"/>
    <w:rsid w:val="00701507"/>
    <w:rsid w:val="00714021"/>
    <w:rsid w:val="00716A0F"/>
    <w:rsid w:val="00717D45"/>
    <w:rsid w:val="007208F7"/>
    <w:rsid w:val="00720E2E"/>
    <w:rsid w:val="007218AF"/>
    <w:rsid w:val="007365D1"/>
    <w:rsid w:val="00740E0E"/>
    <w:rsid w:val="007455BB"/>
    <w:rsid w:val="00750212"/>
    <w:rsid w:val="00751FD4"/>
    <w:rsid w:val="00754779"/>
    <w:rsid w:val="0075585B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B2889"/>
    <w:rsid w:val="007C30EB"/>
    <w:rsid w:val="007E063C"/>
    <w:rsid w:val="007E2A4B"/>
    <w:rsid w:val="007E307D"/>
    <w:rsid w:val="007E6A4E"/>
    <w:rsid w:val="007E6C94"/>
    <w:rsid w:val="007F1005"/>
    <w:rsid w:val="007F176C"/>
    <w:rsid w:val="007F25E0"/>
    <w:rsid w:val="007F5328"/>
    <w:rsid w:val="008046D2"/>
    <w:rsid w:val="00804F5A"/>
    <w:rsid w:val="00810C6D"/>
    <w:rsid w:val="00812887"/>
    <w:rsid w:val="00826F21"/>
    <w:rsid w:val="00834CC8"/>
    <w:rsid w:val="00835E00"/>
    <w:rsid w:val="00836FA4"/>
    <w:rsid w:val="00837082"/>
    <w:rsid w:val="00837113"/>
    <w:rsid w:val="008414E4"/>
    <w:rsid w:val="00843E21"/>
    <w:rsid w:val="0084508E"/>
    <w:rsid w:val="00857A8A"/>
    <w:rsid w:val="008630EE"/>
    <w:rsid w:val="00864D13"/>
    <w:rsid w:val="00871CD5"/>
    <w:rsid w:val="00873F29"/>
    <w:rsid w:val="008745A2"/>
    <w:rsid w:val="008768A8"/>
    <w:rsid w:val="0088798F"/>
    <w:rsid w:val="00887E4B"/>
    <w:rsid w:val="008915C8"/>
    <w:rsid w:val="00897D81"/>
    <w:rsid w:val="008A36CF"/>
    <w:rsid w:val="008A3BC4"/>
    <w:rsid w:val="008B403C"/>
    <w:rsid w:val="008B5184"/>
    <w:rsid w:val="008B7983"/>
    <w:rsid w:val="008C2511"/>
    <w:rsid w:val="008D026D"/>
    <w:rsid w:val="008D11E1"/>
    <w:rsid w:val="008D23AB"/>
    <w:rsid w:val="008D4B8B"/>
    <w:rsid w:val="008D5A78"/>
    <w:rsid w:val="008E155A"/>
    <w:rsid w:val="008E67D0"/>
    <w:rsid w:val="008E7B64"/>
    <w:rsid w:val="008F0EEB"/>
    <w:rsid w:val="008F5679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9303A"/>
    <w:rsid w:val="009971C2"/>
    <w:rsid w:val="00997647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0F7D"/>
    <w:rsid w:val="009E2214"/>
    <w:rsid w:val="009E355A"/>
    <w:rsid w:val="009E63E2"/>
    <w:rsid w:val="009F04D2"/>
    <w:rsid w:val="009F05CF"/>
    <w:rsid w:val="009F0F3A"/>
    <w:rsid w:val="009F6A5F"/>
    <w:rsid w:val="00A01D0C"/>
    <w:rsid w:val="00A0643F"/>
    <w:rsid w:val="00A067EE"/>
    <w:rsid w:val="00A10FCE"/>
    <w:rsid w:val="00A16541"/>
    <w:rsid w:val="00A16D91"/>
    <w:rsid w:val="00A174CC"/>
    <w:rsid w:val="00A2073D"/>
    <w:rsid w:val="00A20751"/>
    <w:rsid w:val="00A23885"/>
    <w:rsid w:val="00A27E2D"/>
    <w:rsid w:val="00A31D99"/>
    <w:rsid w:val="00A357BA"/>
    <w:rsid w:val="00A35ADC"/>
    <w:rsid w:val="00A402A3"/>
    <w:rsid w:val="00A53681"/>
    <w:rsid w:val="00A633D4"/>
    <w:rsid w:val="00A6461A"/>
    <w:rsid w:val="00A808F5"/>
    <w:rsid w:val="00A84504"/>
    <w:rsid w:val="00A8672F"/>
    <w:rsid w:val="00A93057"/>
    <w:rsid w:val="00A968B0"/>
    <w:rsid w:val="00AA3160"/>
    <w:rsid w:val="00AA5E5C"/>
    <w:rsid w:val="00AB2672"/>
    <w:rsid w:val="00AB2817"/>
    <w:rsid w:val="00AB43C4"/>
    <w:rsid w:val="00AC01FF"/>
    <w:rsid w:val="00AC32E7"/>
    <w:rsid w:val="00AC3A9F"/>
    <w:rsid w:val="00AC6D2F"/>
    <w:rsid w:val="00AD336E"/>
    <w:rsid w:val="00AE2745"/>
    <w:rsid w:val="00AE2F64"/>
    <w:rsid w:val="00AF2783"/>
    <w:rsid w:val="00AF42CB"/>
    <w:rsid w:val="00AF483F"/>
    <w:rsid w:val="00AF5E07"/>
    <w:rsid w:val="00AF5F06"/>
    <w:rsid w:val="00B00A25"/>
    <w:rsid w:val="00B1422A"/>
    <w:rsid w:val="00B1765C"/>
    <w:rsid w:val="00B213C4"/>
    <w:rsid w:val="00B40C60"/>
    <w:rsid w:val="00B40E94"/>
    <w:rsid w:val="00B479A9"/>
    <w:rsid w:val="00B52EDF"/>
    <w:rsid w:val="00B71188"/>
    <w:rsid w:val="00B76A41"/>
    <w:rsid w:val="00B873F5"/>
    <w:rsid w:val="00B87D4C"/>
    <w:rsid w:val="00B93646"/>
    <w:rsid w:val="00BA0B38"/>
    <w:rsid w:val="00BA1DBB"/>
    <w:rsid w:val="00BA4510"/>
    <w:rsid w:val="00BA529A"/>
    <w:rsid w:val="00BB612A"/>
    <w:rsid w:val="00BD499F"/>
    <w:rsid w:val="00BD56DE"/>
    <w:rsid w:val="00BF2406"/>
    <w:rsid w:val="00C06E43"/>
    <w:rsid w:val="00C16315"/>
    <w:rsid w:val="00C3091E"/>
    <w:rsid w:val="00C342EC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5DFF"/>
    <w:rsid w:val="00C978F0"/>
    <w:rsid w:val="00CA58FE"/>
    <w:rsid w:val="00CB1CB1"/>
    <w:rsid w:val="00CB6BC1"/>
    <w:rsid w:val="00CB6CB8"/>
    <w:rsid w:val="00CC1A68"/>
    <w:rsid w:val="00CC2123"/>
    <w:rsid w:val="00CD2BFD"/>
    <w:rsid w:val="00CE5AD6"/>
    <w:rsid w:val="00CE617F"/>
    <w:rsid w:val="00CE78EF"/>
    <w:rsid w:val="00D048F7"/>
    <w:rsid w:val="00D0517E"/>
    <w:rsid w:val="00D140FC"/>
    <w:rsid w:val="00D14B31"/>
    <w:rsid w:val="00D1741B"/>
    <w:rsid w:val="00D21D8C"/>
    <w:rsid w:val="00D31357"/>
    <w:rsid w:val="00D33220"/>
    <w:rsid w:val="00D334D1"/>
    <w:rsid w:val="00D44C89"/>
    <w:rsid w:val="00D46E7A"/>
    <w:rsid w:val="00D479DA"/>
    <w:rsid w:val="00D50D9C"/>
    <w:rsid w:val="00D516CD"/>
    <w:rsid w:val="00D62460"/>
    <w:rsid w:val="00D668E6"/>
    <w:rsid w:val="00D70670"/>
    <w:rsid w:val="00D74D80"/>
    <w:rsid w:val="00D76624"/>
    <w:rsid w:val="00D84F93"/>
    <w:rsid w:val="00D87570"/>
    <w:rsid w:val="00D91CB9"/>
    <w:rsid w:val="00D97989"/>
    <w:rsid w:val="00D97D8D"/>
    <w:rsid w:val="00DA352E"/>
    <w:rsid w:val="00DC7694"/>
    <w:rsid w:val="00DD1BF6"/>
    <w:rsid w:val="00DD2F9B"/>
    <w:rsid w:val="00DE2513"/>
    <w:rsid w:val="00DE26E8"/>
    <w:rsid w:val="00DF6F36"/>
    <w:rsid w:val="00E0084C"/>
    <w:rsid w:val="00E025AB"/>
    <w:rsid w:val="00E02B23"/>
    <w:rsid w:val="00E06F40"/>
    <w:rsid w:val="00E07CE8"/>
    <w:rsid w:val="00E26A07"/>
    <w:rsid w:val="00E32595"/>
    <w:rsid w:val="00E37CFD"/>
    <w:rsid w:val="00E41A26"/>
    <w:rsid w:val="00E46BCB"/>
    <w:rsid w:val="00E51CAF"/>
    <w:rsid w:val="00E60F04"/>
    <w:rsid w:val="00E62AAC"/>
    <w:rsid w:val="00E67C2F"/>
    <w:rsid w:val="00E67EF5"/>
    <w:rsid w:val="00E804EA"/>
    <w:rsid w:val="00E80A71"/>
    <w:rsid w:val="00E82337"/>
    <w:rsid w:val="00E92499"/>
    <w:rsid w:val="00E949AF"/>
    <w:rsid w:val="00E96077"/>
    <w:rsid w:val="00EA0A06"/>
    <w:rsid w:val="00EA2547"/>
    <w:rsid w:val="00EA6243"/>
    <w:rsid w:val="00EA74AB"/>
    <w:rsid w:val="00EB3D1B"/>
    <w:rsid w:val="00ED1D89"/>
    <w:rsid w:val="00ED2807"/>
    <w:rsid w:val="00ED66BC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23811"/>
    <w:rsid w:val="00F43AD5"/>
    <w:rsid w:val="00F4402E"/>
    <w:rsid w:val="00F56B34"/>
    <w:rsid w:val="00F56DD0"/>
    <w:rsid w:val="00F6491C"/>
    <w:rsid w:val="00F67BBB"/>
    <w:rsid w:val="00F87D92"/>
    <w:rsid w:val="00F90AA7"/>
    <w:rsid w:val="00F9104C"/>
    <w:rsid w:val="00F92498"/>
    <w:rsid w:val="00F9496B"/>
    <w:rsid w:val="00F970C9"/>
    <w:rsid w:val="00FA06A8"/>
    <w:rsid w:val="00FA3DF5"/>
    <w:rsid w:val="00FA741F"/>
    <w:rsid w:val="00FB4E07"/>
    <w:rsid w:val="00FB709F"/>
    <w:rsid w:val="00FB755A"/>
    <w:rsid w:val="00FC4BB4"/>
    <w:rsid w:val="00FC60A2"/>
    <w:rsid w:val="00FD1871"/>
    <w:rsid w:val="00FD28F5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0F20C4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46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46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9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ih.org/tlv-bei-guidelines/policies-procedures-present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EA51C8540A4D4F0A9062F5B1698D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35A6-51B4-4D9C-B1D2-B881B06F755D}"/>
      </w:docPartPr>
      <w:docPartBody>
        <w:p w:rsidR="00D21A9F" w:rsidRDefault="00D21A9F">
          <w:pPr>
            <w:pStyle w:val="EA51C8540A4D4F0A9062F5B1698DCBB0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DA727E810A55408799321AA7DA23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C5C85-4909-4DB7-AC7C-CD5F726822D8}"/>
      </w:docPartPr>
      <w:docPartBody>
        <w:p w:rsidR="002C015A" w:rsidRDefault="005E491C" w:rsidP="005E491C">
          <w:pPr>
            <w:pStyle w:val="DA727E810A55408799321AA7DA2317BD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181C8F"/>
    <w:rsid w:val="002C015A"/>
    <w:rsid w:val="005E491C"/>
    <w:rsid w:val="00C50F55"/>
    <w:rsid w:val="00D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91C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688969DDB2F647A7AE2B05FF975CC11D">
    <w:name w:val="688969DDB2F647A7AE2B05FF975CC11D"/>
    <w:rsid w:val="00C50F55"/>
  </w:style>
  <w:style w:type="paragraph" w:customStyle="1" w:styleId="9E26E19BF5C247028AA1EC5CB58CAF3C">
    <w:name w:val="9E26E19BF5C247028AA1EC5CB58CAF3C"/>
    <w:rsid w:val="00C50F55"/>
  </w:style>
  <w:style w:type="paragraph" w:customStyle="1" w:styleId="4582C36DBBEA49E19AC5BE7804D8265E">
    <w:name w:val="4582C36DBBEA49E19AC5BE7804D8265E"/>
    <w:rsid w:val="00C50F55"/>
  </w:style>
  <w:style w:type="paragraph" w:customStyle="1" w:styleId="92E889941AFC4AF7BE25CF8A887E953E">
    <w:name w:val="92E889941AFC4AF7BE25CF8A887E953E"/>
    <w:rsid w:val="00C50F55"/>
  </w:style>
  <w:style w:type="paragraph" w:customStyle="1" w:styleId="16585B4B900E4CF08161D088633E6C3D">
    <w:name w:val="16585B4B900E4CF08161D088633E6C3D"/>
    <w:rsid w:val="00C50F55"/>
  </w:style>
  <w:style w:type="paragraph" w:customStyle="1" w:styleId="1FAF1D91647E439D8F112D98B4F19725">
    <w:name w:val="1FAF1D91647E439D8F112D98B4F19725"/>
    <w:rsid w:val="00C50F55"/>
  </w:style>
  <w:style w:type="paragraph" w:customStyle="1" w:styleId="B98F7641F6494CD9AD66FFD6A4875ECF">
    <w:name w:val="B98F7641F6494CD9AD66FFD6A4875ECF"/>
    <w:rsid w:val="00C50F55"/>
  </w:style>
  <w:style w:type="paragraph" w:customStyle="1" w:styleId="9855F7096D0B4247A33AE4638D6BBE0C">
    <w:name w:val="9855F7096D0B4247A33AE4638D6BBE0C"/>
    <w:rsid w:val="00C50F55"/>
  </w:style>
  <w:style w:type="paragraph" w:customStyle="1" w:styleId="531741A632584E7DBF1AAA18327E35D2">
    <w:name w:val="531741A632584E7DBF1AAA18327E35D2"/>
    <w:rsid w:val="00C50F55"/>
  </w:style>
  <w:style w:type="paragraph" w:customStyle="1" w:styleId="DA727E810A55408799321AA7DA2317BD">
    <w:name w:val="DA727E810A55408799321AA7DA2317BD"/>
    <w:rsid w:val="005E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0474-968C-4B8A-A772-BF7F9177E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21A77-DC69-4C1C-96CD-54982C3CB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D5B03-5BE7-4698-9ACE-B90B16B35489}">
  <ds:schemaRefs>
    <ds:schemaRef ds:uri="bf54d604-3e62-4e70-ba33-9e9084b96a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D6D9A6-63B3-4BAF-AD7E-2690BD3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2019-11-12T05:03:00Z</dcterms:created>
  <dcterms:modified xsi:type="dcterms:W3CDTF">2019-12-03T01:20:00Z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