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</w:rPr>
        <w:alias w:val="NameofChemical"/>
        <w:tag w:val="NameofChemical"/>
        <w:id w:val="1425919599"/>
        <w:lock w:val="sdtLocked"/>
        <w:placeholder>
          <w:docPart w:val="CE1736E50B02464986D1BEC8B7ACDE96"/>
        </w:placeholder>
        <w:text/>
      </w:sdtPr>
      <w:sdtEndPr/>
      <w:sdtContent>
        <w:p w14:paraId="522564D5" w14:textId="5C55A05F" w:rsidR="00BD499F" w:rsidRPr="004C23F4" w:rsidRDefault="002E6FB5" w:rsidP="00B40C60">
          <w:pPr>
            <w:pStyle w:val="Heading1"/>
            <w:jc w:val="center"/>
            <w:rPr>
              <w:rFonts w:ascii="Arial" w:hAnsi="Arial" w:cs="Arial"/>
            </w:rPr>
          </w:pPr>
          <w:r w:rsidRPr="002E6FB5">
            <w:rPr>
              <w:rFonts w:ascii="Arial" w:hAnsi="Arial" w:cs="Arial"/>
            </w:rPr>
            <w:t>Fenamiphos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3974"/>
        <w:gridCol w:w="5052"/>
      </w:tblGrid>
      <w:tr w:rsidR="00F43AD5" w:rsidRPr="004C23F4" w14:paraId="114F1272" w14:textId="77777777" w:rsidTr="00B76A41">
        <w:trPr>
          <w:cantSplit/>
          <w:tblHeader/>
        </w:trPr>
        <w:tc>
          <w:tcPr>
            <w:tcW w:w="4077" w:type="dxa"/>
          </w:tcPr>
          <w:p w14:paraId="7F9A2AAC" w14:textId="77777777" w:rsidR="00F43AD5" w:rsidRPr="00921DE7" w:rsidRDefault="00CB1CB1" w:rsidP="00B76A41">
            <w:pPr>
              <w:pStyle w:val="Tablerowright"/>
            </w:pPr>
            <w:r w:rsidRPr="00921DE7">
              <w:t>CAS number:</w:t>
            </w:r>
          </w:p>
        </w:tc>
        <w:tc>
          <w:tcPr>
            <w:tcW w:w="5165" w:type="dxa"/>
          </w:tcPr>
          <w:p w14:paraId="58640CE2" w14:textId="1A9E97BA" w:rsidR="00F43AD5" w:rsidRPr="00717D45" w:rsidRDefault="002E6FB5" w:rsidP="00B76A41">
            <w:pPr>
              <w:pStyle w:val="Tablefont"/>
            </w:pPr>
            <w:r w:rsidRPr="002E6FB5">
              <w:t>22224-92-6</w:t>
            </w:r>
          </w:p>
        </w:tc>
      </w:tr>
      <w:tr w:rsidR="00F43AD5" w:rsidRPr="004C23F4" w14:paraId="6DF9A340" w14:textId="77777777" w:rsidTr="00B76A41">
        <w:trPr>
          <w:cantSplit/>
        </w:trPr>
        <w:tc>
          <w:tcPr>
            <w:tcW w:w="4077" w:type="dxa"/>
          </w:tcPr>
          <w:p w14:paraId="218358D0" w14:textId="77777777" w:rsidR="00F43AD5" w:rsidRPr="00921DE7" w:rsidRDefault="00CB1CB1" w:rsidP="00B76A41">
            <w:pPr>
              <w:pStyle w:val="Tablerowright"/>
            </w:pPr>
            <w:r w:rsidRPr="00921DE7">
              <w:t>Synonyms:</w:t>
            </w:r>
          </w:p>
        </w:tc>
        <w:tc>
          <w:tcPr>
            <w:tcW w:w="5165" w:type="dxa"/>
          </w:tcPr>
          <w:p w14:paraId="46F2DC48" w14:textId="26A4BF26" w:rsidR="00F43AD5" w:rsidRPr="00717D45" w:rsidRDefault="00C33E3A" w:rsidP="00B76A41">
            <w:pPr>
              <w:pStyle w:val="Tablefont"/>
            </w:pPr>
            <w:r>
              <w:t>ENT 27572, ethyl 3-methyl-</w:t>
            </w:r>
            <w:r w:rsidR="002F2669">
              <w:t>4-(methylthio)phenyl(1-methyle</w:t>
            </w:r>
            <w:r w:rsidR="001E508D">
              <w:t>thyl)-phosphoramidate, nemacur</w:t>
            </w:r>
          </w:p>
        </w:tc>
      </w:tr>
      <w:tr w:rsidR="00F43AD5" w:rsidRPr="004C23F4" w14:paraId="6758A78F" w14:textId="77777777" w:rsidTr="00B76A41">
        <w:trPr>
          <w:cantSplit/>
        </w:trPr>
        <w:tc>
          <w:tcPr>
            <w:tcW w:w="4077" w:type="dxa"/>
          </w:tcPr>
          <w:p w14:paraId="1CF8BA13" w14:textId="77777777" w:rsidR="00F43AD5" w:rsidRPr="00921DE7" w:rsidRDefault="00CB1CB1" w:rsidP="00B76A41">
            <w:pPr>
              <w:pStyle w:val="Tablerowright"/>
            </w:pPr>
            <w:r w:rsidRPr="00921DE7">
              <w:t>Chemical formula:</w:t>
            </w:r>
          </w:p>
        </w:tc>
        <w:tc>
          <w:tcPr>
            <w:tcW w:w="5165" w:type="dxa"/>
          </w:tcPr>
          <w:p w14:paraId="0D072D11" w14:textId="46389C14" w:rsidR="00F43AD5" w:rsidRPr="00717D45" w:rsidRDefault="002F2669" w:rsidP="00B76A41">
            <w:pPr>
              <w:pStyle w:val="Tablefont"/>
            </w:pPr>
            <w:r>
              <w:t>C</w:t>
            </w:r>
            <w:r w:rsidRPr="002F2669">
              <w:rPr>
                <w:vertAlign w:val="subscript"/>
              </w:rPr>
              <w:t>13</w:t>
            </w:r>
            <w:r>
              <w:t>H</w:t>
            </w:r>
            <w:r w:rsidRPr="002F2669">
              <w:rPr>
                <w:vertAlign w:val="subscript"/>
              </w:rPr>
              <w:t>22</w:t>
            </w:r>
            <w:r>
              <w:t>NO</w:t>
            </w:r>
            <w:r w:rsidRPr="002F2669">
              <w:rPr>
                <w:vertAlign w:val="subscript"/>
              </w:rPr>
              <w:t>3</w:t>
            </w:r>
            <w:r>
              <w:t>PS</w:t>
            </w:r>
          </w:p>
        </w:tc>
      </w:tr>
      <w:tr w:rsidR="00F43AD5" w:rsidRPr="004C23F4" w14:paraId="48220736" w14:textId="77777777" w:rsidTr="00B76A41">
        <w:trPr>
          <w:cantSplit/>
        </w:trPr>
        <w:tc>
          <w:tcPr>
            <w:tcW w:w="4077" w:type="dxa"/>
          </w:tcPr>
          <w:p w14:paraId="4F21169A" w14:textId="77777777" w:rsidR="00F43AD5" w:rsidRPr="00921DE7" w:rsidRDefault="00CB1CB1" w:rsidP="00B76A41">
            <w:pPr>
              <w:pStyle w:val="Tablerowright"/>
            </w:pPr>
            <w:r w:rsidRPr="00921DE7">
              <w:t>Structural formula:</w:t>
            </w:r>
          </w:p>
        </w:tc>
        <w:tc>
          <w:tcPr>
            <w:tcW w:w="5165" w:type="dxa"/>
          </w:tcPr>
          <w:p w14:paraId="436D033D" w14:textId="53D87F81" w:rsidR="00F43AD5" w:rsidRPr="00B40C60" w:rsidRDefault="002F2669" w:rsidP="00B76A41">
            <w:pPr>
              <w:pStyle w:val="Tablerowheading"/>
              <w:rPr>
                <w:b w:val="0"/>
              </w:rPr>
            </w:pPr>
            <w:r w:rsidRPr="002F2669">
              <w:rPr>
                <w:b w:val="0"/>
              </w:rPr>
              <w:t>—</w:t>
            </w:r>
          </w:p>
        </w:tc>
      </w:tr>
    </w:tbl>
    <w:p w14:paraId="5C7B8A77" w14:textId="456885CB" w:rsidR="00AE2745" w:rsidRDefault="00AE2745" w:rsidP="00AE2745">
      <w:pPr>
        <w:pStyle w:val="WES"/>
        <w:tabs>
          <w:tab w:val="left" w:pos="2041"/>
        </w:tabs>
      </w:pPr>
      <w:r>
        <w:tab/>
      </w:r>
      <w:r w:rsidRPr="002C58FF">
        <w:t xml:space="preserve">Workplace </w:t>
      </w:r>
      <w:r>
        <w:t>exposure s</w:t>
      </w:r>
      <w:r w:rsidRPr="002C58FF">
        <w:t xml:space="preserve">tandard </w:t>
      </w:r>
      <w:sdt>
        <w:sdtPr>
          <w:rPr>
            <w:rStyle w:val="WESstatus"/>
          </w:rPr>
          <w:id w:val="-1336530191"/>
          <w:placeholder>
            <w:docPart w:val="E23B83A762C94EBA8097A4DA3FB4D503"/>
          </w:placeholder>
          <w:comboBox>
            <w:listItem w:displayText="(amended)" w:value="(amended)"/>
            <w:listItem w:displayText="(interim)" w:value="(interim)"/>
            <w:listItem w:displayText="(new)" w:value="(new)"/>
            <w:listItem w:displayText="(retained)" w:value="(retained)"/>
          </w:comboBox>
        </w:sdtPr>
        <w:sdtEndPr>
          <w:rPr>
            <w:rStyle w:val="WESstatus"/>
          </w:rPr>
        </w:sdtEndPr>
        <w:sdtContent>
          <w:r w:rsidR="001E508D">
            <w:rPr>
              <w:rStyle w:val="WESstatus"/>
            </w:rPr>
            <w:t>(amended)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4002"/>
        <w:gridCol w:w="5024"/>
      </w:tblGrid>
      <w:tr w:rsidR="002C7AFE" w:rsidRPr="004C23F4" w14:paraId="16FFA7CE" w14:textId="77777777" w:rsidTr="00863A69">
        <w:trPr>
          <w:cantSplit/>
          <w:tblHeader/>
        </w:trPr>
        <w:tc>
          <w:tcPr>
            <w:tcW w:w="4002" w:type="dxa"/>
            <w:vAlign w:val="center"/>
          </w:tcPr>
          <w:p w14:paraId="0A7BEDFF" w14:textId="77777777" w:rsidR="002C7AFE" w:rsidRPr="002C58FF" w:rsidRDefault="00921DE7" w:rsidP="00921DE7">
            <w:pPr>
              <w:pStyle w:val="Tablerowright"/>
            </w:pPr>
            <w:r>
              <w:t>TWA:</w:t>
            </w:r>
          </w:p>
        </w:tc>
        <w:tc>
          <w:tcPr>
            <w:tcW w:w="5024" w:type="dxa"/>
          </w:tcPr>
          <w:p w14:paraId="4F65FF4A" w14:textId="33321AA0" w:rsidR="002C7AFE" w:rsidRPr="00EB3D1B" w:rsidRDefault="001E508D" w:rsidP="00586D6D">
            <w:pPr>
              <w:pStyle w:val="Tablefont"/>
              <w:rPr>
                <w:b/>
              </w:rPr>
            </w:pPr>
            <w:r w:rsidRPr="001E508D">
              <w:rPr>
                <w:b/>
              </w:rPr>
              <w:t>0.05 mg/m</w:t>
            </w:r>
            <w:r w:rsidRPr="001E508D">
              <w:rPr>
                <w:b/>
                <w:vertAlign w:val="superscript"/>
              </w:rPr>
              <w:t>3</w:t>
            </w:r>
            <w:r w:rsidR="001B604D">
              <w:rPr>
                <w:b/>
              </w:rPr>
              <w:t xml:space="preserve"> (</w:t>
            </w:r>
            <w:r>
              <w:rPr>
                <w:b/>
              </w:rPr>
              <w:t>inhalable fraction and vapour</w:t>
            </w:r>
            <w:r w:rsidR="001B604D">
              <w:rPr>
                <w:b/>
              </w:rPr>
              <w:t>)</w:t>
            </w:r>
          </w:p>
        </w:tc>
      </w:tr>
      <w:tr w:rsidR="002C7AFE" w:rsidRPr="004C23F4" w14:paraId="55F29C8E" w14:textId="77777777" w:rsidTr="00863A69">
        <w:trPr>
          <w:cantSplit/>
        </w:trPr>
        <w:tc>
          <w:tcPr>
            <w:tcW w:w="4002" w:type="dxa"/>
            <w:vAlign w:val="center"/>
          </w:tcPr>
          <w:p w14:paraId="68D54F38" w14:textId="77777777" w:rsidR="002C7AFE" w:rsidRPr="002C58FF" w:rsidRDefault="002C7AFE" w:rsidP="00921DE7">
            <w:pPr>
              <w:pStyle w:val="Tablerowright"/>
            </w:pPr>
            <w:r w:rsidRPr="002C58FF">
              <w:t>STEL</w:t>
            </w:r>
            <w:r w:rsidR="00921DE7">
              <w:t>:</w:t>
            </w:r>
          </w:p>
        </w:tc>
        <w:tc>
          <w:tcPr>
            <w:tcW w:w="5024" w:type="dxa"/>
          </w:tcPr>
          <w:p w14:paraId="5A4CF8D3" w14:textId="5DC998C5" w:rsidR="002C7AFE" w:rsidRPr="00EB3D1B" w:rsidRDefault="001E508D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—</w:t>
            </w:r>
          </w:p>
        </w:tc>
      </w:tr>
      <w:tr w:rsidR="002C7AFE" w:rsidRPr="004C23F4" w14:paraId="17A4EEB6" w14:textId="77777777" w:rsidTr="00863A69">
        <w:trPr>
          <w:cantSplit/>
        </w:trPr>
        <w:tc>
          <w:tcPr>
            <w:tcW w:w="4002" w:type="dxa"/>
            <w:vAlign w:val="center"/>
          </w:tcPr>
          <w:p w14:paraId="576CCE9F" w14:textId="77777777" w:rsidR="002C7AFE" w:rsidRPr="002C58FF" w:rsidRDefault="00921DE7" w:rsidP="00921DE7">
            <w:pPr>
              <w:pStyle w:val="Tablerowright"/>
            </w:pPr>
            <w:r>
              <w:t>Peak limitation:</w:t>
            </w:r>
          </w:p>
        </w:tc>
        <w:tc>
          <w:tcPr>
            <w:tcW w:w="5024" w:type="dxa"/>
          </w:tcPr>
          <w:p w14:paraId="043F9E34" w14:textId="39207ACB" w:rsidR="002C7AFE" w:rsidRPr="00EB3D1B" w:rsidRDefault="001E508D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—</w:t>
            </w:r>
          </w:p>
        </w:tc>
      </w:tr>
      <w:tr w:rsidR="002C7AFE" w:rsidRPr="004C23F4" w14:paraId="076C5D6C" w14:textId="77777777" w:rsidTr="00863A69">
        <w:trPr>
          <w:cantSplit/>
        </w:trPr>
        <w:tc>
          <w:tcPr>
            <w:tcW w:w="4002" w:type="dxa"/>
          </w:tcPr>
          <w:p w14:paraId="2D6669FA" w14:textId="77777777" w:rsidR="002C7AFE" w:rsidRPr="002C58FF" w:rsidRDefault="00A2073D" w:rsidP="003241A8">
            <w:pPr>
              <w:pStyle w:val="Tablerowright"/>
            </w:pPr>
            <w:r>
              <w:rPr>
                <w:b w:val="0"/>
                <w:bCs/>
                <w:color w:val="000000" w:themeColor="text1"/>
              </w:rPr>
              <w:tab/>
            </w:r>
            <w:r w:rsidR="00921DE7" w:rsidRPr="003241A8">
              <w:t>Notations</w:t>
            </w:r>
            <w:r w:rsidR="00921DE7">
              <w:t>:</w:t>
            </w:r>
          </w:p>
        </w:tc>
        <w:tc>
          <w:tcPr>
            <w:tcW w:w="5024" w:type="dxa"/>
          </w:tcPr>
          <w:p w14:paraId="4CFC5597" w14:textId="388FCBF9" w:rsidR="002C7AFE" w:rsidRPr="00EB3D1B" w:rsidRDefault="001E508D" w:rsidP="008A36CF">
            <w:pPr>
              <w:pStyle w:val="Tablefont"/>
              <w:rPr>
                <w:b/>
              </w:rPr>
            </w:pPr>
            <w:r>
              <w:rPr>
                <w:b/>
              </w:rPr>
              <w:t>Sk.</w:t>
            </w:r>
          </w:p>
        </w:tc>
      </w:tr>
      <w:tr w:rsidR="002C7AFE" w:rsidRPr="004C23F4" w14:paraId="5A7F4ABD" w14:textId="77777777" w:rsidTr="00863A69">
        <w:trPr>
          <w:cantSplit/>
        </w:trPr>
        <w:tc>
          <w:tcPr>
            <w:tcW w:w="4002" w:type="dxa"/>
            <w:vAlign w:val="center"/>
          </w:tcPr>
          <w:p w14:paraId="6348AA5C" w14:textId="77777777" w:rsidR="00F10C97" w:rsidRPr="002C58FF" w:rsidRDefault="00921DE7" w:rsidP="009F04D2">
            <w:pPr>
              <w:pStyle w:val="Tablerowright"/>
            </w:pPr>
            <w:r>
              <w:t>IDLH:</w:t>
            </w:r>
          </w:p>
        </w:tc>
        <w:tc>
          <w:tcPr>
            <w:tcW w:w="5024" w:type="dxa"/>
          </w:tcPr>
          <w:p w14:paraId="75BC791D" w14:textId="73540168" w:rsidR="002C7AFE" w:rsidRPr="00EB3D1B" w:rsidRDefault="002F2669" w:rsidP="00017C82">
            <w:pPr>
              <w:pStyle w:val="Tablefont"/>
              <w:rPr>
                <w:b/>
              </w:rPr>
            </w:pPr>
            <w:r w:rsidRPr="002F2669">
              <w:t>—</w:t>
            </w:r>
          </w:p>
        </w:tc>
      </w:tr>
      <w:tr w:rsidR="00863A69" w:rsidRPr="004C23F4" w14:paraId="68864A12" w14:textId="77777777" w:rsidTr="007B01AA">
        <w:trPr>
          <w:cantSplit/>
        </w:trPr>
        <w:tc>
          <w:tcPr>
            <w:tcW w:w="9026" w:type="dxa"/>
            <w:gridSpan w:val="2"/>
            <w:vAlign w:val="center"/>
          </w:tcPr>
          <w:p w14:paraId="56327383" w14:textId="270922DB" w:rsidR="00863A69" w:rsidRPr="007D1FC6" w:rsidRDefault="00863A69" w:rsidP="00017C82">
            <w:pPr>
              <w:pStyle w:val="Tablefont"/>
            </w:pPr>
            <w:r w:rsidRPr="007D1FC6">
              <w:rPr>
                <w:b/>
              </w:rPr>
              <w:t>Sampling and analysis:</w:t>
            </w:r>
            <w:r w:rsidRPr="007D1FC6">
              <w:rPr>
                <w:rStyle w:val="WESstatus"/>
                <w:color w:val="auto"/>
              </w:rPr>
              <w:t xml:space="preserve"> </w:t>
            </w:r>
            <w:sdt>
              <w:sdtPr>
                <w:rPr>
                  <w:rStyle w:val="WESstatus"/>
                  <w:color w:val="auto"/>
                </w:rPr>
                <w:id w:val="-2105258949"/>
                <w:placeholder>
                  <w:docPart w:val="51BD8E9C6C9B40C8914AB6F5D5846177"/>
                </w:placeholder>
                <w:comboBox>
                  <w:listItem w:displayText="(Click here to enter)" w:value="(Click here to enter)"/>
                  <w:listItem w:displayText="The recommended value is likely to be below the current limit of detection for standard sampling and analysis techniques." w:value="The recommended value is likely to be below the current limit of detection for standard sampling and analysis techniques."/>
                  <w:listItem w:displayText="The recommended value is quantifiable through available sampling and analysis techniques. " w:value="The recommended value is quantifiable through available sampling and analysis techniques. "/>
                  <w:listItem w:displayText="There is uncertainty regarding quantification of the recommended value with available sampling and/or analysis techniques." w:value="There is uncertainty regarding quantification of the recommended value with available sampling and/or analysis techniques."/>
                </w:comboBox>
              </w:sdtPr>
              <w:sdtEndPr>
                <w:rPr>
                  <w:rStyle w:val="WESstatus"/>
                </w:rPr>
              </w:sdtEndPr>
              <w:sdtContent>
                <w:r w:rsidR="001B604D" w:rsidRPr="007D1FC6">
                  <w:rPr>
                    <w:rStyle w:val="WESstatus"/>
                    <w:color w:val="auto"/>
                  </w:rPr>
                  <w:t xml:space="preserve">The recommended value is quantifiable through available sampling and analysis techniques. </w:t>
                </w:r>
              </w:sdtContent>
            </w:sdt>
          </w:p>
        </w:tc>
      </w:tr>
    </w:tbl>
    <w:p w14:paraId="02D47A72" w14:textId="77777777" w:rsidR="00CB1CB1" w:rsidRPr="003365A5" w:rsidRDefault="00F10C97" w:rsidP="003365A5">
      <w:pPr>
        <w:pStyle w:val="Heading2"/>
      </w:pPr>
      <w:r>
        <w:t>Recommendation and basis for workplace exposure standard</w:t>
      </w:r>
    </w:p>
    <w:p w14:paraId="2C6A1C17" w14:textId="7E8E17A8" w:rsidR="006639B4" w:rsidRPr="004C23F4" w:rsidRDefault="001B604D" w:rsidP="000C139A">
      <w:pPr>
        <w:rPr>
          <w:rFonts w:cs="Arial"/>
        </w:rPr>
      </w:pPr>
      <w:r>
        <w:rPr>
          <w:rFonts w:cs="Arial"/>
        </w:rPr>
        <w:t xml:space="preserve">A TWA of </w:t>
      </w:r>
      <w:r w:rsidR="001E508D">
        <w:rPr>
          <w:rFonts w:cs="Arial"/>
        </w:rPr>
        <w:t>0.05</w:t>
      </w:r>
      <w:r w:rsidR="001E508D" w:rsidRPr="001E508D">
        <w:rPr>
          <w:rFonts w:cs="Arial"/>
        </w:rPr>
        <w:t xml:space="preserve"> mg/m</w:t>
      </w:r>
      <w:r w:rsidR="001E508D" w:rsidRPr="001E508D">
        <w:rPr>
          <w:rFonts w:cs="Arial"/>
          <w:vertAlign w:val="superscript"/>
        </w:rPr>
        <w:t>3</w:t>
      </w:r>
      <w:r w:rsidR="001E508D" w:rsidRPr="001E508D">
        <w:rPr>
          <w:rFonts w:cs="Arial"/>
        </w:rPr>
        <w:t xml:space="preserve"> is recommended to protect for </w:t>
      </w:r>
      <w:r w:rsidR="001E508D">
        <w:rPr>
          <w:rFonts w:cs="Arial"/>
        </w:rPr>
        <w:t>cholinergic effects in exposed workers.</w:t>
      </w:r>
    </w:p>
    <w:p w14:paraId="7DC46C6E" w14:textId="77777777" w:rsidR="00C7155E" w:rsidRPr="004C23F4" w:rsidRDefault="00F10C97" w:rsidP="003365A5">
      <w:pPr>
        <w:pStyle w:val="Heading2"/>
      </w:pPr>
      <w:r>
        <w:t>Discussion and conclusions</w:t>
      </w:r>
    </w:p>
    <w:p w14:paraId="7380B324" w14:textId="62D37985" w:rsidR="006639B4" w:rsidRDefault="00F8452C" w:rsidP="006639B4">
      <w:pPr>
        <w:rPr>
          <w:rFonts w:cs="Arial"/>
        </w:rPr>
      </w:pPr>
      <w:r>
        <w:rPr>
          <w:rFonts w:cs="Arial"/>
        </w:rPr>
        <w:t>Fenamiphos is an</w:t>
      </w:r>
      <w:r w:rsidR="00586D6D">
        <w:rPr>
          <w:rFonts w:cs="Arial"/>
        </w:rPr>
        <w:t xml:space="preserve"> organophosphate</w:t>
      </w:r>
      <w:r>
        <w:rPr>
          <w:rFonts w:cs="Arial"/>
        </w:rPr>
        <w:t xml:space="preserve"> insecticide that </w:t>
      </w:r>
      <w:r w:rsidR="00586D6D">
        <w:rPr>
          <w:rFonts w:cs="Arial"/>
        </w:rPr>
        <w:t>is no longer registered for use in Australia</w:t>
      </w:r>
      <w:r>
        <w:rPr>
          <w:rFonts w:cs="Arial"/>
        </w:rPr>
        <w:t xml:space="preserve">. </w:t>
      </w:r>
      <w:r w:rsidR="00586D6D">
        <w:rPr>
          <w:rFonts w:cs="Arial"/>
        </w:rPr>
        <w:t>Based on animal studies, the c</w:t>
      </w:r>
      <w:r>
        <w:rPr>
          <w:rFonts w:cs="Arial"/>
        </w:rPr>
        <w:t xml:space="preserve">ritical effect of exposure is cholinesterase inhibition. </w:t>
      </w:r>
      <w:r w:rsidR="001E508D">
        <w:rPr>
          <w:rFonts w:cs="Arial"/>
        </w:rPr>
        <w:t>Acute toxicity in humans has been associated with nausea, vomiting and abdominal pain (ACGIH, 2018)</w:t>
      </w:r>
    </w:p>
    <w:p w14:paraId="5C9A4D1E" w14:textId="2A6DD64D" w:rsidR="000D6E67" w:rsidRDefault="00586D6D" w:rsidP="006639B4">
      <w:r>
        <w:rPr>
          <w:rFonts w:cs="Arial"/>
        </w:rPr>
        <w:t>Human exposure data are limited and</w:t>
      </w:r>
      <w:r w:rsidR="004A652D">
        <w:rPr>
          <w:rFonts w:cs="Arial"/>
        </w:rPr>
        <w:t xml:space="preserve"> the recommended TWA is based on chro</w:t>
      </w:r>
      <w:r w:rsidR="00F0294A">
        <w:rPr>
          <w:rFonts w:cs="Arial"/>
        </w:rPr>
        <w:t>nic</w:t>
      </w:r>
      <w:r w:rsidR="000D6E67">
        <w:rPr>
          <w:rFonts w:cs="Arial"/>
        </w:rPr>
        <w:t xml:space="preserve"> and sub</w:t>
      </w:r>
      <w:r w:rsidR="000D6E67">
        <w:rPr>
          <w:rFonts w:cs="Arial"/>
        </w:rPr>
        <w:noBreakHyphen/>
        <w:t xml:space="preserve">chronic </w:t>
      </w:r>
      <w:r w:rsidR="00F0294A">
        <w:rPr>
          <w:rFonts w:cs="Arial"/>
        </w:rPr>
        <w:t xml:space="preserve">feeding studies in </w:t>
      </w:r>
      <w:r w:rsidR="000D6E67">
        <w:rPr>
          <w:rFonts w:cs="Arial"/>
        </w:rPr>
        <w:t xml:space="preserve">dogs and rats </w:t>
      </w:r>
      <w:r w:rsidR="004A652D">
        <w:rPr>
          <w:rFonts w:cs="Arial"/>
        </w:rPr>
        <w:t xml:space="preserve">(ACGIH, 2018). </w:t>
      </w:r>
      <w:r>
        <w:rPr>
          <w:rFonts w:cs="Arial"/>
        </w:rPr>
        <w:t xml:space="preserve">Dogs are considered the sensitive species and </w:t>
      </w:r>
      <w:r w:rsidR="004A652D">
        <w:rPr>
          <w:rFonts w:cs="Arial"/>
        </w:rPr>
        <w:t xml:space="preserve">NOAELs for red blood cell (RBC), plasma and brain cholinesterase inhibition range from </w:t>
      </w:r>
      <w:r w:rsidR="004A652D">
        <w:t>0.025 to 0.04</w:t>
      </w:r>
      <w:r w:rsidR="00D05E83">
        <w:t> </w:t>
      </w:r>
      <w:r w:rsidR="004A652D">
        <w:t>mg/kg/d</w:t>
      </w:r>
      <w:r w:rsidR="007C531D">
        <w:t>ay</w:t>
      </w:r>
      <w:r w:rsidR="004A652D">
        <w:t>.</w:t>
      </w:r>
    </w:p>
    <w:p w14:paraId="785BCF59" w14:textId="25AD84F8" w:rsidR="00F0294A" w:rsidRDefault="000D6E67" w:rsidP="006639B4">
      <w:r>
        <w:t xml:space="preserve">It is recommended that the TWA </w:t>
      </w:r>
      <w:r w:rsidR="00D05E83">
        <w:t>of 0.05 mg/m</w:t>
      </w:r>
      <w:r w:rsidR="00D05E83" w:rsidRPr="00E97F89">
        <w:rPr>
          <w:vertAlign w:val="superscript"/>
        </w:rPr>
        <w:t>3</w:t>
      </w:r>
      <w:r w:rsidR="00D05E83">
        <w:t xml:space="preserve"> </w:t>
      </w:r>
      <w:r>
        <w:t>derived by ACGIH (2018)</w:t>
      </w:r>
      <w:r w:rsidR="004A652D">
        <w:t xml:space="preserve"> </w:t>
      </w:r>
      <w:r>
        <w:t xml:space="preserve">be adopted. ACHIH derived the TWA by calculating an equivalent inhalational NOAEC based on the NOAEL of 0.025 mg/kg/day in the dog study reported by ACGIH (2018). </w:t>
      </w:r>
      <w:r w:rsidR="00D05E83">
        <w:t xml:space="preserve">Results of a three-week inhalational study </w:t>
      </w:r>
      <w:r w:rsidR="009E1C08">
        <w:t xml:space="preserve">in </w:t>
      </w:r>
      <w:r w:rsidR="00D05E83">
        <w:t>rats support the extrapolation from oral studies.</w:t>
      </w:r>
      <w:r>
        <w:t xml:space="preserve"> </w:t>
      </w:r>
      <w:r w:rsidR="00D05E83">
        <w:t xml:space="preserve">The recommended TWA is considered to </w:t>
      </w:r>
      <w:r w:rsidR="009745E4">
        <w:t>protect for</w:t>
      </w:r>
      <w:r w:rsidR="00D05E83">
        <w:t xml:space="preserve"> cholinesterase </w:t>
      </w:r>
      <w:r w:rsidR="005A3E93">
        <w:t xml:space="preserve">inhibition </w:t>
      </w:r>
      <w:r w:rsidR="009745E4">
        <w:t>in exp</w:t>
      </w:r>
      <w:bookmarkStart w:id="0" w:name="_GoBack"/>
      <w:bookmarkEnd w:id="0"/>
      <w:r w:rsidR="009745E4">
        <w:t>osed workers</w:t>
      </w:r>
      <w:r w:rsidR="0055388F">
        <w:t>.</w:t>
      </w:r>
    </w:p>
    <w:p w14:paraId="2B655D99" w14:textId="77777777" w:rsidR="004529F0" w:rsidRPr="004C23F4" w:rsidRDefault="004529F0" w:rsidP="004529F0">
      <w:pPr>
        <w:pStyle w:val="Heading2"/>
      </w:pPr>
      <w:r>
        <w:t>Recommendation for notations</w:t>
      </w:r>
    </w:p>
    <w:p w14:paraId="0D4D9156" w14:textId="0479CCC8" w:rsidR="002E6FB5" w:rsidRDefault="002E6FB5" w:rsidP="002E6FB5">
      <w:pPr>
        <w:rPr>
          <w:rFonts w:cs="Arial"/>
        </w:rPr>
      </w:pPr>
      <w:r>
        <w:rPr>
          <w:rFonts w:cs="Arial"/>
        </w:rPr>
        <w:t>Not classified as a carcinogen according to the Globally Harmonized System of</w:t>
      </w:r>
      <w:r w:rsidR="001B604D">
        <w:rPr>
          <w:rFonts w:cs="Arial"/>
        </w:rPr>
        <w:t xml:space="preserve"> Classification and Labelling of</w:t>
      </w:r>
      <w:r>
        <w:rPr>
          <w:rFonts w:cs="Arial"/>
        </w:rPr>
        <w:t xml:space="preserve"> Chemicals (GHS). </w:t>
      </w:r>
    </w:p>
    <w:p w14:paraId="73CD5A7E" w14:textId="69062CE0" w:rsidR="002E6FB5" w:rsidRDefault="002E6FB5" w:rsidP="002E6FB5">
      <w:pPr>
        <w:rPr>
          <w:rFonts w:cs="Arial"/>
        </w:rPr>
      </w:pPr>
      <w:r>
        <w:rPr>
          <w:rFonts w:cs="Arial"/>
        </w:rPr>
        <w:t>Not classified as a skin</w:t>
      </w:r>
      <w:r w:rsidR="001B604D">
        <w:rPr>
          <w:rFonts w:cs="Arial"/>
        </w:rPr>
        <w:t xml:space="preserve"> sensitiser</w:t>
      </w:r>
      <w:r>
        <w:rPr>
          <w:rFonts w:cs="Arial"/>
        </w:rPr>
        <w:t xml:space="preserve"> or respiratory sensitiser according to the GHS.</w:t>
      </w:r>
    </w:p>
    <w:p w14:paraId="4D2E1A12" w14:textId="363B60B7" w:rsidR="005E6979" w:rsidRPr="004C23F4" w:rsidRDefault="001A3990">
      <w:pPr>
        <w:rPr>
          <w:rFonts w:cs="Arial"/>
        </w:rPr>
        <w:sectPr w:rsidR="005E6979" w:rsidRPr="004C23F4" w:rsidSect="00B479A9">
          <w:headerReference w:type="default" r:id="rId11"/>
          <w:footerReference w:type="default" r:id="rId12"/>
          <w:pgSz w:w="11906" w:h="16838"/>
          <w:pgMar w:top="1985" w:right="1440" w:bottom="1440" w:left="1440" w:header="708" w:footer="283" w:gutter="0"/>
          <w:cols w:space="708"/>
          <w:docGrid w:linePitch="360"/>
        </w:sectPr>
      </w:pPr>
      <w:r w:rsidRPr="001A3990">
        <w:rPr>
          <w:rFonts w:cs="Arial"/>
        </w:rPr>
        <w:t xml:space="preserve">A skin notation </w:t>
      </w:r>
      <w:r>
        <w:rPr>
          <w:rFonts w:cs="Arial"/>
        </w:rPr>
        <w:t>is</w:t>
      </w:r>
      <w:r w:rsidRPr="001A3990">
        <w:rPr>
          <w:rFonts w:cs="Arial"/>
        </w:rPr>
        <w:t xml:space="preserve"> recommended based on evidence </w:t>
      </w:r>
      <w:r>
        <w:rPr>
          <w:rFonts w:cs="Arial"/>
        </w:rPr>
        <w:t>for</w:t>
      </w:r>
      <w:r w:rsidRPr="001A3990">
        <w:rPr>
          <w:rFonts w:cs="Arial"/>
        </w:rPr>
        <w:t xml:space="preserve"> dermal absorption and adverse systemic effects in animals.</w:t>
      </w:r>
    </w:p>
    <w:p w14:paraId="7CAB0019" w14:textId="77777777" w:rsidR="0034744C" w:rsidRPr="004C23F4" w:rsidRDefault="005E6979" w:rsidP="005E6979">
      <w:pPr>
        <w:pStyle w:val="Heading1"/>
        <w:rPr>
          <w:rFonts w:ascii="Arial" w:hAnsi="Arial" w:cs="Arial"/>
        </w:rPr>
      </w:pPr>
      <w:r w:rsidRPr="004C23F4">
        <w:rPr>
          <w:rFonts w:ascii="Arial" w:hAnsi="Arial" w:cs="Arial"/>
        </w:rPr>
        <w:lastRenderedPageBreak/>
        <w:t>Appendix</w:t>
      </w:r>
    </w:p>
    <w:p w14:paraId="472FBDEF" w14:textId="77777777" w:rsidR="008D026D" w:rsidRPr="003365A5" w:rsidRDefault="00B479A9" w:rsidP="003365A5">
      <w:pPr>
        <w:pStyle w:val="Heading3"/>
      </w:pPr>
      <w:r w:rsidRPr="003365A5">
        <w:t>Primary sources with reports</w:t>
      </w:r>
    </w:p>
    <w:tbl>
      <w:tblPr>
        <w:tblStyle w:val="LightList"/>
        <w:tblW w:w="5008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</w:tblBorders>
        <w:tblLayout w:type="fixed"/>
        <w:tblLook w:val="0600" w:firstRow="0" w:lastRow="0" w:firstColumn="0" w:lastColumn="0" w:noHBand="1" w:noVBand="1"/>
        <w:tblCaption w:val="Table"/>
        <w:tblDescription w:val="Listing primary sources with reports"/>
      </w:tblPr>
      <w:tblGrid>
        <w:gridCol w:w="9006"/>
        <w:gridCol w:w="14"/>
      </w:tblGrid>
      <w:tr w:rsidR="00C978F0" w:rsidRPr="00DA352E" w14:paraId="5E111007" w14:textId="77777777" w:rsidTr="001B604D">
        <w:trPr>
          <w:gridAfter w:val="1"/>
          <w:wAfter w:w="8" w:type="pct"/>
          <w:trHeight w:val="393"/>
          <w:tblHeader/>
        </w:trPr>
        <w:tc>
          <w:tcPr>
            <w:tcW w:w="4992" w:type="pct"/>
            <w:shd w:val="clear" w:color="auto" w:fill="BFBFBF" w:themeFill="background1" w:themeFillShade="BF"/>
            <w:vAlign w:val="center"/>
          </w:tcPr>
          <w:p w14:paraId="0D966799" w14:textId="77777777" w:rsidR="00C978F0" w:rsidRPr="00DA352E" w:rsidRDefault="00C978F0" w:rsidP="00C67FFB">
            <w:pPr>
              <w:pStyle w:val="Tableheader"/>
              <w:tabs>
                <w:tab w:val="left" w:pos="1418"/>
                <w:tab w:val="left" w:pos="2552"/>
                <w:tab w:val="right" w:pos="8489"/>
              </w:tabs>
            </w:pPr>
            <w:r w:rsidRPr="00DA352E">
              <w:t>Source</w:t>
            </w:r>
            <w:r w:rsidR="00DA352E">
              <w:tab/>
              <w:t>Year set</w:t>
            </w:r>
            <w:r w:rsidR="00DA352E">
              <w:tab/>
              <w:t>Standard</w:t>
            </w:r>
            <w:r w:rsidR="00974F2D">
              <w:tab/>
            </w:r>
          </w:p>
        </w:tc>
      </w:tr>
      <w:tr w:rsidR="00DE26E8" w:rsidRPr="003365A5" w14:paraId="65E303DB" w14:textId="77777777" w:rsidTr="001B604D">
        <w:tc>
          <w:tcPr>
            <w:tcW w:w="5000" w:type="pct"/>
            <w:gridSpan w:val="2"/>
            <w:shd w:val="clear" w:color="auto" w:fill="F2F2F2" w:themeFill="background1" w:themeFillShade="F2"/>
          </w:tcPr>
          <w:p w14:paraId="4FA0C644" w14:textId="77846C58" w:rsidR="00DE26E8" w:rsidRPr="003365A5" w:rsidRDefault="00DE26E8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3365A5">
              <w:t>SWA</w:t>
            </w:r>
            <w:r w:rsidRPr="003365A5">
              <w:tab/>
            </w:r>
            <w:sdt>
              <w:sdtPr>
                <w:id w:val="-2034099983"/>
                <w:placeholder>
                  <w:docPart w:val="0A35AF4547E94E219E26BC12DBC33282"/>
                </w:placeholder>
                <w:text/>
              </w:sdtPr>
              <w:sdtEndPr/>
              <w:sdtContent>
                <w:r w:rsidR="002F2669">
                  <w:t>1991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SWA WES"/>
                <w:tag w:val="SWA WES"/>
                <w:id w:val="857077202"/>
                <w:placeholder>
                  <w:docPart w:val="81CFEC2FDBC5451289F394E66D92D1A0"/>
                </w:placeholder>
              </w:sdtPr>
              <w:sdtEndPr/>
              <w:sdtContent>
                <w:r w:rsidR="002F2669">
                  <w:t>TWA: 0.1 mg/m</w:t>
                </w:r>
                <w:r w:rsidR="002F2669" w:rsidRPr="002F2669">
                  <w:rPr>
                    <w:vertAlign w:val="superscript"/>
                  </w:rPr>
                  <w:t>3</w:t>
                </w:r>
              </w:sdtContent>
            </w:sdt>
          </w:p>
        </w:tc>
      </w:tr>
      <w:tr w:rsidR="00C978F0" w:rsidRPr="00DA352E" w14:paraId="18C5C681" w14:textId="77777777" w:rsidTr="001B604D">
        <w:trPr>
          <w:gridAfter w:val="1"/>
          <w:wAfter w:w="8" w:type="pct"/>
        </w:trPr>
        <w:tc>
          <w:tcPr>
            <w:tcW w:w="4992" w:type="pct"/>
          </w:tcPr>
          <w:p w14:paraId="5117CAA4" w14:textId="77777777" w:rsidR="00C978F0" w:rsidRPr="00DA352E" w:rsidRDefault="00C978F0" w:rsidP="003365A5">
            <w:pPr>
              <w:pStyle w:val="Tabletextprimarysource"/>
            </w:pPr>
          </w:p>
        </w:tc>
      </w:tr>
      <w:tr w:rsidR="00C978F0" w:rsidRPr="00DA352E" w14:paraId="68602DE5" w14:textId="77777777" w:rsidTr="001B604D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765CFCEE" w14:textId="142F8C27" w:rsidR="00C978F0" w:rsidRPr="00DA352E" w:rsidRDefault="00DA352E" w:rsidP="001E508D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ACGIH</w:t>
            </w:r>
            <w:r w:rsidR="00916EC0">
              <w:t xml:space="preserve"> </w:t>
            </w:r>
            <w:r w:rsidR="00916EC0" w:rsidRPr="003365A5">
              <w:tab/>
            </w:r>
            <w:sdt>
              <w:sdtPr>
                <w:id w:val="444816450"/>
                <w:placeholder>
                  <w:docPart w:val="C8FBF9621EB94FE084F687C8955AF85F"/>
                </w:placeholder>
                <w:text/>
              </w:sdtPr>
              <w:sdtEndPr/>
              <w:sdtContent>
                <w:r w:rsidR="002F2669">
                  <w:t>2006</w:t>
                </w:r>
              </w:sdtContent>
            </w:sdt>
            <w:r w:rsidR="00916EC0" w:rsidRPr="003365A5">
              <w:tab/>
            </w:r>
            <w:sdt>
              <w:sdtPr>
                <w:alias w:val="ACGIH WES equivalent"/>
                <w:tag w:val="ACGIH WES equivalent"/>
                <w:id w:val="-1676410403"/>
                <w:placeholder>
                  <w:docPart w:val="522022AAE76B4622AC0DF750489702EB"/>
                </w:placeholder>
              </w:sdtPr>
              <w:sdtEndPr/>
              <w:sdtContent>
                <w:r w:rsidR="002F2669">
                  <w:t>TLV-TWA: 0.004 ppm (0.05 mg/m</w:t>
                </w:r>
                <w:r w:rsidR="002F2669" w:rsidRPr="002F2669">
                  <w:rPr>
                    <w:vertAlign w:val="superscript"/>
                  </w:rPr>
                  <w:t>3</w:t>
                </w:r>
                <w:r w:rsidR="002F2669">
                  <w:t>)</w:t>
                </w:r>
                <w:r w:rsidR="001E508D">
                  <w:t xml:space="preserve"> inhalable fraction and vapour</w:t>
                </w:r>
              </w:sdtContent>
            </w:sdt>
            <w:r w:rsidR="001E508D">
              <w:t xml:space="preserve"> </w:t>
            </w:r>
          </w:p>
        </w:tc>
      </w:tr>
      <w:tr w:rsidR="00C978F0" w:rsidRPr="00DA352E" w14:paraId="066854E3" w14:textId="77777777" w:rsidTr="001B604D">
        <w:trPr>
          <w:gridAfter w:val="1"/>
          <w:wAfter w:w="8" w:type="pct"/>
        </w:trPr>
        <w:tc>
          <w:tcPr>
            <w:tcW w:w="4992" w:type="pct"/>
          </w:tcPr>
          <w:p w14:paraId="7EDC3ACB" w14:textId="47AC4793" w:rsidR="00C978F0" w:rsidRDefault="00F8452C" w:rsidP="009E1C08">
            <w:r>
              <w:t>TLV-TWA intended to protect for cholinergic effects reported in animal studies. Insufficient data to recommend a TLV-STEL.</w:t>
            </w:r>
          </w:p>
          <w:p w14:paraId="599C0B0B" w14:textId="77777777" w:rsidR="00F8452C" w:rsidRDefault="00F8452C" w:rsidP="009E1C08">
            <w:r>
              <w:t>Summary of data:</w:t>
            </w:r>
          </w:p>
          <w:p w14:paraId="599C4324" w14:textId="3169A643" w:rsidR="00F8452C" w:rsidRPr="00036544" w:rsidRDefault="005F5DC6" w:rsidP="009E1C08">
            <w:r>
              <w:t xml:space="preserve">TLV-TWA derived from </w:t>
            </w:r>
            <w:r w:rsidR="00036544">
              <w:t>NOAELs between 0.025–0.04 mg/kg/d for cholinesterase inhibition in dogs from chronic and sub</w:t>
            </w:r>
            <w:r w:rsidR="009D297C">
              <w:t>-</w:t>
            </w:r>
            <w:r w:rsidR="00036544">
              <w:t xml:space="preserve">chronic </w:t>
            </w:r>
            <w:r>
              <w:t>feeding stud</w:t>
            </w:r>
            <w:r w:rsidR="00036544">
              <w:t>ies</w:t>
            </w:r>
            <w:r>
              <w:rPr>
                <w:rFonts w:cs="Arial"/>
              </w:rPr>
              <w:t>.</w:t>
            </w:r>
            <w:r w:rsidR="00036544">
              <w:rPr>
                <w:rFonts w:cs="Arial"/>
              </w:rPr>
              <w:t xml:space="preserve"> Dogs were the most susceptible tested species, rats generally exhibited slightly higher NOAELs</w:t>
            </w:r>
            <w:r w:rsidR="00E176E6">
              <w:rPr>
                <w:rFonts w:cs="Arial"/>
              </w:rPr>
              <w:t xml:space="preserve">. The equivalent air concentration exposure to the NOAEL of 0.025 mg/kg/d was calculated to be </w:t>
            </w:r>
            <w:r w:rsidR="00F8452C">
              <w:t>0.18mg/m</w:t>
            </w:r>
            <w:r w:rsidR="00F8452C">
              <w:rPr>
                <w:vertAlign w:val="superscript"/>
              </w:rPr>
              <w:t>3</w:t>
            </w:r>
            <w:r>
              <w:t xml:space="preserve"> assuming 100% absorption in a 70-kg person with a respiratory volume of 10 m</w:t>
            </w:r>
            <w:r>
              <w:rPr>
                <w:vertAlign w:val="superscript"/>
              </w:rPr>
              <w:t>3</w:t>
            </w:r>
            <w:r>
              <w:t xml:space="preserve"> during an 8-h shift.</w:t>
            </w:r>
            <w:r w:rsidR="00036544">
              <w:t xml:space="preserve"> </w:t>
            </w:r>
            <w:r w:rsidR="0055388F" w:rsidRPr="0055388F">
              <w:t>The TWA is intended to be measured as the combined inhalable particulate fraction and vapour to account for potential evaporative losses during sampling</w:t>
            </w:r>
            <w:r w:rsidR="0055388F">
              <w:t xml:space="preserve">, </w:t>
            </w:r>
            <w:r w:rsidR="0055388F">
              <w:t>hence</w:t>
            </w:r>
            <w:r w:rsidR="0055388F" w:rsidRPr="0055388F">
              <w:t xml:space="preserve"> </w:t>
            </w:r>
            <w:r w:rsidR="0055388F" w:rsidRPr="0055388F">
              <w:t>a factor of 2 is applied to account for translation from experimental conditions to the workplace</w:t>
            </w:r>
            <w:r w:rsidR="0055388F">
              <w:t xml:space="preserve"> and a</w:t>
            </w:r>
            <w:r w:rsidR="0055388F" w:rsidRPr="0055388F">
              <w:t xml:space="preserve"> factor of 1.4 </w:t>
            </w:r>
            <w:r w:rsidR="0055388F">
              <w:t xml:space="preserve">is </w:t>
            </w:r>
            <w:r w:rsidR="0055388F" w:rsidRPr="0055388F">
              <w:t xml:space="preserve">applied to account for allometric </w:t>
            </w:r>
            <w:r w:rsidR="0055388F">
              <w:t>conversion to human exposure</w:t>
            </w:r>
            <w:r w:rsidR="0055388F" w:rsidRPr="0055388F">
              <w:t>.</w:t>
            </w:r>
            <w:r w:rsidR="0055388F">
              <w:t xml:space="preserve"> </w:t>
            </w:r>
            <w:r w:rsidR="00036544">
              <w:t>The TLV-TWA of 0.05 mg/m</w:t>
            </w:r>
            <w:r w:rsidR="00036544">
              <w:rPr>
                <w:vertAlign w:val="superscript"/>
              </w:rPr>
              <w:t>3</w:t>
            </w:r>
            <w:r w:rsidR="00036544">
              <w:t xml:space="preserve"> is therefore considered sufficiently protective of cholinergic effects in workers.</w:t>
            </w:r>
          </w:p>
          <w:p w14:paraId="3B3D2802" w14:textId="2456DBE6" w:rsidR="00F8452C" w:rsidRDefault="00F8452C" w:rsidP="003365A5">
            <w:pPr>
              <w:pStyle w:val="Tabletextprimarysource"/>
            </w:pPr>
            <w:r>
              <w:t>Human data:</w:t>
            </w:r>
          </w:p>
          <w:p w14:paraId="71560592" w14:textId="494C589F" w:rsidR="00B67B07" w:rsidRDefault="00B67B07" w:rsidP="001A3990">
            <w:pPr>
              <w:pStyle w:val="Tabletextprimarysource"/>
              <w:numPr>
                <w:ilvl w:val="0"/>
                <w:numId w:val="1"/>
              </w:numPr>
              <w:ind w:left="714" w:hanging="357"/>
            </w:pPr>
            <w:r>
              <w:t>A</w:t>
            </w:r>
            <w:r w:rsidR="00D377AD">
              <w:t>ccide</w:t>
            </w:r>
            <w:r>
              <w:t>ntal exposure associate</w:t>
            </w:r>
            <w:r w:rsidR="00036544">
              <w:t>d with</w:t>
            </w:r>
            <w:r>
              <w:t xml:space="preserve"> naus</w:t>
            </w:r>
            <w:r w:rsidR="00036544">
              <w:t>ea, vomiting and abdominal pain</w:t>
            </w:r>
          </w:p>
          <w:p w14:paraId="333EBAA2" w14:textId="0E846299" w:rsidR="00F8452C" w:rsidRDefault="00B67B07" w:rsidP="001A3990">
            <w:pPr>
              <w:pStyle w:val="Tabletextprimarysource"/>
              <w:numPr>
                <w:ilvl w:val="0"/>
                <w:numId w:val="1"/>
              </w:numPr>
              <w:ind w:left="714" w:hanging="357"/>
            </w:pPr>
            <w:r>
              <w:t>Workers handling the substance for an agricultural application were exposed to &lt;0.001 mg/h by inhalation and 93–667 µg/h by dermal absorption (no further details</w:t>
            </w:r>
            <w:r w:rsidR="002A5C49">
              <w:t>; no details on adverse effects</w:t>
            </w:r>
            <w:r>
              <w:t>)</w:t>
            </w:r>
            <w:r w:rsidR="001B3C98">
              <w:t>.</w:t>
            </w:r>
          </w:p>
          <w:p w14:paraId="4662FCC2" w14:textId="77777777" w:rsidR="00F8452C" w:rsidRDefault="00F8452C" w:rsidP="003365A5">
            <w:pPr>
              <w:pStyle w:val="Tabletextprimarysource"/>
            </w:pPr>
            <w:r>
              <w:t>Animal data:</w:t>
            </w:r>
          </w:p>
          <w:p w14:paraId="1ABB2AFA" w14:textId="77777777" w:rsidR="00F8452C" w:rsidRDefault="00F8452C" w:rsidP="00523CCF">
            <w:pPr>
              <w:pStyle w:val="Tabletextprimarysource"/>
              <w:numPr>
                <w:ilvl w:val="0"/>
                <w:numId w:val="1"/>
              </w:numPr>
              <w:ind w:left="714" w:hanging="357"/>
            </w:pPr>
            <w:r>
              <w:t>Slightly irritating to skin and eyes (rabbits); non-sensitising to skin (guinea pigs)</w:t>
            </w:r>
          </w:p>
          <w:p w14:paraId="35F71091" w14:textId="77777777" w:rsidR="00F8452C" w:rsidRDefault="00F8452C" w:rsidP="00523CCF">
            <w:pPr>
              <w:pStyle w:val="Tabletextprimarysource"/>
              <w:numPr>
                <w:ilvl w:val="0"/>
                <w:numId w:val="1"/>
              </w:numPr>
              <w:ind w:left="714" w:hanging="357"/>
            </w:pPr>
            <w:r>
              <w:t>Oral LD</w:t>
            </w:r>
            <w:r>
              <w:rPr>
                <w:vertAlign w:val="subscript"/>
              </w:rPr>
              <w:t>50</w:t>
            </w:r>
            <w:r>
              <w:t>: 2.7–19.4 mg/kg (rats)</w:t>
            </w:r>
            <w:r w:rsidR="00474A23">
              <w:t>; 75–100 mg/kg (guinea pigs); 5–17.5 mg/kg (rabbits)</w:t>
            </w:r>
          </w:p>
          <w:p w14:paraId="26741DB0" w14:textId="42250547" w:rsidR="00474A23" w:rsidRDefault="00474A23" w:rsidP="00523CCF">
            <w:pPr>
              <w:pStyle w:val="Tabletextprimarysource"/>
              <w:numPr>
                <w:ilvl w:val="0"/>
                <w:numId w:val="1"/>
              </w:numPr>
              <w:ind w:left="714" w:hanging="357"/>
            </w:pPr>
            <w:r>
              <w:t>Dermal LD</w:t>
            </w:r>
            <w:r>
              <w:rPr>
                <w:vertAlign w:val="subscript"/>
              </w:rPr>
              <w:t>50</w:t>
            </w:r>
            <w:r>
              <w:t>: 72–154 mg/kg (rats); 178–225 mg/kg (rabbits)</w:t>
            </w:r>
            <w:r w:rsidR="00CA2939">
              <w:t>:</w:t>
            </w:r>
          </w:p>
          <w:p w14:paraId="022D86F8" w14:textId="79BBCE6F" w:rsidR="00474A23" w:rsidRDefault="00F0294A" w:rsidP="00523CCF">
            <w:pPr>
              <w:pStyle w:val="Tabletextprimarysource"/>
              <w:numPr>
                <w:ilvl w:val="1"/>
                <w:numId w:val="1"/>
              </w:numPr>
              <w:ind w:left="1094" w:hanging="357"/>
            </w:pPr>
            <w:r>
              <w:t>b</w:t>
            </w:r>
            <w:r w:rsidR="00474A23">
              <w:t>rain and RBC cholinesterase inhibition at 2.5–10 mg/kg/d (rabbits, dermal repeat dose, 21 d)</w:t>
            </w:r>
          </w:p>
          <w:p w14:paraId="08F326B2" w14:textId="40FE9A8C" w:rsidR="00474A23" w:rsidRDefault="00474A23" w:rsidP="00523CCF">
            <w:pPr>
              <w:pStyle w:val="Tabletextprimarysource"/>
              <w:numPr>
                <w:ilvl w:val="0"/>
                <w:numId w:val="1"/>
              </w:numPr>
              <w:ind w:left="714" w:hanging="357"/>
            </w:pPr>
            <w:r>
              <w:t>LC</w:t>
            </w:r>
            <w:r>
              <w:rPr>
                <w:vertAlign w:val="subscript"/>
              </w:rPr>
              <w:t>50</w:t>
            </w:r>
            <w:r>
              <w:t>: 110–175 mg/m</w:t>
            </w:r>
            <w:r>
              <w:rPr>
                <w:vertAlign w:val="superscript"/>
              </w:rPr>
              <w:t>3</w:t>
            </w:r>
            <w:r>
              <w:t xml:space="preserve"> (1 h); 91–100 mg/m</w:t>
            </w:r>
            <w:r>
              <w:rPr>
                <w:vertAlign w:val="superscript"/>
              </w:rPr>
              <w:t>3</w:t>
            </w:r>
            <w:r>
              <w:t xml:space="preserve"> (unspecified species, 4 h)</w:t>
            </w:r>
            <w:r w:rsidR="00CA2939">
              <w:t>:</w:t>
            </w:r>
          </w:p>
          <w:p w14:paraId="6A1E967C" w14:textId="552D60F3" w:rsidR="00474A23" w:rsidRDefault="00F0294A" w:rsidP="00523CCF">
            <w:pPr>
              <w:pStyle w:val="Tabletextprimarysource"/>
              <w:numPr>
                <w:ilvl w:val="1"/>
                <w:numId w:val="1"/>
              </w:numPr>
              <w:ind w:left="1094" w:hanging="357"/>
            </w:pPr>
            <w:r>
              <w:t>c</w:t>
            </w:r>
            <w:r w:rsidR="00474A23">
              <w:t xml:space="preserve">umulative effect observed after 5 consecutive doses: </w:t>
            </w:r>
            <w:r w:rsidR="00C26376">
              <w:t>LC</w:t>
            </w:r>
            <w:r w:rsidR="00C26376">
              <w:rPr>
                <w:vertAlign w:val="superscript"/>
              </w:rPr>
              <w:softHyphen/>
            </w:r>
            <w:r w:rsidR="00C26376" w:rsidRPr="00523CCF">
              <w:rPr>
                <w:vertAlign w:val="subscript"/>
              </w:rPr>
              <w:t>50</w:t>
            </w:r>
            <w:r w:rsidR="00C26376">
              <w:t xml:space="preserve"> </w:t>
            </w:r>
            <w:r w:rsidR="00474A23">
              <w:t>between 28–100 mg/m</w:t>
            </w:r>
            <w:r w:rsidR="00474A23" w:rsidRPr="00CA2939">
              <w:rPr>
                <w:vertAlign w:val="superscript"/>
              </w:rPr>
              <w:t>3</w:t>
            </w:r>
            <w:r w:rsidR="00474A23">
              <w:t xml:space="preserve"> (unspecified species, 4 h/d, 5 d)</w:t>
            </w:r>
          </w:p>
          <w:p w14:paraId="0C057C48" w14:textId="77777777" w:rsidR="00A23A03" w:rsidRDefault="00A23A03" w:rsidP="00A23A03">
            <w:pPr>
              <w:pStyle w:val="Tabletextprimarysource"/>
              <w:numPr>
                <w:ilvl w:val="0"/>
                <w:numId w:val="1"/>
              </w:numPr>
              <w:ind w:left="714" w:hanging="357"/>
            </w:pPr>
            <w:r>
              <w:t>Chronic feeding study with diet containing 0, 0.5, 1, 2, 5 or 10 ppm (equivalent to 0, 0.01, 0.025, 0.05, 0.125 and 0.250 mg/kg/d) (dogs, 2 yr):</w:t>
            </w:r>
          </w:p>
          <w:p w14:paraId="497D9C70" w14:textId="77777777" w:rsidR="00A23A03" w:rsidRDefault="00A23A03" w:rsidP="00A23A03">
            <w:pPr>
              <w:pStyle w:val="Tabletextprimarysource"/>
              <w:numPr>
                <w:ilvl w:val="0"/>
                <w:numId w:val="3"/>
              </w:numPr>
            </w:pPr>
            <w:r>
              <w:t>no cholinergic signs or other signs of toxicity in any group</w:t>
            </w:r>
          </w:p>
          <w:p w14:paraId="72E75D0F" w14:textId="77777777" w:rsidR="00A23A03" w:rsidRDefault="00A23A03" w:rsidP="00A23A03">
            <w:pPr>
              <w:pStyle w:val="Tabletextprimarysource"/>
              <w:numPr>
                <w:ilvl w:val="0"/>
                <w:numId w:val="3"/>
              </w:numPr>
            </w:pPr>
            <w:r>
              <w:t>plasma and RBC cholinesterase activities inhibited at 2 ppm (0.05 mg/kg/d)</w:t>
            </w:r>
          </w:p>
          <w:p w14:paraId="30EA09A0" w14:textId="77777777" w:rsidR="00A23A03" w:rsidRDefault="00A23A03" w:rsidP="00A23A03">
            <w:pPr>
              <w:pStyle w:val="Tabletextprimarysource"/>
              <w:numPr>
                <w:ilvl w:val="0"/>
                <w:numId w:val="3"/>
              </w:numPr>
            </w:pPr>
            <w:r>
              <w:t xml:space="preserve">NOEL of 1 ppm (0.025 mg/kg/d) for plasma and </w:t>
            </w:r>
            <w:r w:rsidRPr="0060142A">
              <w:t>RBC cholinesterase</w:t>
            </w:r>
            <w:r>
              <w:t xml:space="preserve"> inhibition</w:t>
            </w:r>
          </w:p>
          <w:p w14:paraId="1D801EA9" w14:textId="77777777" w:rsidR="00A23A03" w:rsidRDefault="00A23A03" w:rsidP="00A23A03">
            <w:pPr>
              <w:pStyle w:val="Tabletextprimarysource"/>
              <w:numPr>
                <w:ilvl w:val="0"/>
                <w:numId w:val="1"/>
              </w:numPr>
              <w:ind w:left="714" w:hanging="357"/>
            </w:pPr>
            <w:r>
              <w:t>Sub-chronic feeding study with diet containing 0, 0.6, 1.0 or 1.7 ppm (equivalent to 0.02, 0.03 or 0.04 mg/kg/d) (dogs, 100 days):</w:t>
            </w:r>
          </w:p>
          <w:p w14:paraId="57250393" w14:textId="3B735DCC" w:rsidR="00A23A03" w:rsidRDefault="00595CA0" w:rsidP="00A23A03">
            <w:pPr>
              <w:pStyle w:val="Tabletextprimarysource"/>
              <w:numPr>
                <w:ilvl w:val="0"/>
                <w:numId w:val="4"/>
              </w:numPr>
            </w:pPr>
            <w:r>
              <w:t xml:space="preserve">no effect on </w:t>
            </w:r>
            <w:r w:rsidR="00A23A03">
              <w:t xml:space="preserve">plasma </w:t>
            </w:r>
            <w:r w:rsidR="00A23A03" w:rsidRPr="0060142A">
              <w:t xml:space="preserve">cholinesterase </w:t>
            </w:r>
            <w:r w:rsidR="00A23A03">
              <w:t xml:space="preserve">in females and RBC and brain cholinesterase in both sexes </w:t>
            </w:r>
            <w:r w:rsidR="00A23A03">
              <w:t>in any group</w:t>
            </w:r>
          </w:p>
          <w:p w14:paraId="4206F17F" w14:textId="56FC4308" w:rsidR="00A23A03" w:rsidRDefault="00A23A03" w:rsidP="00A23A03">
            <w:pPr>
              <w:pStyle w:val="Tabletextprimarysource"/>
              <w:numPr>
                <w:ilvl w:val="0"/>
                <w:numId w:val="4"/>
              </w:numPr>
            </w:pPr>
            <w:r>
              <w:t xml:space="preserve">NOEL of </w:t>
            </w:r>
            <w:r w:rsidR="00595CA0">
              <w:t>1.7 ppm (</w:t>
            </w:r>
            <w:r>
              <w:t>0.04 mg/kg/d</w:t>
            </w:r>
            <w:r w:rsidR="00595CA0">
              <w:t>)</w:t>
            </w:r>
          </w:p>
          <w:p w14:paraId="385D2DE9" w14:textId="48ED2504" w:rsidR="004312AD" w:rsidRPr="00A23A03" w:rsidRDefault="004312AD" w:rsidP="00523CCF">
            <w:pPr>
              <w:pStyle w:val="Tabletextprimarysource"/>
              <w:numPr>
                <w:ilvl w:val="0"/>
                <w:numId w:val="1"/>
              </w:numPr>
              <w:ind w:left="714" w:hanging="357"/>
            </w:pPr>
            <w:r>
              <w:t xml:space="preserve">Repeat inhalation study with </w:t>
            </w:r>
            <w:r w:rsidRPr="00A23A03">
              <w:t>treatment range 0.03–3.5 mg/m</w:t>
            </w:r>
            <w:r w:rsidRPr="00A23A03">
              <w:rPr>
                <w:vertAlign w:val="superscript"/>
              </w:rPr>
              <w:t>3</w:t>
            </w:r>
            <w:r w:rsidRPr="00A23A03">
              <w:t xml:space="preserve"> (rats, 6 h/d, 5 d/wk, 3 wk)</w:t>
            </w:r>
            <w:r w:rsidR="00CA2939" w:rsidRPr="00A23A03">
              <w:t>:</w:t>
            </w:r>
          </w:p>
          <w:p w14:paraId="09BE7440" w14:textId="0DC8875B" w:rsidR="004312AD" w:rsidRDefault="004312AD" w:rsidP="00523CCF">
            <w:pPr>
              <w:pStyle w:val="Tabletextprimarysource"/>
              <w:numPr>
                <w:ilvl w:val="1"/>
                <w:numId w:val="1"/>
              </w:numPr>
              <w:ind w:left="1094" w:hanging="357"/>
            </w:pPr>
            <w:r w:rsidRPr="00A23A03">
              <w:t>NOAEL: 0.25 mg/m</w:t>
            </w:r>
            <w:r w:rsidRPr="00A23A03">
              <w:rPr>
                <w:vertAlign w:val="superscript"/>
              </w:rPr>
              <w:t>3</w:t>
            </w:r>
            <w:r w:rsidRPr="00A23A03">
              <w:t xml:space="preserve"> and LOAEL: 3.5 mg</w:t>
            </w:r>
            <w:r>
              <w:t>/m</w:t>
            </w:r>
            <w:r w:rsidRPr="00CA2939">
              <w:rPr>
                <w:vertAlign w:val="superscript"/>
              </w:rPr>
              <w:t>3</w:t>
            </w:r>
            <w:r>
              <w:t xml:space="preserve"> for plasma cholinesterase inhibition</w:t>
            </w:r>
            <w:r w:rsidR="00E65767">
              <w:t xml:space="preserve">, </w:t>
            </w:r>
            <w:r w:rsidR="00F0294A">
              <w:t>supports</w:t>
            </w:r>
            <w:r w:rsidR="00E65767">
              <w:t xml:space="preserve"> </w:t>
            </w:r>
            <w:r w:rsidR="000D6E67">
              <w:t>NOAEC extrapolated from</w:t>
            </w:r>
            <w:r w:rsidR="00E65767">
              <w:t xml:space="preserve"> feeding studies</w:t>
            </w:r>
          </w:p>
          <w:p w14:paraId="21B5A412" w14:textId="521199D0" w:rsidR="002C227B" w:rsidRDefault="002C227B" w:rsidP="00523CCF">
            <w:pPr>
              <w:pStyle w:val="Tabletextprimarysource"/>
              <w:numPr>
                <w:ilvl w:val="0"/>
                <w:numId w:val="1"/>
              </w:numPr>
              <w:ind w:left="714" w:hanging="357"/>
            </w:pPr>
            <w:r>
              <w:t xml:space="preserve">Equivocal evidence for induction of chromosomal aberration </w:t>
            </w:r>
            <w:r>
              <w:rPr>
                <w:i/>
              </w:rPr>
              <w:t>in vitro</w:t>
            </w:r>
            <w:r>
              <w:t>, otherwise non-mutagenic</w:t>
            </w:r>
          </w:p>
          <w:p w14:paraId="7C2B18E0" w14:textId="4CB1E305" w:rsidR="002C227B" w:rsidRPr="00B67B07" w:rsidRDefault="00D377AD" w:rsidP="00523CCF">
            <w:pPr>
              <w:pStyle w:val="Tabletextprimarysource"/>
              <w:numPr>
                <w:ilvl w:val="0"/>
                <w:numId w:val="1"/>
              </w:numPr>
              <w:ind w:left="714" w:hanging="357"/>
            </w:pPr>
            <w:r>
              <w:t>Multigenerational reproductive studies indicate foetal toxicity (reduced bw gain) occurs at maternally toxic concentrations &gt;0.15 mg/kg/d (rats, 2</w:t>
            </w:r>
            <w:r w:rsidR="00DE799F">
              <w:t>–</w:t>
            </w:r>
            <w:r>
              <w:t xml:space="preserve">3 generation studies); neonates fed </w:t>
            </w:r>
            <w:r>
              <w:rPr>
                <w:rFonts w:cs="Arial"/>
              </w:rPr>
              <w:t>10 ppm of diet exhibited similar RBC cholinesterase inhibition to adults</w:t>
            </w:r>
            <w:r w:rsidR="001B3C98">
              <w:rPr>
                <w:rFonts w:cs="Arial"/>
              </w:rPr>
              <w:t>.</w:t>
            </w:r>
          </w:p>
          <w:p w14:paraId="24A0C788" w14:textId="77777777" w:rsidR="00BA2333" w:rsidRDefault="00BA2333" w:rsidP="00BA2333">
            <w:pPr>
              <w:pStyle w:val="Tabletextprimarysource"/>
              <w:contextualSpacing/>
            </w:pPr>
          </w:p>
          <w:p w14:paraId="06491BC9" w14:textId="46CF9555" w:rsidR="009E1C08" w:rsidRDefault="009E1C08" w:rsidP="00BA2333">
            <w:pPr>
              <w:pStyle w:val="Tabletextprimarysource"/>
              <w:contextualSpacing/>
            </w:pPr>
            <w:r>
              <w:t xml:space="preserve">Negative carcinogenicity in chronic animal exposure studies supports an A4 classification. </w:t>
            </w:r>
          </w:p>
          <w:p w14:paraId="7589BDF8" w14:textId="43445232" w:rsidR="00B67B07" w:rsidRDefault="009E1C08" w:rsidP="00BA2333">
            <w:pPr>
              <w:pStyle w:val="Tabletextprimarysource"/>
              <w:contextualSpacing/>
            </w:pPr>
            <w:r>
              <w:t xml:space="preserve">A skin notation is assigned due to lethality reported in dermal application studies with animals. Negative skin sensitisation results in animals do not warrant a dermal sensitiser notation. </w:t>
            </w:r>
          </w:p>
          <w:p w14:paraId="4CCD98B6" w14:textId="2F309325" w:rsidR="009E1C08" w:rsidRPr="00F8452C" w:rsidRDefault="009E1C08" w:rsidP="00BA2333">
            <w:pPr>
              <w:pStyle w:val="Tabletextprimarysource"/>
              <w:contextualSpacing/>
            </w:pPr>
          </w:p>
        </w:tc>
      </w:tr>
      <w:tr w:rsidR="00C978F0" w:rsidRPr="00DA352E" w14:paraId="263587B9" w14:textId="77777777" w:rsidTr="001B604D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6B8D48FA" w14:textId="5A5F57AF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DFG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272751712"/>
                <w:placeholder>
                  <w:docPart w:val="6918C77959FE4E2CB3B6BD78ABC69E19"/>
                </w:placeholder>
                <w:text/>
              </w:sdtPr>
              <w:sdtEndPr/>
              <w:sdtContent>
                <w:r w:rsidR="002F2669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DFG WES equivalent"/>
                <w:tag w:val="DFG WES equivalent"/>
                <w:id w:val="-736175395"/>
                <w:placeholder>
                  <w:docPart w:val="1ED9AEC91FDC4528B51A567B2B19EB9F"/>
                </w:placeholder>
              </w:sdtPr>
              <w:sdtEndPr/>
              <w:sdtContent>
                <w:r w:rsidR="002F2669">
                  <w:t>NA</w:t>
                </w:r>
              </w:sdtContent>
            </w:sdt>
          </w:p>
        </w:tc>
      </w:tr>
      <w:tr w:rsidR="00C978F0" w:rsidRPr="00DA352E" w14:paraId="38453297" w14:textId="77777777" w:rsidTr="001B604D">
        <w:trPr>
          <w:gridAfter w:val="1"/>
          <w:wAfter w:w="8" w:type="pct"/>
        </w:trPr>
        <w:tc>
          <w:tcPr>
            <w:tcW w:w="4992" w:type="pct"/>
          </w:tcPr>
          <w:p w14:paraId="6EA48312" w14:textId="4E8F37F1" w:rsidR="00C978F0" w:rsidRPr="00DA352E" w:rsidRDefault="002F2669" w:rsidP="003365A5">
            <w:pPr>
              <w:pStyle w:val="Tabletextprimarysource"/>
            </w:pPr>
            <w:r>
              <w:t>No report</w:t>
            </w:r>
            <w:r w:rsidR="001B604D">
              <w:t>.</w:t>
            </w:r>
          </w:p>
        </w:tc>
      </w:tr>
      <w:tr w:rsidR="00C978F0" w:rsidRPr="00DA352E" w14:paraId="4B76A894" w14:textId="77777777" w:rsidTr="001B604D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51B297CE" w14:textId="36FA01FD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SCOEL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768699850"/>
                <w:placeholder>
                  <w:docPart w:val="FDC2A24E7D2549238DA6EE03BD0A6AE0"/>
                </w:placeholder>
                <w:text/>
              </w:sdtPr>
              <w:sdtEndPr/>
              <w:sdtContent>
                <w:r w:rsidR="003212C7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SCOEL WES equivalent"/>
                <w:tag w:val="SCOEL WES equivalent"/>
                <w:id w:val="-1474213062"/>
                <w:placeholder>
                  <w:docPart w:val="9E827C9D0DA949E385F2E9AB4264125E"/>
                </w:placeholder>
              </w:sdtPr>
              <w:sdtEndPr/>
              <w:sdtContent>
                <w:r w:rsidR="003212C7">
                  <w:t>NA</w:t>
                </w:r>
              </w:sdtContent>
            </w:sdt>
          </w:p>
        </w:tc>
      </w:tr>
      <w:tr w:rsidR="00C978F0" w:rsidRPr="00DA352E" w14:paraId="5EC5A033" w14:textId="77777777" w:rsidTr="001B604D">
        <w:trPr>
          <w:gridAfter w:val="1"/>
          <w:wAfter w:w="8" w:type="pct"/>
        </w:trPr>
        <w:tc>
          <w:tcPr>
            <w:tcW w:w="4992" w:type="pct"/>
          </w:tcPr>
          <w:p w14:paraId="222E2171" w14:textId="3FB84D20" w:rsidR="00C978F0" w:rsidRPr="00DA352E" w:rsidRDefault="003212C7" w:rsidP="003365A5">
            <w:pPr>
              <w:pStyle w:val="Tabletextprimarysource"/>
            </w:pPr>
            <w:r>
              <w:t>No report</w:t>
            </w:r>
            <w:r w:rsidR="001B604D">
              <w:t>.</w:t>
            </w:r>
          </w:p>
        </w:tc>
      </w:tr>
      <w:tr w:rsidR="00DA352E" w:rsidRPr="00DA352E" w14:paraId="2EF831E3" w14:textId="77777777" w:rsidTr="001B604D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5E9FAE8D" w14:textId="7888EEA8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OARS/AIHA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936748013"/>
                <w:placeholder>
                  <w:docPart w:val="47E4EC2DB10B4B8E8A66F7A5C13653CB"/>
                </w:placeholder>
                <w:text/>
              </w:sdtPr>
              <w:sdtEndPr/>
              <w:sdtContent>
                <w:r w:rsidR="003212C7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OARS/AIHA WES equivalent"/>
                <w:tag w:val="OARS/AIHA WES equivalent"/>
                <w:id w:val="-1320338798"/>
                <w:placeholder>
                  <w:docPart w:val="5E4DD00C3A334F93BF5CC79754EBC5EA"/>
                </w:placeholder>
              </w:sdtPr>
              <w:sdtEndPr/>
              <w:sdtContent>
                <w:r w:rsidR="003212C7">
                  <w:t>NA</w:t>
                </w:r>
              </w:sdtContent>
            </w:sdt>
          </w:p>
        </w:tc>
      </w:tr>
      <w:tr w:rsidR="00DA352E" w:rsidRPr="00DA352E" w14:paraId="1AE26F3C" w14:textId="77777777" w:rsidTr="001B604D">
        <w:trPr>
          <w:gridAfter w:val="1"/>
          <w:wAfter w:w="8" w:type="pct"/>
        </w:trPr>
        <w:tc>
          <w:tcPr>
            <w:tcW w:w="4992" w:type="pct"/>
          </w:tcPr>
          <w:p w14:paraId="029EA311" w14:textId="24C5165B" w:rsidR="00DA352E" w:rsidRPr="00DA352E" w:rsidRDefault="003212C7" w:rsidP="003365A5">
            <w:pPr>
              <w:pStyle w:val="Tabletextprimarysource"/>
            </w:pPr>
            <w:r>
              <w:t>No report</w:t>
            </w:r>
            <w:r w:rsidR="001B604D">
              <w:t>.</w:t>
            </w:r>
          </w:p>
        </w:tc>
      </w:tr>
      <w:tr w:rsidR="00DA352E" w:rsidRPr="00DA352E" w14:paraId="479B24D2" w14:textId="77777777" w:rsidTr="001B604D">
        <w:trPr>
          <w:gridAfter w:val="1"/>
          <w:wAfter w:w="8" w:type="pct"/>
        </w:trPr>
        <w:tc>
          <w:tcPr>
            <w:tcW w:w="4992" w:type="pct"/>
            <w:shd w:val="clear" w:color="auto" w:fill="F2F2F2" w:themeFill="background1" w:themeFillShade="F2"/>
          </w:tcPr>
          <w:p w14:paraId="7BD22324" w14:textId="1141EF52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HCOTN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1543090908"/>
                <w:placeholder>
                  <w:docPart w:val="EA1708404F1C4A3BB080A0D8EEB67D1D"/>
                </w:placeholder>
                <w:text/>
              </w:sdtPr>
              <w:sdtEndPr/>
              <w:sdtContent>
                <w:r w:rsidR="003212C7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HCOTN WES equivalent"/>
                <w:tag w:val="HCOTN WES equivalent"/>
                <w:id w:val="1471562734"/>
                <w:placeholder>
                  <w:docPart w:val="F3D4204BA37A4A21A656C76DA4274412"/>
                </w:placeholder>
              </w:sdtPr>
              <w:sdtEndPr/>
              <w:sdtContent>
                <w:r w:rsidR="003212C7">
                  <w:t>NA</w:t>
                </w:r>
              </w:sdtContent>
            </w:sdt>
          </w:p>
        </w:tc>
      </w:tr>
      <w:tr w:rsidR="00DA352E" w:rsidRPr="00DA352E" w14:paraId="2F94F0D0" w14:textId="77777777" w:rsidTr="001B604D">
        <w:trPr>
          <w:gridAfter w:val="1"/>
          <w:wAfter w:w="8" w:type="pct"/>
        </w:trPr>
        <w:tc>
          <w:tcPr>
            <w:tcW w:w="4992" w:type="pct"/>
          </w:tcPr>
          <w:p w14:paraId="25E07929" w14:textId="78AC0697" w:rsidR="00DA352E" w:rsidRPr="00DA352E" w:rsidRDefault="003212C7" w:rsidP="003365A5">
            <w:pPr>
              <w:pStyle w:val="Tabletextprimarysource"/>
            </w:pPr>
            <w:r>
              <w:t>No report</w:t>
            </w:r>
            <w:r w:rsidR="001B604D">
              <w:t>.</w:t>
            </w:r>
          </w:p>
        </w:tc>
      </w:tr>
    </w:tbl>
    <w:p w14:paraId="7FE72A02" w14:textId="77777777" w:rsidR="00A20751" w:rsidRPr="004C23F4" w:rsidRDefault="00A20751" w:rsidP="003365A5">
      <w:pPr>
        <w:pStyle w:val="Heading3"/>
      </w:pPr>
      <w:bookmarkStart w:id="1" w:name="SecondSource"/>
      <w:r w:rsidRPr="004C23F4">
        <w:t xml:space="preserve">Secondary </w:t>
      </w:r>
      <w:r w:rsidR="0088798F">
        <w:t xml:space="preserve">source reports relied upon </w:t>
      </w:r>
    </w:p>
    <w:tbl>
      <w:tblPr>
        <w:tblStyle w:val="LightList"/>
        <w:tblW w:w="0" w:type="auto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ook w:val="0600" w:firstRow="0" w:lastRow="0" w:firstColumn="0" w:lastColumn="0" w:noHBand="1" w:noVBand="1"/>
        <w:tblCaption w:val="Table"/>
        <w:tblDescription w:val="Listing secondary sources with reports"/>
      </w:tblPr>
      <w:tblGrid>
        <w:gridCol w:w="1494"/>
        <w:gridCol w:w="422"/>
        <w:gridCol w:w="661"/>
        <w:gridCol w:w="6449"/>
      </w:tblGrid>
      <w:tr w:rsidR="00CA508C" w:rsidRPr="00263255" w14:paraId="0E82EFFD" w14:textId="77777777" w:rsidTr="001B604D">
        <w:trPr>
          <w:cantSplit/>
          <w:trHeight w:val="393"/>
          <w:tblHeader/>
        </w:trPr>
        <w:tc>
          <w:tcPr>
            <w:tcW w:w="1494" w:type="dxa"/>
            <w:shd w:val="clear" w:color="auto" w:fill="BFBFBF" w:themeFill="background1" w:themeFillShade="BF"/>
            <w:vAlign w:val="center"/>
          </w:tcPr>
          <w:p w14:paraId="624395BF" w14:textId="77777777" w:rsidR="004966BF" w:rsidRPr="00263255" w:rsidRDefault="004966BF" w:rsidP="00263255">
            <w:pPr>
              <w:pStyle w:val="Tableheader"/>
            </w:pPr>
            <w:r w:rsidRPr="00263255">
              <w:t>Source</w:t>
            </w:r>
          </w:p>
        </w:tc>
        <w:tc>
          <w:tcPr>
            <w:tcW w:w="422" w:type="dxa"/>
            <w:shd w:val="clear" w:color="auto" w:fill="BFBFBF" w:themeFill="background1" w:themeFillShade="BF"/>
            <w:vAlign w:val="center"/>
          </w:tcPr>
          <w:p w14:paraId="55D4A683" w14:textId="77777777" w:rsidR="004966BF" w:rsidRPr="00263255" w:rsidRDefault="004966BF" w:rsidP="00263255">
            <w:pPr>
              <w:pStyle w:val="Tableheader"/>
            </w:pP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14:paraId="5A04DF88" w14:textId="77777777" w:rsidR="004966BF" w:rsidRPr="00263255" w:rsidRDefault="004966BF" w:rsidP="00263255">
            <w:pPr>
              <w:pStyle w:val="Tableheader"/>
            </w:pPr>
            <w:r>
              <w:t>Year</w:t>
            </w:r>
          </w:p>
        </w:tc>
        <w:tc>
          <w:tcPr>
            <w:tcW w:w="6449" w:type="dxa"/>
            <w:shd w:val="clear" w:color="auto" w:fill="BFBFBF" w:themeFill="background1" w:themeFillShade="BF"/>
            <w:vAlign w:val="center"/>
          </w:tcPr>
          <w:p w14:paraId="08004C7C" w14:textId="77777777" w:rsidR="004966BF" w:rsidRPr="00263255" w:rsidRDefault="004966BF" w:rsidP="00263255">
            <w:pPr>
              <w:pStyle w:val="Tableheader"/>
            </w:pPr>
            <w:r>
              <w:t>Additional information</w:t>
            </w:r>
          </w:p>
        </w:tc>
      </w:tr>
      <w:tr w:rsidR="00CA508C" w:rsidRPr="004C23F4" w14:paraId="0A845420" w14:textId="77777777" w:rsidTr="001B604D">
        <w:trPr>
          <w:cantSplit/>
        </w:trPr>
        <w:tc>
          <w:tcPr>
            <w:tcW w:w="1494" w:type="dxa"/>
          </w:tcPr>
          <w:p w14:paraId="4B6516E7" w14:textId="77777777" w:rsidR="004966BF" w:rsidRPr="004C23F4" w:rsidRDefault="004966BF" w:rsidP="00224EE2">
            <w:pPr>
              <w:pStyle w:val="Tablefont"/>
            </w:pPr>
            <w:r>
              <w:t>NICNAS</w:t>
            </w:r>
          </w:p>
        </w:tc>
        <w:tc>
          <w:tcPr>
            <w:tcW w:w="422" w:type="dxa"/>
          </w:tcPr>
          <w:p w14:paraId="002C6EDE" w14:textId="41A5C0DF" w:rsidR="004966BF" w:rsidRPr="00CE617F" w:rsidRDefault="005A3E93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234131032"/>
                <w:placeholder>
                  <w:docPart w:val="C2B44F29000D47BD8588D2D5E8DFA6C8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CA508C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43A5F10C" w14:textId="77777777" w:rsidR="004966BF" w:rsidRPr="004C23F4" w:rsidRDefault="004966BF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</w:p>
        </w:tc>
        <w:tc>
          <w:tcPr>
            <w:tcW w:w="6449" w:type="dxa"/>
          </w:tcPr>
          <w:p w14:paraId="501D2E41" w14:textId="50A7460C" w:rsidR="004966BF" w:rsidRPr="004C23F4" w:rsidRDefault="00CA508C" w:rsidP="00523CCF">
            <w:pPr>
              <w:pStyle w:val="ListBullet"/>
              <w:spacing w:before="60" w:after="60"/>
              <w:ind w:left="714" w:hanging="357"/>
              <w:contextualSpacing w:val="0"/>
              <w:rPr>
                <w:rStyle w:val="checkbox"/>
                <w:rFonts w:ascii="Arial" w:hAnsi="Arial" w:cs="Arial"/>
                <w:lang w:eastAsia="en-AU"/>
              </w:rPr>
            </w:pPr>
            <w:r>
              <w:rPr>
                <w:rStyle w:val="checkbox"/>
                <w:rFonts w:ascii="Arial" w:hAnsi="Arial" w:cs="Arial"/>
              </w:rPr>
              <w:t>Tier I assessment: a</w:t>
            </w:r>
            <w:r w:rsidRPr="00CA508C">
              <w:rPr>
                <w:rStyle w:val="checkbox"/>
                <w:rFonts w:ascii="Arial" w:hAnsi="Arial" w:cs="Arial"/>
              </w:rPr>
              <w:t>gricultural and therapeutic uses are excluded from assessment</w:t>
            </w:r>
            <w:r w:rsidR="001B3C98">
              <w:rPr>
                <w:rStyle w:val="checkbox"/>
                <w:rFonts w:ascii="Arial" w:hAnsi="Arial" w:cs="Arial"/>
              </w:rPr>
              <w:t>.</w:t>
            </w:r>
          </w:p>
        </w:tc>
      </w:tr>
      <w:tr w:rsidR="00CA508C" w:rsidRPr="004C23F4" w14:paraId="7C6D8D28" w14:textId="77777777" w:rsidTr="001B604D">
        <w:trPr>
          <w:cantSplit/>
        </w:trPr>
        <w:tc>
          <w:tcPr>
            <w:tcW w:w="1494" w:type="dxa"/>
          </w:tcPr>
          <w:p w14:paraId="39A964D5" w14:textId="77777777" w:rsidR="004966BF" w:rsidRPr="004C23F4" w:rsidRDefault="004966BF" w:rsidP="00224EE2">
            <w:pPr>
              <w:pStyle w:val="Tablefont"/>
            </w:pPr>
            <w:r>
              <w:t>US EPA</w:t>
            </w:r>
          </w:p>
        </w:tc>
        <w:tc>
          <w:tcPr>
            <w:tcW w:w="422" w:type="dxa"/>
          </w:tcPr>
          <w:p w14:paraId="328E206A" w14:textId="6501DABB" w:rsidR="004966BF" w:rsidRPr="00CE617F" w:rsidRDefault="005A3E93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015498594"/>
                <w:placeholder>
                  <w:docPart w:val="CFFDE270CB50461B826B0194984892C5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CA508C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117E3E9A" w14:textId="5021B043" w:rsidR="004966BF" w:rsidRPr="004C23F4" w:rsidRDefault="00CA508C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1987</w:t>
            </w:r>
          </w:p>
        </w:tc>
        <w:tc>
          <w:tcPr>
            <w:tcW w:w="6449" w:type="dxa"/>
          </w:tcPr>
          <w:p w14:paraId="0BBFC7A4" w14:textId="34A851A1" w:rsidR="00CA508C" w:rsidRPr="00CA508C" w:rsidRDefault="00036544" w:rsidP="00523CCF">
            <w:pPr>
              <w:pStyle w:val="Tablefont"/>
              <w:numPr>
                <w:ilvl w:val="0"/>
                <w:numId w:val="1"/>
              </w:numPr>
              <w:spacing w:before="60" w:after="60"/>
              <w:ind w:left="714" w:hanging="357"/>
              <w:rPr>
                <w:rStyle w:val="checkbox"/>
                <w:rFonts w:ascii="Arial" w:hAnsi="Arial" w:cs="Arial"/>
              </w:rPr>
            </w:pPr>
            <w:r w:rsidRPr="00CA508C">
              <w:rPr>
                <w:rStyle w:val="checkbox"/>
                <w:rFonts w:ascii="Arial" w:hAnsi="Arial" w:cs="Arial"/>
              </w:rPr>
              <w:t>Chain-fused sternebrae reporte</w:t>
            </w:r>
            <w:r w:rsidR="00F0294A">
              <w:rPr>
                <w:rStyle w:val="checkbox"/>
                <w:rFonts w:ascii="Arial" w:hAnsi="Arial" w:cs="Arial"/>
              </w:rPr>
              <w:t>d in developmental study at 0.3</w:t>
            </w:r>
            <w:r w:rsidR="00DE799F">
              <w:rPr>
                <w:rStyle w:val="checkbox"/>
                <w:rFonts w:ascii="Arial" w:hAnsi="Arial" w:cs="Arial"/>
              </w:rPr>
              <w:t> </w:t>
            </w:r>
            <w:r w:rsidRPr="00CA508C">
              <w:rPr>
                <w:rStyle w:val="checkbox"/>
                <w:rFonts w:ascii="Arial" w:hAnsi="Arial" w:cs="Arial"/>
              </w:rPr>
              <w:t xml:space="preserve">mg/kg/d </w:t>
            </w:r>
            <w:r w:rsidR="00CA508C" w:rsidRPr="00CA508C">
              <w:rPr>
                <w:rStyle w:val="checkbox"/>
                <w:rFonts w:ascii="Arial" w:hAnsi="Arial" w:cs="Arial"/>
              </w:rPr>
              <w:t>(rabbits); effects occurred above maternally toxic levels</w:t>
            </w:r>
            <w:r w:rsidR="00C26376">
              <w:rPr>
                <w:rStyle w:val="checkbox"/>
                <w:rFonts w:ascii="Arial" w:hAnsi="Arial" w:cs="Arial"/>
              </w:rPr>
              <w:t>:</w:t>
            </w:r>
          </w:p>
          <w:p w14:paraId="3E2EF742" w14:textId="706E7B67" w:rsidR="00CA508C" w:rsidRDefault="00F0294A" w:rsidP="00523CCF">
            <w:pPr>
              <w:pStyle w:val="Tablefont"/>
              <w:numPr>
                <w:ilvl w:val="1"/>
                <w:numId w:val="1"/>
              </w:numPr>
              <w:spacing w:before="60" w:after="60"/>
              <w:ind w:left="1094" w:hanging="357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m</w:t>
            </w:r>
            <w:r w:rsidR="00CA508C">
              <w:rPr>
                <w:rStyle w:val="checkbox"/>
                <w:rFonts w:ascii="Arial" w:hAnsi="Arial" w:cs="Arial"/>
              </w:rPr>
              <w:t>aternal NOAEL: 0.1 mg/kg/d, LOAEL: 0.3 mg/kg/d</w:t>
            </w:r>
          </w:p>
          <w:p w14:paraId="29BEA245" w14:textId="2AD53F37" w:rsidR="004966BF" w:rsidRDefault="00F0294A" w:rsidP="00523CCF">
            <w:pPr>
              <w:pStyle w:val="Tablefont"/>
              <w:numPr>
                <w:ilvl w:val="1"/>
                <w:numId w:val="1"/>
              </w:numPr>
              <w:spacing w:before="60" w:after="60"/>
              <w:ind w:left="1094" w:hanging="357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f</w:t>
            </w:r>
            <w:r w:rsidR="00CA508C">
              <w:rPr>
                <w:rStyle w:val="checkbox"/>
                <w:rFonts w:ascii="Arial" w:hAnsi="Arial" w:cs="Arial"/>
              </w:rPr>
              <w:t>oetal NOAEL: 0.3 mg/kg/d, LOAEL; 1 mg/kg/d</w:t>
            </w:r>
          </w:p>
          <w:p w14:paraId="05EBD985" w14:textId="064F0A03" w:rsidR="00CA508C" w:rsidRDefault="00CA508C" w:rsidP="00523CCF">
            <w:pPr>
              <w:pStyle w:val="Tablefont"/>
              <w:numPr>
                <w:ilvl w:val="0"/>
                <w:numId w:val="1"/>
              </w:numPr>
              <w:spacing w:before="60" w:after="60"/>
              <w:ind w:left="714" w:hanging="357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Inhalational reference dose not yet established</w:t>
            </w:r>
          </w:p>
          <w:p w14:paraId="33346759" w14:textId="766320FB" w:rsidR="00CA508C" w:rsidRPr="004C23F4" w:rsidRDefault="00CA508C" w:rsidP="00523CCF">
            <w:pPr>
              <w:pStyle w:val="Tablefont"/>
              <w:numPr>
                <w:ilvl w:val="0"/>
                <w:numId w:val="1"/>
              </w:numPr>
              <w:spacing w:before="60" w:after="60"/>
              <w:ind w:left="714" w:hanging="357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Assessment of carcinogenic potential in human not complete.</w:t>
            </w:r>
          </w:p>
        </w:tc>
      </w:tr>
    </w:tbl>
    <w:p w14:paraId="13DA163C" w14:textId="77777777" w:rsidR="007E2A4B" w:rsidRDefault="007E2A4B"/>
    <w:bookmarkEnd w:id="1"/>
    <w:p w14:paraId="3093CAFF" w14:textId="77777777" w:rsidR="007E2A4B" w:rsidRDefault="007E2A4B" w:rsidP="007E2A4B">
      <w:pPr>
        <w:pStyle w:val="Heading3"/>
      </w:pPr>
      <w:r>
        <w:t>Carcinogenicity — non-threshold based genotoxic carcinogens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Listing secondary sources with reports"/>
      </w:tblPr>
      <w:tblGrid>
        <w:gridCol w:w="6597"/>
        <w:gridCol w:w="2429"/>
      </w:tblGrid>
      <w:tr w:rsidR="002E0D61" w14:paraId="2CFC42FE" w14:textId="77777777" w:rsidTr="004A652D">
        <w:trPr>
          <w:trHeight w:val="454"/>
          <w:tblHeader/>
        </w:trPr>
        <w:tc>
          <w:tcPr>
            <w:tcW w:w="6597" w:type="dxa"/>
            <w:vAlign w:val="center"/>
          </w:tcPr>
          <w:p w14:paraId="30DF7241" w14:textId="77777777" w:rsidR="002E0D61" w:rsidRDefault="00B1422A" w:rsidP="00C3091E">
            <w:pPr>
              <w:pStyle w:val="Tablefont"/>
              <w:keepNext/>
              <w:keepLines/>
              <w:spacing w:before="40" w:after="40"/>
            </w:pPr>
            <w:bookmarkStart w:id="2" w:name="GCQuest"/>
            <w:r>
              <w:t>Is the chemical mutagenic</w:t>
            </w:r>
            <w:r w:rsidR="002E0D61">
              <w:t>?</w:t>
            </w:r>
          </w:p>
        </w:tc>
        <w:sdt>
          <w:sdtPr>
            <w:id w:val="319705052"/>
            <w:placeholder>
              <w:docPart w:val="0168237C60E6479CAFA3D9A1A8409B78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</w:comboBox>
          </w:sdtPr>
          <w:sdtEndPr/>
          <w:sdtContent>
            <w:tc>
              <w:tcPr>
                <w:tcW w:w="2429" w:type="dxa"/>
                <w:vAlign w:val="center"/>
              </w:tcPr>
              <w:p w14:paraId="072EE462" w14:textId="43F15C6D" w:rsidR="002E0D61" w:rsidRDefault="004A652D" w:rsidP="00C3091E">
                <w:pPr>
                  <w:pStyle w:val="Tablefont"/>
                  <w:keepNext/>
                  <w:keepLines/>
                  <w:spacing w:before="40" w:after="40"/>
                </w:pPr>
                <w:r>
                  <w:t>Insufficient data</w:t>
                </w:r>
              </w:p>
            </w:tc>
          </w:sdtContent>
        </w:sdt>
      </w:tr>
      <w:tr w:rsidR="008A36CF" w14:paraId="2403BF3C" w14:textId="77777777" w:rsidTr="004A652D">
        <w:trPr>
          <w:trHeight w:val="454"/>
        </w:trPr>
        <w:tc>
          <w:tcPr>
            <w:tcW w:w="6597" w:type="dxa"/>
            <w:vAlign w:val="center"/>
          </w:tcPr>
          <w:p w14:paraId="64A2D75F" w14:textId="77777777" w:rsidR="008A36CF" w:rsidRDefault="008A36CF" w:rsidP="008A36CF">
            <w:pPr>
              <w:pStyle w:val="Tablefont"/>
              <w:keepNext/>
              <w:keepLines/>
              <w:spacing w:before="40" w:after="40"/>
            </w:pPr>
            <w:r>
              <w:t>Is the chemical carcinogenic with a mutagenic mechanism of action?</w:t>
            </w:r>
          </w:p>
        </w:tc>
        <w:sdt>
          <w:sdtPr>
            <w:id w:val="-1035572737"/>
            <w:placeholder>
              <w:docPart w:val="5CBFEC560F894890BBD09B93174FFAE0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  <w:listItem w:displayText="NA" w:value="NA"/>
            </w:comboBox>
          </w:sdtPr>
          <w:sdtEndPr/>
          <w:sdtContent>
            <w:tc>
              <w:tcPr>
                <w:tcW w:w="2429" w:type="dxa"/>
                <w:vAlign w:val="center"/>
              </w:tcPr>
              <w:p w14:paraId="562D5431" w14:textId="4C210271" w:rsidR="008A36CF" w:rsidRDefault="004A652D" w:rsidP="008A36CF">
                <w:pPr>
                  <w:pStyle w:val="Tablefont"/>
                  <w:keepNext/>
                  <w:keepLines/>
                  <w:spacing w:before="40" w:after="40"/>
                </w:pPr>
                <w:r>
                  <w:t>No</w:t>
                </w:r>
              </w:p>
            </w:tc>
          </w:sdtContent>
        </w:sdt>
      </w:tr>
      <w:tr w:rsidR="008A36CF" w14:paraId="7C7C01C1" w14:textId="77777777" w:rsidTr="004A652D">
        <w:trPr>
          <w:trHeight w:val="454"/>
        </w:trPr>
        <w:sdt>
          <w:sdtPr>
            <w:rPr>
              <w:b/>
            </w:rPr>
            <w:id w:val="1830936485"/>
            <w:placeholder>
              <w:docPart w:val="CAD2D506A5824AB88D896BC2795BCEDE"/>
            </w:placeholder>
            <w:dropDownList>
              <w:listItem w:value="Choose an item."/>
              <w:listItem w:displayText="The chemical is a non-threshold based genotoxic carcinogen." w:value="The chemical is a non-threshold based genotoxic carcinogen."/>
              <w:listItem w:displayText="The chemical is not a non-threshold based genotoxic carcinogen." w:value="The chemical is not a non-threshold based genotoxic carcinogen."/>
              <w:listItem w:displayText="Insufficient data are available to determine if the chemical is a non-threshold based genotoxic carcinogen." w:value="Insufficient data are available to determine if the chemical is a non-threshold based genotoxic carcinogen."/>
            </w:dropDownList>
          </w:sdtPr>
          <w:sdtEndPr/>
          <w:sdtContent>
            <w:tc>
              <w:tcPr>
                <w:tcW w:w="6597" w:type="dxa"/>
                <w:vAlign w:val="center"/>
              </w:tcPr>
              <w:p w14:paraId="3ECC15B2" w14:textId="25C0D383" w:rsidR="008A36CF" w:rsidRPr="006901A2" w:rsidRDefault="004A652D" w:rsidP="008A36CF">
                <w:pPr>
                  <w:pStyle w:val="Tablefont"/>
                  <w:keepNext/>
                  <w:keepLines/>
                  <w:spacing w:before="40" w:after="40"/>
                  <w:rPr>
                    <w:b/>
                  </w:rPr>
                </w:pPr>
                <w:r>
                  <w:rPr>
                    <w:b/>
                  </w:rPr>
                  <w:t>The chemical is not a non-threshold based genotoxic carcinogen.</w:t>
                </w:r>
              </w:p>
            </w:tc>
          </w:sdtContent>
        </w:sdt>
        <w:tc>
          <w:tcPr>
            <w:tcW w:w="2429" w:type="dxa"/>
            <w:vAlign w:val="center"/>
          </w:tcPr>
          <w:p w14:paraId="366930A5" w14:textId="77777777" w:rsidR="008A36CF" w:rsidRDefault="008A36CF" w:rsidP="008A36CF">
            <w:pPr>
              <w:pStyle w:val="Tablefont"/>
              <w:keepNext/>
              <w:keepLines/>
              <w:spacing w:before="40" w:after="40"/>
            </w:pPr>
          </w:p>
        </w:tc>
      </w:tr>
    </w:tbl>
    <w:bookmarkEnd w:id="2"/>
    <w:p w14:paraId="2C570648" w14:textId="77777777" w:rsidR="00687890" w:rsidRPr="004C23F4" w:rsidRDefault="00B479A9" w:rsidP="00474E33">
      <w:pPr>
        <w:pStyle w:val="Heading2"/>
      </w:pPr>
      <w:r w:rsidRPr="004C23F4">
        <w:t>Notations</w:t>
      </w:r>
    </w:p>
    <w:tbl>
      <w:tblPr>
        <w:tblStyle w:val="LightList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  <w:tblCaption w:val="Table"/>
        <w:tblDescription w:val="Listing notations"/>
      </w:tblPr>
      <w:tblGrid>
        <w:gridCol w:w="3153"/>
        <w:gridCol w:w="5873"/>
      </w:tblGrid>
      <w:tr w:rsidR="00687890" w:rsidRPr="004C23F4" w14:paraId="02E1D52C" w14:textId="77777777" w:rsidTr="00812887">
        <w:trPr>
          <w:cantSplit/>
          <w:tblHeader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14:paraId="2198D093" w14:textId="77777777" w:rsidR="00687890" w:rsidRPr="004C23F4" w:rsidRDefault="00687890" w:rsidP="00263255">
            <w:pPr>
              <w:pStyle w:val="Tableheader"/>
            </w:pPr>
            <w:bookmarkStart w:id="3" w:name="Notations"/>
            <w:r w:rsidRPr="004C23F4">
              <w:t>Source</w:t>
            </w:r>
          </w:p>
        </w:tc>
        <w:tc>
          <w:tcPr>
            <w:tcW w:w="6015" w:type="dxa"/>
            <w:shd w:val="clear" w:color="auto" w:fill="BFBFBF" w:themeFill="background1" w:themeFillShade="BF"/>
            <w:vAlign w:val="center"/>
          </w:tcPr>
          <w:p w14:paraId="7E8657C3" w14:textId="77777777" w:rsidR="00687890" w:rsidRPr="004C23F4" w:rsidRDefault="00687890" w:rsidP="00F4402E">
            <w:pPr>
              <w:pStyle w:val="Tableheader"/>
              <w:tabs>
                <w:tab w:val="right" w:pos="5272"/>
              </w:tabs>
            </w:pPr>
            <w:r w:rsidRPr="004C23F4">
              <w:t>Notations</w:t>
            </w:r>
            <w:r w:rsidR="003A2B94">
              <w:tab/>
            </w:r>
          </w:p>
        </w:tc>
      </w:tr>
      <w:tr w:rsidR="00687890" w:rsidRPr="004C23F4" w14:paraId="295595A4" w14:textId="77777777" w:rsidTr="00812887">
        <w:trPr>
          <w:cantSplit/>
        </w:trPr>
        <w:tc>
          <w:tcPr>
            <w:tcW w:w="3227" w:type="dxa"/>
          </w:tcPr>
          <w:p w14:paraId="2CBB99E1" w14:textId="77777777" w:rsidR="004079B4" w:rsidRPr="004C23F4" w:rsidRDefault="00084513" w:rsidP="00F4402E">
            <w:pPr>
              <w:pStyle w:val="Tablefont"/>
            </w:pPr>
            <w:r w:rsidRPr="004C23F4">
              <w:t>SWA</w:t>
            </w:r>
          </w:p>
        </w:tc>
        <w:tc>
          <w:tcPr>
            <w:tcW w:w="6015" w:type="dxa"/>
          </w:tcPr>
          <w:p w14:paraId="340B1C9E" w14:textId="44AFCDDD" w:rsidR="00687890" w:rsidRPr="00DD2F9B" w:rsidRDefault="003212C7" w:rsidP="00DD2F9B">
            <w:pPr>
              <w:pStyle w:val="Tablefont"/>
            </w:pPr>
            <w:r w:rsidRPr="003212C7">
              <w:t>Skin</w:t>
            </w:r>
          </w:p>
        </w:tc>
      </w:tr>
      <w:tr w:rsidR="007925F0" w:rsidRPr="004C23F4" w14:paraId="1968A3B4" w14:textId="77777777" w:rsidTr="00812887">
        <w:trPr>
          <w:cantSplit/>
        </w:trPr>
        <w:tc>
          <w:tcPr>
            <w:tcW w:w="3227" w:type="dxa"/>
          </w:tcPr>
          <w:p w14:paraId="535A8FEA" w14:textId="77777777" w:rsidR="004079B4" w:rsidRPr="004C23F4" w:rsidRDefault="007925F0" w:rsidP="00F4402E">
            <w:pPr>
              <w:pStyle w:val="Tablefont"/>
            </w:pPr>
            <w:r>
              <w:t>HCIS</w:t>
            </w:r>
          </w:p>
        </w:tc>
        <w:tc>
          <w:tcPr>
            <w:tcW w:w="6015" w:type="dxa"/>
          </w:tcPr>
          <w:p w14:paraId="544FEDF5" w14:textId="79E7546D" w:rsidR="007925F0" w:rsidRPr="00DD2F9B" w:rsidRDefault="004A652D" w:rsidP="00DD2F9B">
            <w:pPr>
              <w:pStyle w:val="Tablefont"/>
            </w:pPr>
            <w:r>
              <w:t>—</w:t>
            </w:r>
          </w:p>
        </w:tc>
      </w:tr>
      <w:tr w:rsidR="00AF483F" w:rsidRPr="004C23F4" w14:paraId="287F9C32" w14:textId="77777777" w:rsidTr="00812887">
        <w:trPr>
          <w:cantSplit/>
        </w:trPr>
        <w:tc>
          <w:tcPr>
            <w:tcW w:w="3227" w:type="dxa"/>
          </w:tcPr>
          <w:p w14:paraId="5E5CDFBE" w14:textId="77777777" w:rsidR="00AF483F" w:rsidRPr="004C23F4" w:rsidRDefault="00AF483F" w:rsidP="00F4402E">
            <w:pPr>
              <w:pStyle w:val="Tablefont"/>
            </w:pPr>
            <w:r>
              <w:t>NICNAS</w:t>
            </w:r>
          </w:p>
        </w:tc>
        <w:tc>
          <w:tcPr>
            <w:tcW w:w="6015" w:type="dxa"/>
          </w:tcPr>
          <w:p w14:paraId="2C00746F" w14:textId="3498D93C" w:rsidR="00AF483F" w:rsidRPr="00DD2F9B" w:rsidRDefault="003212C7" w:rsidP="00DD2F9B">
            <w:pPr>
              <w:pStyle w:val="Tablefont"/>
            </w:pPr>
            <w:r>
              <w:t>NA</w:t>
            </w:r>
          </w:p>
        </w:tc>
      </w:tr>
      <w:tr w:rsidR="00687890" w:rsidRPr="004C23F4" w14:paraId="219D91AD" w14:textId="77777777" w:rsidTr="00812887">
        <w:trPr>
          <w:cantSplit/>
        </w:trPr>
        <w:tc>
          <w:tcPr>
            <w:tcW w:w="3227" w:type="dxa"/>
          </w:tcPr>
          <w:p w14:paraId="4297E3C9" w14:textId="77777777" w:rsidR="004079B4" w:rsidRPr="004C23F4" w:rsidRDefault="00687890" w:rsidP="00F4402E">
            <w:pPr>
              <w:pStyle w:val="Tablefont"/>
            </w:pPr>
            <w:r w:rsidRPr="004C23F4">
              <w:t>EU Annex</w:t>
            </w:r>
          </w:p>
        </w:tc>
        <w:tc>
          <w:tcPr>
            <w:tcW w:w="6015" w:type="dxa"/>
          </w:tcPr>
          <w:p w14:paraId="580A63A5" w14:textId="43FE1213" w:rsidR="00687890" w:rsidRPr="00DD2F9B" w:rsidRDefault="004A652D" w:rsidP="00DD2F9B">
            <w:pPr>
              <w:pStyle w:val="Tablefont"/>
            </w:pPr>
            <w:r>
              <w:t>—</w:t>
            </w:r>
          </w:p>
        </w:tc>
      </w:tr>
      <w:tr w:rsidR="00E41A26" w:rsidRPr="004C23F4" w14:paraId="04F2042A" w14:textId="77777777" w:rsidTr="00812887">
        <w:trPr>
          <w:cantSplit/>
        </w:trPr>
        <w:tc>
          <w:tcPr>
            <w:tcW w:w="3227" w:type="dxa"/>
          </w:tcPr>
          <w:p w14:paraId="34EA606E" w14:textId="77777777" w:rsidR="00E41A26" w:rsidRDefault="00E41A26" w:rsidP="00F4402E">
            <w:pPr>
              <w:pStyle w:val="Tablefont"/>
            </w:pPr>
            <w:r>
              <w:t>ECHA</w:t>
            </w:r>
          </w:p>
        </w:tc>
        <w:tc>
          <w:tcPr>
            <w:tcW w:w="6015" w:type="dxa"/>
          </w:tcPr>
          <w:p w14:paraId="1E8239D9" w14:textId="7FC34968" w:rsidR="00E41A26" w:rsidRPr="00DD2F9B" w:rsidRDefault="003212C7" w:rsidP="00DD2F9B">
            <w:pPr>
              <w:pStyle w:val="Tablefont"/>
            </w:pPr>
            <w:r>
              <w:t>—</w:t>
            </w:r>
          </w:p>
        </w:tc>
      </w:tr>
      <w:tr w:rsidR="002E0D61" w:rsidRPr="004C23F4" w14:paraId="2A5523FD" w14:textId="77777777" w:rsidTr="00812887">
        <w:trPr>
          <w:cantSplit/>
        </w:trPr>
        <w:tc>
          <w:tcPr>
            <w:tcW w:w="3227" w:type="dxa"/>
          </w:tcPr>
          <w:p w14:paraId="539679ED" w14:textId="77777777" w:rsidR="004079B4" w:rsidRPr="004C23F4" w:rsidRDefault="002E0D61" w:rsidP="00F4402E">
            <w:pPr>
              <w:pStyle w:val="Tablefont"/>
            </w:pPr>
            <w:r>
              <w:t>ACGIH</w:t>
            </w:r>
          </w:p>
        </w:tc>
        <w:tc>
          <w:tcPr>
            <w:tcW w:w="6015" w:type="dxa"/>
          </w:tcPr>
          <w:p w14:paraId="4ED05B8E" w14:textId="3E6FD940" w:rsidR="002E0D61" w:rsidRPr="00DD2F9B" w:rsidRDefault="003212C7" w:rsidP="00DD2F9B">
            <w:pPr>
              <w:pStyle w:val="Tablefont"/>
            </w:pPr>
            <w:r w:rsidRPr="003212C7">
              <w:t>Carcinogenicity – A4</w:t>
            </w:r>
            <w:r>
              <w:t xml:space="preserve">, </w:t>
            </w:r>
            <w:r w:rsidRPr="003212C7">
              <w:t>Skin</w:t>
            </w:r>
          </w:p>
        </w:tc>
      </w:tr>
      <w:tr w:rsidR="002E0D61" w:rsidRPr="004C23F4" w14:paraId="1A075413" w14:textId="77777777" w:rsidTr="00812887">
        <w:trPr>
          <w:cantSplit/>
        </w:trPr>
        <w:tc>
          <w:tcPr>
            <w:tcW w:w="3227" w:type="dxa"/>
          </w:tcPr>
          <w:p w14:paraId="1F526CBD" w14:textId="77777777" w:rsidR="004079B4" w:rsidRPr="004C23F4" w:rsidRDefault="002E0D61" w:rsidP="00F4402E">
            <w:pPr>
              <w:pStyle w:val="Tablefont"/>
            </w:pPr>
            <w:r>
              <w:t>DFG</w:t>
            </w:r>
          </w:p>
        </w:tc>
        <w:tc>
          <w:tcPr>
            <w:tcW w:w="6015" w:type="dxa"/>
          </w:tcPr>
          <w:p w14:paraId="3822619B" w14:textId="0181655A" w:rsidR="002E0D61" w:rsidRPr="00DD2F9B" w:rsidRDefault="003212C7" w:rsidP="00DD2F9B">
            <w:pPr>
              <w:pStyle w:val="Tablefont"/>
            </w:pPr>
            <w:r>
              <w:t>NA</w:t>
            </w:r>
          </w:p>
        </w:tc>
      </w:tr>
      <w:tr w:rsidR="002E0D61" w:rsidRPr="004C23F4" w14:paraId="3AA9B940" w14:textId="77777777" w:rsidTr="00812887">
        <w:trPr>
          <w:cantSplit/>
        </w:trPr>
        <w:tc>
          <w:tcPr>
            <w:tcW w:w="3227" w:type="dxa"/>
          </w:tcPr>
          <w:p w14:paraId="26310B6F" w14:textId="77777777" w:rsidR="004079B4" w:rsidRPr="004C23F4" w:rsidRDefault="002E0D61" w:rsidP="00F4402E">
            <w:pPr>
              <w:pStyle w:val="Tablefont"/>
            </w:pPr>
            <w:r>
              <w:t>SCOEL</w:t>
            </w:r>
          </w:p>
        </w:tc>
        <w:tc>
          <w:tcPr>
            <w:tcW w:w="6015" w:type="dxa"/>
          </w:tcPr>
          <w:p w14:paraId="42907372" w14:textId="3D99C0AA" w:rsidR="002E0D61" w:rsidRPr="00DD2F9B" w:rsidRDefault="003212C7" w:rsidP="00DD2F9B">
            <w:pPr>
              <w:pStyle w:val="Tablefont"/>
            </w:pPr>
            <w:r>
              <w:t>NA</w:t>
            </w:r>
          </w:p>
        </w:tc>
      </w:tr>
      <w:tr w:rsidR="002E0D61" w:rsidRPr="004C23F4" w14:paraId="59601AFB" w14:textId="77777777" w:rsidTr="00812887">
        <w:trPr>
          <w:cantSplit/>
        </w:trPr>
        <w:tc>
          <w:tcPr>
            <w:tcW w:w="3227" w:type="dxa"/>
          </w:tcPr>
          <w:p w14:paraId="1C34A81D" w14:textId="77777777" w:rsidR="004079B4" w:rsidRDefault="002E0D61" w:rsidP="00F4402E">
            <w:pPr>
              <w:pStyle w:val="Tablefont"/>
            </w:pPr>
            <w:r>
              <w:t>HCOTN</w:t>
            </w:r>
          </w:p>
        </w:tc>
        <w:tc>
          <w:tcPr>
            <w:tcW w:w="6015" w:type="dxa"/>
          </w:tcPr>
          <w:p w14:paraId="2B222E89" w14:textId="6BC9D7F1" w:rsidR="002E0D61" w:rsidRPr="00DD2F9B" w:rsidRDefault="003212C7" w:rsidP="00DD2F9B">
            <w:pPr>
              <w:pStyle w:val="Tablefont"/>
            </w:pPr>
            <w:r>
              <w:t>NA</w:t>
            </w:r>
          </w:p>
        </w:tc>
      </w:tr>
      <w:tr w:rsidR="00386093" w:rsidRPr="004C23F4" w14:paraId="017DAAC7" w14:textId="77777777" w:rsidTr="00812887">
        <w:trPr>
          <w:cantSplit/>
        </w:trPr>
        <w:tc>
          <w:tcPr>
            <w:tcW w:w="3227" w:type="dxa"/>
          </w:tcPr>
          <w:p w14:paraId="56F7E786" w14:textId="77777777" w:rsidR="004079B4" w:rsidRDefault="00386093" w:rsidP="00F4402E">
            <w:pPr>
              <w:pStyle w:val="Tablefont"/>
            </w:pPr>
            <w:r>
              <w:t>IARC</w:t>
            </w:r>
          </w:p>
        </w:tc>
        <w:tc>
          <w:tcPr>
            <w:tcW w:w="6015" w:type="dxa"/>
          </w:tcPr>
          <w:p w14:paraId="7F79DF6F" w14:textId="17D15B10" w:rsidR="00386093" w:rsidRPr="00DD2F9B" w:rsidRDefault="003212C7" w:rsidP="00DD2F9B">
            <w:pPr>
              <w:pStyle w:val="Tablefont"/>
            </w:pPr>
            <w:r>
              <w:t>NA</w:t>
            </w:r>
          </w:p>
        </w:tc>
      </w:tr>
      <w:tr w:rsidR="00386093" w:rsidRPr="004C23F4" w14:paraId="1E5C52CA" w14:textId="77777777" w:rsidTr="00812887">
        <w:trPr>
          <w:cantSplit/>
        </w:trPr>
        <w:tc>
          <w:tcPr>
            <w:tcW w:w="3227" w:type="dxa"/>
          </w:tcPr>
          <w:p w14:paraId="4D0D34BD" w14:textId="77777777" w:rsidR="004079B4" w:rsidRDefault="00386093" w:rsidP="00F4402E">
            <w:pPr>
              <w:pStyle w:val="Tablefont"/>
              <w:keepNext/>
            </w:pPr>
            <w:r>
              <w:t>US NIOSH</w:t>
            </w:r>
          </w:p>
        </w:tc>
        <w:tc>
          <w:tcPr>
            <w:tcW w:w="6015" w:type="dxa"/>
          </w:tcPr>
          <w:p w14:paraId="0EAD0317" w14:textId="16147FE4" w:rsidR="00386093" w:rsidRPr="00DD2F9B" w:rsidRDefault="003212C7" w:rsidP="00D87570">
            <w:pPr>
              <w:pStyle w:val="Tablefont"/>
              <w:keepNext/>
            </w:pPr>
            <w:r>
              <w:t>NA</w:t>
            </w:r>
          </w:p>
        </w:tc>
      </w:tr>
    </w:tbl>
    <w:bookmarkEnd w:id="3"/>
    <w:p w14:paraId="56E0C328" w14:textId="77777777" w:rsidR="00485BFD" w:rsidRDefault="00485BFD" w:rsidP="00485BFD">
      <w:pPr>
        <w:pStyle w:val="Tablefooter"/>
      </w:pPr>
      <w:r>
        <w:t>NA = not applicable (a recommendation has not been made by this Agency); —</w:t>
      </w:r>
      <w:r w:rsidR="00D87570">
        <w:t xml:space="preserve"> = the Agency has assessed available data for this chemical but has not recommended any notations</w:t>
      </w:r>
    </w:p>
    <w:p w14:paraId="07ABC315" w14:textId="77777777" w:rsidR="00474E33" w:rsidRDefault="00474E33" w:rsidP="00474E33">
      <w:pPr>
        <w:pStyle w:val="Heading3"/>
      </w:pPr>
      <w:r>
        <w:lastRenderedPageBreak/>
        <w:t>Skin notation assessment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kin notation assessment calculation"/>
      </w:tblPr>
      <w:tblGrid>
        <w:gridCol w:w="9026"/>
      </w:tblGrid>
      <w:tr w:rsidR="00932DCE" w:rsidRPr="004C23F4" w14:paraId="19522AB6" w14:textId="77777777" w:rsidTr="00EA6243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63679F2B" w14:textId="77777777" w:rsidR="00932DCE" w:rsidRPr="004C23F4" w:rsidRDefault="00932DCE" w:rsidP="00F4402E">
            <w:pPr>
              <w:pStyle w:val="Tableheader"/>
              <w:keepNext/>
              <w:tabs>
                <w:tab w:val="right" w:pos="8800"/>
              </w:tabs>
            </w:pPr>
            <w:bookmarkStart w:id="4" w:name="SkinNot"/>
            <w:r>
              <w:t>Calculation</w:t>
            </w:r>
            <w:r w:rsidR="00177CA1">
              <w:tab/>
            </w:r>
          </w:p>
        </w:tc>
      </w:tr>
      <w:tr w:rsidR="00932DCE" w:rsidRPr="004C23F4" w14:paraId="49AAF64D" w14:textId="77777777" w:rsidTr="00EA6243">
        <w:trPr>
          <w:cantSplit/>
          <w:tblHeader/>
        </w:trPr>
        <w:tc>
          <w:tcPr>
            <w:tcW w:w="5000" w:type="pct"/>
            <w:vAlign w:val="center"/>
          </w:tcPr>
          <w:tbl>
            <w:tblPr>
              <w:tblW w:w="9304" w:type="dxa"/>
              <w:tblLook w:val="04A0" w:firstRow="1" w:lastRow="0" w:firstColumn="1" w:lastColumn="0" w:noHBand="0" w:noVBand="1"/>
            </w:tblPr>
            <w:tblGrid>
              <w:gridCol w:w="3576"/>
              <w:gridCol w:w="1065"/>
              <w:gridCol w:w="1065"/>
              <w:gridCol w:w="3104"/>
            </w:tblGrid>
            <w:tr w:rsidR="00CA508C" w:rsidRPr="00CA508C" w14:paraId="235FF095" w14:textId="77777777" w:rsidTr="00CA508C">
              <w:trPr>
                <w:trHeight w:val="271"/>
              </w:trPr>
              <w:tc>
                <w:tcPr>
                  <w:tcW w:w="3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4F4E68A" w14:textId="77777777" w:rsidR="00CA508C" w:rsidRPr="00CA508C" w:rsidRDefault="00CA508C" w:rsidP="00CA508C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Adverse effects in human case study: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23CFDFE" w14:textId="77777777" w:rsidR="00CA508C" w:rsidRPr="00CA508C" w:rsidRDefault="00CA508C" w:rsidP="00CA508C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8E8EC83" w14:textId="77777777" w:rsidR="00CA508C" w:rsidRPr="00CA508C" w:rsidRDefault="00CA508C" w:rsidP="00CA508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AC6455D" w14:textId="77777777" w:rsidR="00CA508C" w:rsidRPr="00CA508C" w:rsidRDefault="00CA508C" w:rsidP="00CA508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CA508C" w:rsidRPr="00CA508C" w14:paraId="17716EB8" w14:textId="77777777" w:rsidTr="00CA508C">
              <w:trPr>
                <w:trHeight w:val="271"/>
              </w:trPr>
              <w:tc>
                <w:tcPr>
                  <w:tcW w:w="3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29D37E8" w14:textId="77777777" w:rsidR="00CA508C" w:rsidRPr="00CA508C" w:rsidRDefault="00CA508C" w:rsidP="00CA508C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≤1000 mg/kg: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54768676" w14:textId="77777777" w:rsidR="00CA508C" w:rsidRPr="00CA508C" w:rsidRDefault="00CA508C" w:rsidP="00CA508C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2114C22" w14:textId="77777777" w:rsidR="00CA508C" w:rsidRPr="00CA508C" w:rsidRDefault="00CA508C" w:rsidP="00CA508C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3.00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CA2AA70" w14:textId="77777777" w:rsidR="00CA508C" w:rsidRPr="00CA508C" w:rsidRDefault="00CA508C" w:rsidP="00CA508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CA508C" w:rsidRPr="00CA508C" w14:paraId="56851F27" w14:textId="77777777" w:rsidTr="00CA508C">
              <w:trPr>
                <w:trHeight w:val="271"/>
              </w:trPr>
              <w:tc>
                <w:tcPr>
                  <w:tcW w:w="3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5B14F20" w14:textId="77777777" w:rsidR="00CA508C" w:rsidRPr="00CA508C" w:rsidRDefault="00CA508C" w:rsidP="00CA508C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repeat-dose NOAEL ≤200 mg/kg: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EB9C"/>
                  <w:noWrap/>
                  <w:vAlign w:val="center"/>
                  <w:hideMark/>
                </w:tcPr>
                <w:p w14:paraId="2E356700" w14:textId="77777777" w:rsidR="00CA508C" w:rsidRPr="00CA508C" w:rsidRDefault="00CA508C" w:rsidP="00CA508C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9C6500"/>
                      <w:sz w:val="18"/>
                      <w:szCs w:val="18"/>
                      <w:lang w:eastAsia="en-AU"/>
                    </w:rPr>
                    <w:t>yes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1BD45E3" w14:textId="77777777" w:rsidR="00CA508C" w:rsidRPr="00CA508C" w:rsidRDefault="00CA508C" w:rsidP="00CA508C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3.00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52EFBF7" w14:textId="77777777" w:rsidR="00CA508C" w:rsidRPr="00CA508C" w:rsidRDefault="00CA508C" w:rsidP="00CA508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CA508C" w:rsidRPr="00CA508C" w14:paraId="6C10A0F7" w14:textId="77777777" w:rsidTr="00CA508C">
              <w:trPr>
                <w:trHeight w:val="271"/>
              </w:trPr>
              <w:tc>
                <w:tcPr>
                  <w:tcW w:w="3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C08EEA3" w14:textId="77777777" w:rsidR="00CA508C" w:rsidRPr="00CA508C" w:rsidRDefault="00CA508C" w:rsidP="00CA508C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/Inhalation LD</w:t>
                  </w: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&lt;10: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DB7CA65" w14:textId="77777777" w:rsidR="00CA508C" w:rsidRPr="00CA508C" w:rsidRDefault="00CA508C" w:rsidP="00CA508C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EDC3CBC" w14:textId="77777777" w:rsidR="00CA508C" w:rsidRPr="00CA508C" w:rsidRDefault="00CA508C" w:rsidP="00CA508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212F367" w14:textId="77777777" w:rsidR="00CA508C" w:rsidRPr="00CA508C" w:rsidRDefault="00CA508C" w:rsidP="00CA508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CA508C" w:rsidRPr="00CA508C" w14:paraId="75DE9271" w14:textId="77777777" w:rsidTr="00CA508C">
              <w:trPr>
                <w:trHeight w:val="271"/>
              </w:trPr>
              <w:tc>
                <w:tcPr>
                  <w:tcW w:w="3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4FC08CF" w14:textId="77777777" w:rsidR="00CA508C" w:rsidRPr="00CA508C" w:rsidRDefault="00CA508C" w:rsidP="00CA508C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  <w:t>In vivo</w:t>
                  </w: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dermal absorption rate &gt;10%: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3EAC863" w14:textId="77777777" w:rsidR="00CA508C" w:rsidRPr="00CA508C" w:rsidRDefault="00CA508C" w:rsidP="00CA508C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11659FA" w14:textId="77777777" w:rsidR="00CA508C" w:rsidRPr="00CA508C" w:rsidRDefault="00CA508C" w:rsidP="00CA508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186A7C3" w14:textId="77777777" w:rsidR="00CA508C" w:rsidRPr="00CA508C" w:rsidRDefault="00CA508C" w:rsidP="00CA508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CA508C" w:rsidRPr="00CA508C" w14:paraId="6D37442A" w14:textId="77777777" w:rsidTr="00CA508C">
              <w:trPr>
                <w:trHeight w:val="271"/>
              </w:trPr>
              <w:tc>
                <w:tcPr>
                  <w:tcW w:w="3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6A4F880" w14:textId="77777777" w:rsidR="00CA508C" w:rsidRPr="00CA508C" w:rsidRDefault="00CA508C" w:rsidP="00CA508C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Estimated dermal exposure at WES &gt;10%: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1DE45A8" w14:textId="77777777" w:rsidR="00CA508C" w:rsidRPr="00CA508C" w:rsidRDefault="00CA508C" w:rsidP="00CA508C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722FAF3" w14:textId="77777777" w:rsidR="00CA508C" w:rsidRPr="00CA508C" w:rsidRDefault="00CA508C" w:rsidP="00CA508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402099A" w14:textId="77777777" w:rsidR="00CA508C" w:rsidRPr="00CA508C" w:rsidRDefault="00CA508C" w:rsidP="00CA508C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CA508C" w:rsidRPr="00CA508C" w14:paraId="21EB41AE" w14:textId="77777777" w:rsidTr="00CA508C">
              <w:trPr>
                <w:trHeight w:val="271"/>
              </w:trPr>
              <w:tc>
                <w:tcPr>
                  <w:tcW w:w="3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C3EFCAF" w14:textId="77777777" w:rsidR="00CA508C" w:rsidRPr="00CA508C" w:rsidRDefault="00CA508C" w:rsidP="00CA508C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770C87A" w14:textId="77777777" w:rsidR="00CA508C" w:rsidRPr="00CA508C" w:rsidRDefault="00CA508C" w:rsidP="00CA508C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CC7B062" w14:textId="77777777" w:rsidR="00CA508C" w:rsidRPr="00CA508C" w:rsidRDefault="00CA508C" w:rsidP="00CA508C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3</w:t>
                  </w:r>
                </w:p>
              </w:tc>
              <w:tc>
                <w:tcPr>
                  <w:tcW w:w="3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3C6850D" w14:textId="77777777" w:rsidR="00CA508C" w:rsidRPr="00CA508C" w:rsidRDefault="00CA508C" w:rsidP="00CA508C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CA508C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  <w:t>consider assigning a skin notation</w:t>
                  </w:r>
                </w:p>
              </w:tc>
            </w:tr>
          </w:tbl>
          <w:p w14:paraId="003D45CA" w14:textId="77777777" w:rsidR="00932DCE" w:rsidRPr="004C23F4" w:rsidRDefault="00932DCE" w:rsidP="00F9496B">
            <w:pPr>
              <w:pStyle w:val="Tablefont"/>
            </w:pPr>
          </w:p>
        </w:tc>
      </w:tr>
    </w:tbl>
    <w:bookmarkEnd w:id="4"/>
    <w:p w14:paraId="3EB7D05A" w14:textId="77777777" w:rsidR="00EB3D1B" w:rsidRDefault="00EB3D1B" w:rsidP="00EB3D1B">
      <w:pPr>
        <w:pStyle w:val="Heading3"/>
      </w:pPr>
      <w:r>
        <w:t>IDLH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DLH Table"/>
        <w:tblDescription w:val="Poses question: Ist here a suitable IDLH value available"/>
      </w:tblPr>
      <w:tblGrid>
        <w:gridCol w:w="4269"/>
        <w:gridCol w:w="4757"/>
      </w:tblGrid>
      <w:tr w:rsidR="00EB3D1B" w14:paraId="5242B702" w14:textId="77777777" w:rsidTr="00610F2E">
        <w:trPr>
          <w:trHeight w:val="454"/>
          <w:tblHeader/>
        </w:trPr>
        <w:tc>
          <w:tcPr>
            <w:tcW w:w="4361" w:type="dxa"/>
            <w:vAlign w:val="center"/>
          </w:tcPr>
          <w:p w14:paraId="2CC0CF88" w14:textId="77777777" w:rsidR="00EB3D1B" w:rsidRDefault="00EB3D1B" w:rsidP="00D87570">
            <w:pPr>
              <w:pStyle w:val="Tablefont"/>
            </w:pPr>
            <w:r>
              <w:t xml:space="preserve">Is there a </w:t>
            </w:r>
            <w:r w:rsidR="006E5D05">
              <w:t>suitable</w:t>
            </w:r>
            <w:r>
              <w:t xml:space="preserve"> IDLH value available?</w:t>
            </w:r>
          </w:p>
        </w:tc>
        <w:sdt>
          <w:sdtPr>
            <w:id w:val="1781757649"/>
            <w:placeholder>
              <w:docPart w:val="F426C563814E402488AC06CC39354A11"/>
            </w:placeholder>
            <w:comboBox>
              <w:listItem w:value="Choose an item."/>
              <w:listItem w:displayText="Yes" w:value="Yes"/>
              <w:listItem w:displayText="Yes, based on LEL" w:value="Yes, based on LEL"/>
              <w:listItem w:displayText="No" w:value="No"/>
              <w:listItem w:displayText="No, the chemical is a genotoxic carcinogen" w:value="No, the chemical is a genotoxic carcinogen"/>
            </w:comboBox>
          </w:sdtPr>
          <w:sdtEndPr/>
          <w:sdtContent>
            <w:tc>
              <w:tcPr>
                <w:tcW w:w="4881" w:type="dxa"/>
                <w:vAlign w:val="center"/>
              </w:tcPr>
              <w:p w14:paraId="7BE66F24" w14:textId="1381F2F1" w:rsidR="00EB3D1B" w:rsidRDefault="00036544" w:rsidP="00EB3D1B">
                <w:pPr>
                  <w:pStyle w:val="Tablefont"/>
                </w:pPr>
                <w:r>
                  <w:t>No</w:t>
                </w:r>
              </w:p>
            </w:tc>
          </w:sdtContent>
        </w:sdt>
      </w:tr>
    </w:tbl>
    <w:p w14:paraId="6473962D" w14:textId="77777777" w:rsidR="00687890" w:rsidRPr="004C23F4" w:rsidRDefault="00B479A9" w:rsidP="00474E33">
      <w:pPr>
        <w:pStyle w:val="Heading2"/>
      </w:pPr>
      <w:r w:rsidRPr="004C23F4">
        <w:t>Additional information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additional information"/>
      </w:tblPr>
      <w:tblGrid>
        <w:gridCol w:w="3996"/>
        <w:gridCol w:w="5030"/>
      </w:tblGrid>
      <w:tr w:rsidR="001B79E5" w:rsidRPr="004C23F4" w14:paraId="23DC0C9D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41551D01" w14:textId="77777777" w:rsidR="001B79E5" w:rsidRDefault="001B79E5" w:rsidP="00A31D99">
            <w:pPr>
              <w:pStyle w:val="Tablefont"/>
            </w:pPr>
            <w:r>
              <w:t>Molecular weight:</w:t>
            </w:r>
          </w:p>
        </w:tc>
        <w:sdt>
          <w:sdtPr>
            <w:id w:val="2058126578"/>
            <w:placeholder>
              <w:docPart w:val="0DAD3FB9ACEF4778B961F088737E2361"/>
            </w:placeholder>
          </w:sdtPr>
          <w:sdtEndPr/>
          <w:sdtContent>
            <w:tc>
              <w:tcPr>
                <w:tcW w:w="5165" w:type="dxa"/>
                <w:vAlign w:val="center"/>
              </w:tcPr>
              <w:p w14:paraId="79469556" w14:textId="78DECDFC" w:rsidR="001B79E5" w:rsidRDefault="00036544" w:rsidP="001B79E5">
                <w:pPr>
                  <w:pStyle w:val="Tablefont"/>
                </w:pPr>
                <w:r>
                  <w:t>303.4</w:t>
                </w:r>
              </w:p>
            </w:tc>
          </w:sdtContent>
        </w:sdt>
      </w:tr>
      <w:tr w:rsidR="00A31D99" w:rsidRPr="004C23F4" w14:paraId="566687ED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4BDCACFD" w14:textId="77777777" w:rsidR="00A31D99" w:rsidRPr="00263255" w:rsidRDefault="00A31D99" w:rsidP="00A31D99">
            <w:pPr>
              <w:pStyle w:val="Tablefont"/>
            </w:pPr>
            <w:r>
              <w:t>Conversion factors at 25</w:t>
            </w:r>
            <w:r>
              <w:rPr>
                <w:rFonts w:cs="Arial"/>
              </w:rPr>
              <w:t>°</w:t>
            </w:r>
            <w:r>
              <w:t xml:space="preserve">C and 101.3 kPa: </w:t>
            </w:r>
          </w:p>
        </w:tc>
        <w:tc>
          <w:tcPr>
            <w:tcW w:w="5165" w:type="dxa"/>
            <w:vAlign w:val="center"/>
          </w:tcPr>
          <w:p w14:paraId="6BE54A76" w14:textId="485E0B7C" w:rsidR="00A31D99" w:rsidRDefault="00A0643F" w:rsidP="00A174CC">
            <w:pPr>
              <w:pStyle w:val="Tablefont"/>
            </w:pPr>
            <w:r>
              <w:t xml:space="preserve">1 ppm = </w:t>
            </w:r>
            <w:sdt>
              <w:sdtPr>
                <w:id w:val="-371151491"/>
                <w:placeholder>
                  <w:docPart w:val="A7231FB73EFF4B2B92EB3BD21C0CEA01"/>
                </w:placeholder>
              </w:sdtPr>
              <w:sdtEndPr/>
              <w:sdtContent>
                <w:r w:rsidR="00036544">
                  <w:t>12.4</w:t>
                </w:r>
              </w:sdtContent>
            </w:sdt>
            <w:r>
              <w:t xml:space="preserve"> mg/m</w:t>
            </w:r>
            <w:r w:rsidRPr="00D83761">
              <w:rPr>
                <w:vertAlign w:val="superscript"/>
              </w:rPr>
              <w:t>3</w:t>
            </w:r>
            <w:r>
              <w:t>; 1 mg/m</w:t>
            </w:r>
            <w:r w:rsidRPr="00D83761">
              <w:rPr>
                <w:vertAlign w:val="superscript"/>
              </w:rPr>
              <w:t>3</w:t>
            </w:r>
            <w:r>
              <w:t xml:space="preserve"> = </w:t>
            </w:r>
            <w:sdt>
              <w:sdtPr>
                <w:id w:val="-1913150218"/>
                <w:placeholder>
                  <w:docPart w:val="5D98FA8C84704C71B6F1557317AE5303"/>
                </w:placeholder>
              </w:sdtPr>
              <w:sdtEndPr/>
              <w:sdtContent>
                <w:r w:rsidR="00036544">
                  <w:t>0.08</w:t>
                </w:r>
              </w:sdtContent>
            </w:sdt>
            <w:r>
              <w:t xml:space="preserve"> ppm</w:t>
            </w:r>
          </w:p>
        </w:tc>
      </w:tr>
      <w:tr w:rsidR="00687890" w:rsidRPr="004C23F4" w14:paraId="6D42521A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36798111" w14:textId="77777777" w:rsidR="00687890" w:rsidRPr="00263255" w:rsidRDefault="00687890" w:rsidP="00263255">
            <w:pPr>
              <w:pStyle w:val="Tablefont"/>
            </w:pPr>
            <w:r w:rsidRPr="00263255">
              <w:t>This chemical is used as a pesticide:</w:t>
            </w:r>
          </w:p>
        </w:tc>
        <w:sdt>
          <w:sdtPr>
            <w:id w:val="170444106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6E592737" w14:textId="36F03C78" w:rsidR="00687890" w:rsidRPr="004C23F4" w:rsidRDefault="00036544" w:rsidP="00717D45">
                <w:pPr>
                  <w:pStyle w:val="Tablefont"/>
                </w:pPr>
                <w:r>
                  <w:sym w:font="Wingdings" w:char="F0FC"/>
                </w:r>
              </w:p>
            </w:tc>
          </w:sdtContent>
        </w:sdt>
      </w:tr>
      <w:tr w:rsidR="00687890" w:rsidRPr="004C23F4" w14:paraId="36DBCCD4" w14:textId="77777777" w:rsidTr="00EA6243">
        <w:trPr>
          <w:cantSplit/>
        </w:trPr>
        <w:tc>
          <w:tcPr>
            <w:tcW w:w="4077" w:type="dxa"/>
            <w:vAlign w:val="center"/>
          </w:tcPr>
          <w:p w14:paraId="2454A9A8" w14:textId="77777777" w:rsidR="00687890" w:rsidRPr="00263255" w:rsidRDefault="00687890" w:rsidP="00263255">
            <w:pPr>
              <w:pStyle w:val="Tablefont"/>
            </w:pPr>
            <w:r w:rsidRPr="00263255">
              <w:t>This chemical is a biological product:</w:t>
            </w:r>
          </w:p>
        </w:tc>
        <w:sdt>
          <w:sdtPr>
            <w:id w:val="-659616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5EFD4F65" w14:textId="77777777" w:rsidR="00687890" w:rsidRPr="004C23F4" w:rsidRDefault="00A20751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2040688A" w14:textId="77777777" w:rsidTr="00EA6243">
        <w:trPr>
          <w:cantSplit/>
        </w:trPr>
        <w:tc>
          <w:tcPr>
            <w:tcW w:w="4077" w:type="dxa"/>
            <w:vAlign w:val="center"/>
          </w:tcPr>
          <w:p w14:paraId="294DB383" w14:textId="77777777" w:rsidR="00687890" w:rsidRPr="00263255" w:rsidRDefault="00687890" w:rsidP="00263255">
            <w:pPr>
              <w:pStyle w:val="Tablefont"/>
            </w:pPr>
            <w:r w:rsidRPr="00263255">
              <w:t>This chemical is a by-product of a process:</w:t>
            </w:r>
          </w:p>
        </w:tc>
        <w:sdt>
          <w:sdtPr>
            <w:id w:val="-863134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24EC81E8" w14:textId="77777777" w:rsidR="00687890" w:rsidRPr="004C23F4" w:rsidRDefault="00687890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E06F40" w:rsidRPr="004C23F4" w14:paraId="143F28EC" w14:textId="77777777" w:rsidTr="00EA6243">
        <w:trPr>
          <w:cantSplit/>
        </w:trPr>
        <w:tc>
          <w:tcPr>
            <w:tcW w:w="4077" w:type="dxa"/>
            <w:vAlign w:val="center"/>
          </w:tcPr>
          <w:p w14:paraId="61F74601" w14:textId="77777777" w:rsidR="00E06F40" w:rsidRPr="00263255" w:rsidRDefault="00E06F40" w:rsidP="00084513">
            <w:pPr>
              <w:pStyle w:val="Tablefont"/>
            </w:pPr>
            <w:r w:rsidRPr="00263255">
              <w:t xml:space="preserve">A biological exposure index has been recommended by </w:t>
            </w:r>
            <w:r w:rsidR="00084513">
              <w:t>these agencies</w:t>
            </w:r>
            <w:r w:rsidRPr="00263255">
              <w:t>:</w:t>
            </w:r>
          </w:p>
        </w:tc>
        <w:tc>
          <w:tcPr>
            <w:tcW w:w="5165" w:type="dxa"/>
            <w:vAlign w:val="center"/>
          </w:tcPr>
          <w:p w14:paraId="66458654" w14:textId="59B3973D" w:rsidR="00E06F40" w:rsidRPr="00A006A0" w:rsidRDefault="005A3E93" w:rsidP="00B40C60">
            <w:pPr>
              <w:pStyle w:val="Tablefont"/>
              <w:tabs>
                <w:tab w:val="left" w:pos="1310"/>
                <w:tab w:val="left" w:pos="2444"/>
                <w:tab w:val="left" w:pos="3861"/>
              </w:tabs>
            </w:pPr>
            <w:sdt>
              <w:sdtPr>
                <w:id w:val="92759666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36544">
                  <w:sym w:font="Wingdings" w:char="F0FC"/>
                </w:r>
              </w:sdtContent>
            </w:sdt>
            <w:r w:rsidR="00E06F40" w:rsidRPr="00A006A0">
              <w:t xml:space="preserve"> ACGIH</w:t>
            </w:r>
            <w:r w:rsidR="00E06F40">
              <w:tab/>
            </w:r>
            <w:sdt>
              <w:sdtPr>
                <w:id w:val="1293677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DFG</w:t>
            </w:r>
            <w:r w:rsidR="00E06F40">
              <w:tab/>
            </w:r>
            <w:sdt>
              <w:sdtPr>
                <w:id w:val="-15358760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SCOEL</w:t>
            </w:r>
            <w:r w:rsidR="00E06F40">
              <w:tab/>
            </w:r>
          </w:p>
        </w:tc>
      </w:tr>
    </w:tbl>
    <w:p w14:paraId="5611A87F" w14:textId="77777777" w:rsidR="007F1005" w:rsidRPr="004C23F4" w:rsidRDefault="007F1005" w:rsidP="00EB3D1B">
      <w:pPr>
        <w:pStyle w:val="Heading2"/>
        <w:keepLines/>
      </w:pPr>
      <w:r w:rsidRPr="004C23F4">
        <w:t xml:space="preserve">Workplace exposure </w:t>
      </w:r>
      <w:r w:rsidR="00B479A9" w:rsidRPr="004C23F4">
        <w:t>standard history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Workplace Exposure Standard history"/>
      </w:tblPr>
      <w:tblGrid>
        <w:gridCol w:w="3979"/>
        <w:gridCol w:w="5047"/>
      </w:tblGrid>
      <w:tr w:rsidR="00224EE2" w:rsidRPr="004C23F4" w14:paraId="34895318" w14:textId="77777777" w:rsidTr="00F053FA">
        <w:trPr>
          <w:tblHeader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14:paraId="7E79E3E7" w14:textId="77777777" w:rsidR="00224EE2" w:rsidRPr="004C23F4" w:rsidRDefault="00224EE2" w:rsidP="00EB3D1B">
            <w:pPr>
              <w:pStyle w:val="Tableheader"/>
              <w:keepNext/>
              <w:keepLines/>
            </w:pPr>
            <w:bookmarkStart w:id="5" w:name="History" w:colFirst="0" w:colLast="1"/>
            <w:r>
              <w:t>Year</w:t>
            </w:r>
          </w:p>
        </w:tc>
        <w:tc>
          <w:tcPr>
            <w:tcW w:w="5165" w:type="dxa"/>
            <w:shd w:val="clear" w:color="auto" w:fill="BFBFBF" w:themeFill="background1" w:themeFillShade="BF"/>
            <w:vAlign w:val="center"/>
          </w:tcPr>
          <w:p w14:paraId="252917F8" w14:textId="77777777" w:rsidR="00224EE2" w:rsidRPr="004C23F4" w:rsidRDefault="00224EE2" w:rsidP="00EB3D1B">
            <w:pPr>
              <w:pStyle w:val="Tableheader"/>
              <w:keepNext/>
              <w:keepLines/>
            </w:pPr>
            <w:r>
              <w:t>Standard</w:t>
            </w:r>
          </w:p>
        </w:tc>
      </w:tr>
      <w:tr w:rsidR="007F1005" w:rsidRPr="004C23F4" w14:paraId="18EA4E3C" w14:textId="77777777" w:rsidTr="00F053FA">
        <w:trPr>
          <w:tblHeader/>
        </w:trPr>
        <w:sdt>
          <w:sdtPr>
            <w:id w:val="-25557549"/>
            <w:placeholder>
              <w:docPart w:val="2BF891C0AB704CDAB9BC6E80D556473F"/>
            </w:placeholder>
            <w:showingPlcHdr/>
            <w:text/>
          </w:sdtPr>
          <w:sdtEndPr/>
          <w:sdtContent>
            <w:tc>
              <w:tcPr>
                <w:tcW w:w="4077" w:type="dxa"/>
                <w:vAlign w:val="center"/>
              </w:tcPr>
              <w:p w14:paraId="13459CEF" w14:textId="77777777" w:rsidR="007F1005" w:rsidRPr="004C23F4" w:rsidRDefault="00131092" w:rsidP="00EB3D1B">
                <w:pPr>
                  <w:pStyle w:val="Tablefont"/>
                  <w:keepLines/>
                </w:pPr>
                <w:r w:rsidRPr="004C23F4">
                  <w:rPr>
                    <w:rStyle w:val="PlaceholderText"/>
                    <w:rFonts w:cs="Arial"/>
                  </w:rPr>
                  <w:t>Click here to enter year</w:t>
                </w:r>
              </w:p>
            </w:tc>
          </w:sdtContent>
        </w:sdt>
        <w:tc>
          <w:tcPr>
            <w:tcW w:w="5165" w:type="dxa"/>
            <w:vAlign w:val="center"/>
          </w:tcPr>
          <w:p w14:paraId="70A22ECC" w14:textId="77777777" w:rsidR="007F1005" w:rsidRPr="004C23F4" w:rsidRDefault="007F1005" w:rsidP="00EB3D1B">
            <w:pPr>
              <w:pStyle w:val="Tablefont"/>
              <w:keepLines/>
            </w:pPr>
          </w:p>
        </w:tc>
      </w:tr>
    </w:tbl>
    <w:bookmarkEnd w:id="5"/>
    <w:p w14:paraId="6FC80CAA" w14:textId="77777777" w:rsidR="00F87D92" w:rsidRDefault="00F87D92" w:rsidP="00EF7F78">
      <w:pPr>
        <w:pStyle w:val="Heading2"/>
        <w:tabs>
          <w:tab w:val="right" w:pos="8505"/>
        </w:tabs>
      </w:pPr>
      <w:r>
        <w:t>References</w:t>
      </w:r>
      <w:r w:rsidR="00EF7F78">
        <w:tab/>
      </w:r>
    </w:p>
    <w:p w14:paraId="08EE9708" w14:textId="4515DC51" w:rsidR="00CA508C" w:rsidRDefault="006650FE" w:rsidP="00084859">
      <w:r>
        <w:t>American Conference of Industrial Hygienists (ACGIH</w:t>
      </w:r>
      <w:r>
        <w:rPr>
          <w:vertAlign w:val="superscript"/>
        </w:rPr>
        <w:t>®</w:t>
      </w:r>
      <w:r>
        <w:t>) (201</w:t>
      </w:r>
      <w:r w:rsidR="00F67BBB">
        <w:t>8</w:t>
      </w:r>
      <w:r>
        <w:t>) TLVs</w:t>
      </w:r>
      <w:r>
        <w:rPr>
          <w:vertAlign w:val="superscript"/>
        </w:rPr>
        <w:t>®</w:t>
      </w:r>
      <w:r>
        <w:t xml:space="preserve"> and BEIs</w:t>
      </w:r>
      <w:r>
        <w:rPr>
          <w:vertAlign w:val="superscript"/>
        </w:rPr>
        <w:t>®</w:t>
      </w:r>
      <w:r>
        <w:t xml:space="preserve"> with 7</w:t>
      </w:r>
      <w:r>
        <w:rPr>
          <w:vertAlign w:val="superscript"/>
        </w:rPr>
        <w:t>th</w:t>
      </w:r>
      <w:r>
        <w:t xml:space="preserve"> Edition Documentation, CD-ROM, Single User Version. Copyright 201</w:t>
      </w:r>
      <w:r w:rsidR="00F67BBB">
        <w:t>8</w:t>
      </w:r>
      <w:r>
        <w:t xml:space="preserve">. Reprinted with permission. See the </w:t>
      </w:r>
      <w:hyperlink r:id="rId13" w:history="1">
        <w:r>
          <w:rPr>
            <w:rStyle w:val="Hyperlink"/>
            <w:i/>
          </w:rPr>
          <w:t>TLVs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and BEIs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Guidelines section</w:t>
        </w:r>
      </w:hyperlink>
      <w:r>
        <w:t xml:space="preserve"> on the ACGIH website.</w:t>
      </w:r>
    </w:p>
    <w:p w14:paraId="6341BF5F" w14:textId="23EBB52A" w:rsidR="003212C7" w:rsidRDefault="003212C7" w:rsidP="00084859">
      <w:r>
        <w:t xml:space="preserve">European Chemicals Agency (ECHA) (2019) </w:t>
      </w:r>
      <w:r w:rsidRPr="003212C7">
        <w:t>Fenamiphos</w:t>
      </w:r>
      <w:r>
        <w:t xml:space="preserve"> – REACH assessment.</w:t>
      </w:r>
    </w:p>
    <w:p w14:paraId="2491DF0E" w14:textId="2F7371E9" w:rsidR="00CA508C" w:rsidRDefault="00CA508C" w:rsidP="00084859">
      <w:r w:rsidRPr="00DB0A36">
        <w:t>National Industrial Chemicals Notification and Assessment Scheme (NICNAS) (</w:t>
      </w:r>
      <w:r>
        <w:t>2018</w:t>
      </w:r>
      <w:r w:rsidRPr="00DB0A36">
        <w:t xml:space="preserve">) </w:t>
      </w:r>
      <w:r w:rsidRPr="00CA508C">
        <w:t>Phosphoramidic acid, (1-methylethyl)-, ethyl 3-methyl-4-(methylthio)phenyl ester</w:t>
      </w:r>
      <w:r w:rsidRPr="00DB0A36">
        <w:t>:</w:t>
      </w:r>
      <w:r>
        <w:t xml:space="preserve"> </w:t>
      </w:r>
      <w:r w:rsidRPr="00DB0A36">
        <w:t xml:space="preserve">Human </w:t>
      </w:r>
      <w:r w:rsidRPr="004633BA">
        <w:t xml:space="preserve">health </w:t>
      </w:r>
      <w:r>
        <w:t>tier I</w:t>
      </w:r>
      <w:r w:rsidRPr="004633BA">
        <w:t xml:space="preserve"> assessment </w:t>
      </w:r>
      <w:r w:rsidRPr="00DB0A36">
        <w:t>– IMAP report.</w:t>
      </w:r>
    </w:p>
    <w:p w14:paraId="035F8EA3" w14:textId="77777777" w:rsidR="001B604D" w:rsidRDefault="001B604D" w:rsidP="001B604D">
      <w:r w:rsidRPr="00E461B8">
        <w:rPr>
          <w:color w:val="000000"/>
        </w:rPr>
        <w:t>Tenth Adaptation to Technical Progress Commission Regulation (EU Annex) No 2017/776 amending, for the purposes of its adaptation to technical and scientific progress, Regulation (EC) No 1272/2008 of the European Parliament and of the Council on classification, labelling and packaging of substances and mixtures (the CLP Regulation).</w:t>
      </w:r>
    </w:p>
    <w:p w14:paraId="68AE14CF" w14:textId="60AAE54E" w:rsidR="00CA508C" w:rsidRPr="00351FE0" w:rsidRDefault="00CA508C" w:rsidP="00084859">
      <w:r>
        <w:t xml:space="preserve">US Environmental Protection Authority (US EPA) (1987) </w:t>
      </w:r>
      <w:r w:rsidRPr="003448DD">
        <w:t>Integrated R</w:t>
      </w:r>
      <w:r>
        <w:t xml:space="preserve">isk Information System (IRIS) </w:t>
      </w:r>
      <w:r w:rsidRPr="003448DD">
        <w:t>Chemical Assessment Summary</w:t>
      </w:r>
      <w:r>
        <w:t xml:space="preserve"> – Fenamiphos.</w:t>
      </w:r>
    </w:p>
    <w:sectPr w:rsidR="00CA508C" w:rsidRPr="00351FE0" w:rsidSect="00B87D4C">
      <w:headerReference w:type="default" r:id="rId14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B1D3BC" w16cid:durableId="2187C4B5"/>
  <w16cid:commentId w16cid:paraId="7DA93A2A" w16cid:durableId="2187BE8C"/>
  <w16cid:commentId w16cid:paraId="0DDE38B0" w16cid:durableId="2187BDF7"/>
  <w16cid:commentId w16cid:paraId="49F3D707" w16cid:durableId="2187C5AD"/>
  <w16cid:commentId w16cid:paraId="666F88FE" w16cid:durableId="2187C3A0"/>
  <w16cid:commentId w16cid:paraId="5DE5F569" w16cid:durableId="2187BF93"/>
  <w16cid:commentId w16cid:paraId="0B696168" w16cid:durableId="2187C0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DD0CD" w14:textId="77777777" w:rsidR="002A3587" w:rsidRDefault="002A3587" w:rsidP="00F43AD5">
      <w:pPr>
        <w:spacing w:after="0" w:line="240" w:lineRule="auto"/>
      </w:pPr>
      <w:r>
        <w:separator/>
      </w:r>
    </w:p>
  </w:endnote>
  <w:endnote w:type="continuationSeparator" w:id="0">
    <w:p w14:paraId="0F914E19" w14:textId="77777777" w:rsidR="002A3587" w:rsidRDefault="002A3587" w:rsidP="00F4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78744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7EA03FE8" w14:textId="014C192A" w:rsidR="008A36CF" w:rsidRDefault="002E6FB5" w:rsidP="0034744C">
        <w:pPr>
          <w:pStyle w:val="Footer"/>
          <w:rPr>
            <w:sz w:val="18"/>
            <w:szCs w:val="18"/>
          </w:rPr>
        </w:pPr>
        <w:r w:rsidRPr="002E6FB5">
          <w:rPr>
            <w:b/>
            <w:sz w:val="18"/>
            <w:szCs w:val="18"/>
          </w:rPr>
          <w:t>Fenamiphos</w:t>
        </w:r>
        <w:r w:rsidR="008A36CF">
          <w:rPr>
            <w:b/>
            <w:sz w:val="18"/>
            <w:szCs w:val="18"/>
          </w:rPr>
          <w:t xml:space="preserve"> (</w:t>
        </w:r>
        <w:r w:rsidRPr="002E6FB5">
          <w:rPr>
            <w:b/>
            <w:sz w:val="18"/>
            <w:szCs w:val="18"/>
          </w:rPr>
          <w:t>22224-92-6</w:t>
        </w:r>
        <w:r w:rsidR="008A36CF">
          <w:rPr>
            <w:b/>
            <w:sz w:val="18"/>
            <w:szCs w:val="18"/>
          </w:rPr>
          <w:t>)</w:t>
        </w:r>
        <w:r w:rsidR="008A36CF" w:rsidRPr="00F43AD5">
          <w:rPr>
            <w:sz w:val="18"/>
            <w:szCs w:val="18"/>
          </w:rPr>
          <w:br/>
          <w:t xml:space="preserve">Safe Work Australia </w:t>
        </w:r>
        <w:r w:rsidR="008A36CF" w:rsidRPr="00F43AD5">
          <w:rPr>
            <w:rFonts w:ascii="Courier New" w:hAnsi="Courier New" w:cs="Courier New"/>
            <w:sz w:val="18"/>
            <w:szCs w:val="18"/>
          </w:rPr>
          <w:t>—</w:t>
        </w:r>
        <w:r w:rsidR="008A36CF" w:rsidRPr="00F43AD5">
          <w:rPr>
            <w:sz w:val="18"/>
            <w:szCs w:val="18"/>
          </w:rPr>
          <w:t xml:space="preserve"> 201</w:t>
        </w:r>
        <w:r w:rsidR="00351FE0">
          <w:rPr>
            <w:sz w:val="18"/>
            <w:szCs w:val="18"/>
          </w:rPr>
          <w:t>9</w:t>
        </w:r>
      </w:p>
      <w:p w14:paraId="64C0A2B0" w14:textId="4107A509" w:rsidR="008A36CF" w:rsidRPr="00F43AD5" w:rsidRDefault="008A36CF" w:rsidP="00A27E2D">
        <w:pPr>
          <w:pStyle w:val="Footer"/>
          <w:jc w:val="right"/>
          <w:rPr>
            <w:sz w:val="18"/>
            <w:szCs w:val="18"/>
          </w:rPr>
        </w:pPr>
        <w:r w:rsidRPr="00F43AD5">
          <w:rPr>
            <w:sz w:val="18"/>
            <w:szCs w:val="18"/>
          </w:rPr>
          <w:fldChar w:fldCharType="begin"/>
        </w:r>
        <w:r w:rsidRPr="00F43AD5">
          <w:rPr>
            <w:sz w:val="18"/>
            <w:szCs w:val="18"/>
          </w:rPr>
          <w:instrText xml:space="preserve"> PAGE   \* MERGEFORMAT </w:instrText>
        </w:r>
        <w:r w:rsidRPr="00F43AD5">
          <w:rPr>
            <w:sz w:val="18"/>
            <w:szCs w:val="18"/>
          </w:rPr>
          <w:fldChar w:fldCharType="separate"/>
        </w:r>
        <w:r w:rsidR="005A3E93">
          <w:rPr>
            <w:noProof/>
            <w:sz w:val="18"/>
            <w:szCs w:val="18"/>
          </w:rPr>
          <w:t>1</w:t>
        </w:r>
        <w:r w:rsidRPr="00F43AD5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0297B" w14:textId="77777777" w:rsidR="002A3587" w:rsidRDefault="002A3587" w:rsidP="00F43AD5">
      <w:pPr>
        <w:spacing w:after="0" w:line="240" w:lineRule="auto"/>
      </w:pPr>
      <w:r>
        <w:separator/>
      </w:r>
    </w:p>
  </w:footnote>
  <w:footnote w:type="continuationSeparator" w:id="0">
    <w:p w14:paraId="5F6412C0" w14:textId="77777777" w:rsidR="002A3587" w:rsidRDefault="002A3587" w:rsidP="00F4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A195C" w14:textId="77777777" w:rsidR="008A36CF" w:rsidRDefault="008A36CF" w:rsidP="00F43AD5">
    <w:pPr>
      <w:pStyle w:val="Header"/>
      <w:jc w:val="right"/>
    </w:pPr>
    <w:r>
      <w:rPr>
        <w:noProof/>
        <w:lang w:eastAsia="en-AU"/>
      </w:rPr>
      <w:drawing>
        <wp:inline distT="0" distB="0" distL="0" distR="0" wp14:anchorId="1F50867D" wp14:editId="6F441983">
          <wp:extent cx="2938272" cy="594360"/>
          <wp:effectExtent l="0" t="0" r="0" b="0"/>
          <wp:docPr id="2" name="Picture 2" descr="Safe Work Australia logo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_logo_inline Hi-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272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25E4E" w14:textId="77777777" w:rsidR="008A36CF" w:rsidRDefault="008A36CF" w:rsidP="00F43AD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3CD1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8B14FB8"/>
    <w:multiLevelType w:val="hybridMultilevel"/>
    <w:tmpl w:val="35D8FDEC"/>
    <w:lvl w:ilvl="0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9CD5190"/>
    <w:multiLevelType w:val="hybridMultilevel"/>
    <w:tmpl w:val="6D362DD8"/>
    <w:lvl w:ilvl="0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6B01459F"/>
    <w:multiLevelType w:val="hybridMultilevel"/>
    <w:tmpl w:val="38B4B7AE"/>
    <w:lvl w:ilvl="0" w:tplc="53960BA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AppendixName" w:val="Appendix"/>
  </w:docVars>
  <w:rsids>
    <w:rsidRoot w:val="00610F2E"/>
    <w:rsid w:val="00000109"/>
    <w:rsid w:val="00007B80"/>
    <w:rsid w:val="00013A22"/>
    <w:rsid w:val="00014C3F"/>
    <w:rsid w:val="00015D5B"/>
    <w:rsid w:val="00017C82"/>
    <w:rsid w:val="00032B88"/>
    <w:rsid w:val="00036544"/>
    <w:rsid w:val="00046DF5"/>
    <w:rsid w:val="00052060"/>
    <w:rsid w:val="0005574A"/>
    <w:rsid w:val="00055FE1"/>
    <w:rsid w:val="00056EC2"/>
    <w:rsid w:val="00060B48"/>
    <w:rsid w:val="00067F32"/>
    <w:rsid w:val="00071807"/>
    <w:rsid w:val="000803E1"/>
    <w:rsid w:val="00084513"/>
    <w:rsid w:val="00084859"/>
    <w:rsid w:val="00092D94"/>
    <w:rsid w:val="000B0868"/>
    <w:rsid w:val="000B3E12"/>
    <w:rsid w:val="000B3E78"/>
    <w:rsid w:val="000B7B48"/>
    <w:rsid w:val="000C096D"/>
    <w:rsid w:val="000C139A"/>
    <w:rsid w:val="000C2053"/>
    <w:rsid w:val="000C248C"/>
    <w:rsid w:val="000D291C"/>
    <w:rsid w:val="000D6E67"/>
    <w:rsid w:val="000E5A54"/>
    <w:rsid w:val="000E63D3"/>
    <w:rsid w:val="000E67CF"/>
    <w:rsid w:val="0010461E"/>
    <w:rsid w:val="00106FAA"/>
    <w:rsid w:val="00113443"/>
    <w:rsid w:val="001269A7"/>
    <w:rsid w:val="00131092"/>
    <w:rsid w:val="00140E6A"/>
    <w:rsid w:val="00146545"/>
    <w:rsid w:val="00146B75"/>
    <w:rsid w:val="0015266D"/>
    <w:rsid w:val="0015288A"/>
    <w:rsid w:val="00160F47"/>
    <w:rsid w:val="00177CA1"/>
    <w:rsid w:val="00183823"/>
    <w:rsid w:val="00183942"/>
    <w:rsid w:val="001A009E"/>
    <w:rsid w:val="001A1287"/>
    <w:rsid w:val="001A3859"/>
    <w:rsid w:val="001A3990"/>
    <w:rsid w:val="001A3C9D"/>
    <w:rsid w:val="001A43F8"/>
    <w:rsid w:val="001B3C98"/>
    <w:rsid w:val="001B604D"/>
    <w:rsid w:val="001B79E5"/>
    <w:rsid w:val="001D56F0"/>
    <w:rsid w:val="001D663B"/>
    <w:rsid w:val="001D7B41"/>
    <w:rsid w:val="001E2156"/>
    <w:rsid w:val="001E46DA"/>
    <w:rsid w:val="001E508D"/>
    <w:rsid w:val="001E7D80"/>
    <w:rsid w:val="001F4B6C"/>
    <w:rsid w:val="001F62CB"/>
    <w:rsid w:val="001F6ED0"/>
    <w:rsid w:val="001F72E6"/>
    <w:rsid w:val="001F73C5"/>
    <w:rsid w:val="002023DB"/>
    <w:rsid w:val="002046A6"/>
    <w:rsid w:val="00204956"/>
    <w:rsid w:val="00213640"/>
    <w:rsid w:val="002161F7"/>
    <w:rsid w:val="00221547"/>
    <w:rsid w:val="002216FC"/>
    <w:rsid w:val="00222533"/>
    <w:rsid w:val="00222F30"/>
    <w:rsid w:val="00224200"/>
    <w:rsid w:val="00224EE2"/>
    <w:rsid w:val="00227EC7"/>
    <w:rsid w:val="00244AD1"/>
    <w:rsid w:val="002463BC"/>
    <w:rsid w:val="002465CE"/>
    <w:rsid w:val="0025734A"/>
    <w:rsid w:val="00263255"/>
    <w:rsid w:val="00276494"/>
    <w:rsid w:val="00277B0C"/>
    <w:rsid w:val="002809D8"/>
    <w:rsid w:val="002A3587"/>
    <w:rsid w:val="002A5C49"/>
    <w:rsid w:val="002B1A2C"/>
    <w:rsid w:val="002C227B"/>
    <w:rsid w:val="002C34F2"/>
    <w:rsid w:val="002C58FF"/>
    <w:rsid w:val="002C7AFE"/>
    <w:rsid w:val="002D05D2"/>
    <w:rsid w:val="002E0D61"/>
    <w:rsid w:val="002E4C7B"/>
    <w:rsid w:val="002E6FB5"/>
    <w:rsid w:val="002F2669"/>
    <w:rsid w:val="0030740C"/>
    <w:rsid w:val="00315833"/>
    <w:rsid w:val="003212C7"/>
    <w:rsid w:val="003215EE"/>
    <w:rsid w:val="003224BF"/>
    <w:rsid w:val="003241A8"/>
    <w:rsid w:val="003253F0"/>
    <w:rsid w:val="003337DA"/>
    <w:rsid w:val="00334EFB"/>
    <w:rsid w:val="00335CDE"/>
    <w:rsid w:val="003365A5"/>
    <w:rsid w:val="00347192"/>
    <w:rsid w:val="0034744C"/>
    <w:rsid w:val="00351FE0"/>
    <w:rsid w:val="00352615"/>
    <w:rsid w:val="0035412B"/>
    <w:rsid w:val="003567A8"/>
    <w:rsid w:val="00362895"/>
    <w:rsid w:val="00370DBF"/>
    <w:rsid w:val="00386093"/>
    <w:rsid w:val="003904A4"/>
    <w:rsid w:val="00391841"/>
    <w:rsid w:val="00391B6D"/>
    <w:rsid w:val="00394922"/>
    <w:rsid w:val="003A0E32"/>
    <w:rsid w:val="003A2B94"/>
    <w:rsid w:val="003B387D"/>
    <w:rsid w:val="003C0D58"/>
    <w:rsid w:val="003D4FA3"/>
    <w:rsid w:val="003E0807"/>
    <w:rsid w:val="003E51FB"/>
    <w:rsid w:val="003E6B39"/>
    <w:rsid w:val="003F07E1"/>
    <w:rsid w:val="004030BC"/>
    <w:rsid w:val="00403F7D"/>
    <w:rsid w:val="00406785"/>
    <w:rsid w:val="004079B4"/>
    <w:rsid w:val="00417A56"/>
    <w:rsid w:val="00420957"/>
    <w:rsid w:val="00422A10"/>
    <w:rsid w:val="00430179"/>
    <w:rsid w:val="004312AD"/>
    <w:rsid w:val="004414B5"/>
    <w:rsid w:val="00444482"/>
    <w:rsid w:val="00444B42"/>
    <w:rsid w:val="00445E44"/>
    <w:rsid w:val="004509E2"/>
    <w:rsid w:val="004515EE"/>
    <w:rsid w:val="004529F0"/>
    <w:rsid w:val="00460A03"/>
    <w:rsid w:val="0047040F"/>
    <w:rsid w:val="00472A11"/>
    <w:rsid w:val="00472AAD"/>
    <w:rsid w:val="00474A23"/>
    <w:rsid w:val="00474E33"/>
    <w:rsid w:val="00476803"/>
    <w:rsid w:val="00485BFD"/>
    <w:rsid w:val="004867A2"/>
    <w:rsid w:val="004873F2"/>
    <w:rsid w:val="00490D4C"/>
    <w:rsid w:val="00493A35"/>
    <w:rsid w:val="0049527A"/>
    <w:rsid w:val="004966BF"/>
    <w:rsid w:val="00497984"/>
    <w:rsid w:val="004A5088"/>
    <w:rsid w:val="004A652D"/>
    <w:rsid w:val="004C1E3F"/>
    <w:rsid w:val="004C23F4"/>
    <w:rsid w:val="004C3475"/>
    <w:rsid w:val="004C439E"/>
    <w:rsid w:val="004C58B6"/>
    <w:rsid w:val="004D16A3"/>
    <w:rsid w:val="004D4AA1"/>
    <w:rsid w:val="004D6D68"/>
    <w:rsid w:val="004E5EDD"/>
    <w:rsid w:val="004F448A"/>
    <w:rsid w:val="004F493D"/>
    <w:rsid w:val="004F65E8"/>
    <w:rsid w:val="0050005E"/>
    <w:rsid w:val="00502B88"/>
    <w:rsid w:val="005142C4"/>
    <w:rsid w:val="0051509C"/>
    <w:rsid w:val="00523CCF"/>
    <w:rsid w:val="005272E2"/>
    <w:rsid w:val="0053108F"/>
    <w:rsid w:val="00532B56"/>
    <w:rsid w:val="00534B10"/>
    <w:rsid w:val="005446A2"/>
    <w:rsid w:val="00544D2F"/>
    <w:rsid w:val="00551BD8"/>
    <w:rsid w:val="0055388F"/>
    <w:rsid w:val="00581055"/>
    <w:rsid w:val="00586D6D"/>
    <w:rsid w:val="00591E38"/>
    <w:rsid w:val="00595CA0"/>
    <w:rsid w:val="005A19C5"/>
    <w:rsid w:val="005A3034"/>
    <w:rsid w:val="005A3E93"/>
    <w:rsid w:val="005A462D"/>
    <w:rsid w:val="005B253B"/>
    <w:rsid w:val="005B771D"/>
    <w:rsid w:val="005C5D16"/>
    <w:rsid w:val="005D3193"/>
    <w:rsid w:val="005D4A6E"/>
    <w:rsid w:val="005D5352"/>
    <w:rsid w:val="005E6979"/>
    <w:rsid w:val="005E75CB"/>
    <w:rsid w:val="005F30C7"/>
    <w:rsid w:val="005F5DC6"/>
    <w:rsid w:val="006013C1"/>
    <w:rsid w:val="0060142A"/>
    <w:rsid w:val="0060669E"/>
    <w:rsid w:val="00610F2E"/>
    <w:rsid w:val="00611399"/>
    <w:rsid w:val="00624C4E"/>
    <w:rsid w:val="00625200"/>
    <w:rsid w:val="0063406A"/>
    <w:rsid w:val="006363A8"/>
    <w:rsid w:val="00636DB7"/>
    <w:rsid w:val="00650905"/>
    <w:rsid w:val="006532ED"/>
    <w:rsid w:val="006549F2"/>
    <w:rsid w:val="006567B7"/>
    <w:rsid w:val="00657BFB"/>
    <w:rsid w:val="0066333C"/>
    <w:rsid w:val="006639B4"/>
    <w:rsid w:val="006650FE"/>
    <w:rsid w:val="0067305D"/>
    <w:rsid w:val="00677D9B"/>
    <w:rsid w:val="006867F3"/>
    <w:rsid w:val="00687890"/>
    <w:rsid w:val="006901A2"/>
    <w:rsid w:val="00690368"/>
    <w:rsid w:val="0069079C"/>
    <w:rsid w:val="00690B53"/>
    <w:rsid w:val="00695B72"/>
    <w:rsid w:val="006B160A"/>
    <w:rsid w:val="006B217A"/>
    <w:rsid w:val="006B4E6C"/>
    <w:rsid w:val="006B50B6"/>
    <w:rsid w:val="006D79EA"/>
    <w:rsid w:val="006E5D05"/>
    <w:rsid w:val="00701053"/>
    <w:rsid w:val="00701507"/>
    <w:rsid w:val="00714021"/>
    <w:rsid w:val="00716A0F"/>
    <w:rsid w:val="00717D45"/>
    <w:rsid w:val="007208F7"/>
    <w:rsid w:val="007218AF"/>
    <w:rsid w:val="007365D1"/>
    <w:rsid w:val="00740E0E"/>
    <w:rsid w:val="00750212"/>
    <w:rsid w:val="00754779"/>
    <w:rsid w:val="0075716D"/>
    <w:rsid w:val="00765F14"/>
    <w:rsid w:val="00770E31"/>
    <w:rsid w:val="007770F1"/>
    <w:rsid w:val="00783FB1"/>
    <w:rsid w:val="00785CDD"/>
    <w:rsid w:val="00791847"/>
    <w:rsid w:val="007925F0"/>
    <w:rsid w:val="007939B3"/>
    <w:rsid w:val="0079509C"/>
    <w:rsid w:val="00796708"/>
    <w:rsid w:val="007B1B42"/>
    <w:rsid w:val="007C30EB"/>
    <w:rsid w:val="007C531D"/>
    <w:rsid w:val="007D1FC6"/>
    <w:rsid w:val="007E063C"/>
    <w:rsid w:val="007E2A4B"/>
    <w:rsid w:val="007E307D"/>
    <w:rsid w:val="007E6A4E"/>
    <w:rsid w:val="007E6C94"/>
    <w:rsid w:val="007F1005"/>
    <w:rsid w:val="007F25E0"/>
    <w:rsid w:val="007F5328"/>
    <w:rsid w:val="00804F5A"/>
    <w:rsid w:val="00810C6D"/>
    <w:rsid w:val="00812887"/>
    <w:rsid w:val="00826F21"/>
    <w:rsid w:val="00834CC8"/>
    <w:rsid w:val="00835E00"/>
    <w:rsid w:val="00837113"/>
    <w:rsid w:val="008414E4"/>
    <w:rsid w:val="00843E21"/>
    <w:rsid w:val="0084508E"/>
    <w:rsid w:val="00857A8A"/>
    <w:rsid w:val="008630EE"/>
    <w:rsid w:val="00863A69"/>
    <w:rsid w:val="00864D13"/>
    <w:rsid w:val="00871CD5"/>
    <w:rsid w:val="008745A2"/>
    <w:rsid w:val="008768A8"/>
    <w:rsid w:val="0088798F"/>
    <w:rsid w:val="00887E4B"/>
    <w:rsid w:val="008915C8"/>
    <w:rsid w:val="008A36CF"/>
    <w:rsid w:val="008A3BC4"/>
    <w:rsid w:val="008B403C"/>
    <w:rsid w:val="008B7983"/>
    <w:rsid w:val="008C2511"/>
    <w:rsid w:val="008D026D"/>
    <w:rsid w:val="008D23AB"/>
    <w:rsid w:val="008D4B8B"/>
    <w:rsid w:val="008D5A78"/>
    <w:rsid w:val="008E7B64"/>
    <w:rsid w:val="008F5DCD"/>
    <w:rsid w:val="00900951"/>
    <w:rsid w:val="009118A6"/>
    <w:rsid w:val="00916909"/>
    <w:rsid w:val="00916EC0"/>
    <w:rsid w:val="00920467"/>
    <w:rsid w:val="00921DE7"/>
    <w:rsid w:val="0093041A"/>
    <w:rsid w:val="00930714"/>
    <w:rsid w:val="00931B03"/>
    <w:rsid w:val="009323B9"/>
    <w:rsid w:val="00932DCE"/>
    <w:rsid w:val="0093327E"/>
    <w:rsid w:val="00934028"/>
    <w:rsid w:val="0093760E"/>
    <w:rsid w:val="00946044"/>
    <w:rsid w:val="0094660B"/>
    <w:rsid w:val="00946A33"/>
    <w:rsid w:val="0095260E"/>
    <w:rsid w:val="009578DD"/>
    <w:rsid w:val="00961124"/>
    <w:rsid w:val="009621B6"/>
    <w:rsid w:val="009745E4"/>
    <w:rsid w:val="00974F2D"/>
    <w:rsid w:val="00977524"/>
    <w:rsid w:val="00977E88"/>
    <w:rsid w:val="00984920"/>
    <w:rsid w:val="0099303A"/>
    <w:rsid w:val="009971C2"/>
    <w:rsid w:val="009A1254"/>
    <w:rsid w:val="009B2FF2"/>
    <w:rsid w:val="009B380C"/>
    <w:rsid w:val="009B4843"/>
    <w:rsid w:val="009B6543"/>
    <w:rsid w:val="009C199D"/>
    <w:rsid w:val="009C278F"/>
    <w:rsid w:val="009C2B94"/>
    <w:rsid w:val="009C5874"/>
    <w:rsid w:val="009D297C"/>
    <w:rsid w:val="009D3B5A"/>
    <w:rsid w:val="009D6064"/>
    <w:rsid w:val="009E0C05"/>
    <w:rsid w:val="009E0D1C"/>
    <w:rsid w:val="009E1C08"/>
    <w:rsid w:val="009E2214"/>
    <w:rsid w:val="009E355A"/>
    <w:rsid w:val="009E63E2"/>
    <w:rsid w:val="009F04D2"/>
    <w:rsid w:val="009F05CF"/>
    <w:rsid w:val="009F0F3A"/>
    <w:rsid w:val="00A01D0C"/>
    <w:rsid w:val="00A0643F"/>
    <w:rsid w:val="00A067EE"/>
    <w:rsid w:val="00A10FCE"/>
    <w:rsid w:val="00A16D91"/>
    <w:rsid w:val="00A174CC"/>
    <w:rsid w:val="00A2073D"/>
    <w:rsid w:val="00A20751"/>
    <w:rsid w:val="00A23A03"/>
    <w:rsid w:val="00A27E2D"/>
    <w:rsid w:val="00A31D99"/>
    <w:rsid w:val="00A357BA"/>
    <w:rsid w:val="00A35ADC"/>
    <w:rsid w:val="00A402A3"/>
    <w:rsid w:val="00A53681"/>
    <w:rsid w:val="00A633D4"/>
    <w:rsid w:val="00A6461A"/>
    <w:rsid w:val="00A84504"/>
    <w:rsid w:val="00A8672F"/>
    <w:rsid w:val="00A93057"/>
    <w:rsid w:val="00A968B0"/>
    <w:rsid w:val="00AB2672"/>
    <w:rsid w:val="00AB2817"/>
    <w:rsid w:val="00AB43C4"/>
    <w:rsid w:val="00AC32E7"/>
    <w:rsid w:val="00AC3A9F"/>
    <w:rsid w:val="00AC6D2F"/>
    <w:rsid w:val="00AE2745"/>
    <w:rsid w:val="00AE2F64"/>
    <w:rsid w:val="00AF42CB"/>
    <w:rsid w:val="00AF483F"/>
    <w:rsid w:val="00AF5E07"/>
    <w:rsid w:val="00AF5F06"/>
    <w:rsid w:val="00B00A25"/>
    <w:rsid w:val="00B1422A"/>
    <w:rsid w:val="00B1765C"/>
    <w:rsid w:val="00B213C4"/>
    <w:rsid w:val="00B40C60"/>
    <w:rsid w:val="00B479A9"/>
    <w:rsid w:val="00B52EDF"/>
    <w:rsid w:val="00B67B07"/>
    <w:rsid w:val="00B71188"/>
    <w:rsid w:val="00B76A41"/>
    <w:rsid w:val="00B87D4C"/>
    <w:rsid w:val="00B93646"/>
    <w:rsid w:val="00BA0B38"/>
    <w:rsid w:val="00BA1DBB"/>
    <w:rsid w:val="00BA2333"/>
    <w:rsid w:val="00BA4510"/>
    <w:rsid w:val="00BA529A"/>
    <w:rsid w:val="00BB612A"/>
    <w:rsid w:val="00BD499F"/>
    <w:rsid w:val="00BD56DE"/>
    <w:rsid w:val="00BF1972"/>
    <w:rsid w:val="00BF2406"/>
    <w:rsid w:val="00C06E43"/>
    <w:rsid w:val="00C16315"/>
    <w:rsid w:val="00C26376"/>
    <w:rsid w:val="00C3091E"/>
    <w:rsid w:val="00C33E3A"/>
    <w:rsid w:val="00C40FF1"/>
    <w:rsid w:val="00C419E2"/>
    <w:rsid w:val="00C5020E"/>
    <w:rsid w:val="00C57452"/>
    <w:rsid w:val="00C61EDF"/>
    <w:rsid w:val="00C6239D"/>
    <w:rsid w:val="00C6594B"/>
    <w:rsid w:val="00C67FFB"/>
    <w:rsid w:val="00C7155E"/>
    <w:rsid w:val="00C71D1E"/>
    <w:rsid w:val="00C71D7D"/>
    <w:rsid w:val="00C74833"/>
    <w:rsid w:val="00C850A0"/>
    <w:rsid w:val="00C85A86"/>
    <w:rsid w:val="00C978F0"/>
    <w:rsid w:val="00CA2939"/>
    <w:rsid w:val="00CA508C"/>
    <w:rsid w:val="00CA58FE"/>
    <w:rsid w:val="00CB1CB1"/>
    <w:rsid w:val="00CB6BC1"/>
    <w:rsid w:val="00CB6CB8"/>
    <w:rsid w:val="00CC1A68"/>
    <w:rsid w:val="00CC2123"/>
    <w:rsid w:val="00CD2BFD"/>
    <w:rsid w:val="00CE5AD6"/>
    <w:rsid w:val="00CE617F"/>
    <w:rsid w:val="00CE78EF"/>
    <w:rsid w:val="00D048F7"/>
    <w:rsid w:val="00D0517E"/>
    <w:rsid w:val="00D05E83"/>
    <w:rsid w:val="00D140FC"/>
    <w:rsid w:val="00D21D8C"/>
    <w:rsid w:val="00D31357"/>
    <w:rsid w:val="00D33220"/>
    <w:rsid w:val="00D334D1"/>
    <w:rsid w:val="00D377AD"/>
    <w:rsid w:val="00D44C89"/>
    <w:rsid w:val="00D516CD"/>
    <w:rsid w:val="00D55502"/>
    <w:rsid w:val="00D668E6"/>
    <w:rsid w:val="00D70670"/>
    <w:rsid w:val="00D74D80"/>
    <w:rsid w:val="00D76624"/>
    <w:rsid w:val="00D87570"/>
    <w:rsid w:val="00D91CB9"/>
    <w:rsid w:val="00D97989"/>
    <w:rsid w:val="00D97D8D"/>
    <w:rsid w:val="00DA352E"/>
    <w:rsid w:val="00DC7694"/>
    <w:rsid w:val="00DD1BF6"/>
    <w:rsid w:val="00DD2F9B"/>
    <w:rsid w:val="00DE2513"/>
    <w:rsid w:val="00DE26E8"/>
    <w:rsid w:val="00DE542E"/>
    <w:rsid w:val="00DE799F"/>
    <w:rsid w:val="00DF6F36"/>
    <w:rsid w:val="00E0084C"/>
    <w:rsid w:val="00E025AB"/>
    <w:rsid w:val="00E02B23"/>
    <w:rsid w:val="00E053DA"/>
    <w:rsid w:val="00E06F40"/>
    <w:rsid w:val="00E07CE8"/>
    <w:rsid w:val="00E176E6"/>
    <w:rsid w:val="00E26A07"/>
    <w:rsid w:val="00E32595"/>
    <w:rsid w:val="00E37CFD"/>
    <w:rsid w:val="00E41A26"/>
    <w:rsid w:val="00E46BCB"/>
    <w:rsid w:val="00E51CAF"/>
    <w:rsid w:val="00E60F04"/>
    <w:rsid w:val="00E62AAC"/>
    <w:rsid w:val="00E65767"/>
    <w:rsid w:val="00E67C2F"/>
    <w:rsid w:val="00E67EF5"/>
    <w:rsid w:val="00E804EA"/>
    <w:rsid w:val="00E80A71"/>
    <w:rsid w:val="00E82337"/>
    <w:rsid w:val="00E92499"/>
    <w:rsid w:val="00E949AF"/>
    <w:rsid w:val="00E96077"/>
    <w:rsid w:val="00EA0A06"/>
    <w:rsid w:val="00EA6243"/>
    <w:rsid w:val="00EA74AB"/>
    <w:rsid w:val="00EB3D1B"/>
    <w:rsid w:val="00ED1D89"/>
    <w:rsid w:val="00ED66BC"/>
    <w:rsid w:val="00EF233A"/>
    <w:rsid w:val="00EF303E"/>
    <w:rsid w:val="00EF3A40"/>
    <w:rsid w:val="00EF7F78"/>
    <w:rsid w:val="00F01B08"/>
    <w:rsid w:val="00F01C4D"/>
    <w:rsid w:val="00F0294A"/>
    <w:rsid w:val="00F04D4E"/>
    <w:rsid w:val="00F053FA"/>
    <w:rsid w:val="00F10C97"/>
    <w:rsid w:val="00F11C71"/>
    <w:rsid w:val="00F16019"/>
    <w:rsid w:val="00F175D5"/>
    <w:rsid w:val="00F20E68"/>
    <w:rsid w:val="00F22093"/>
    <w:rsid w:val="00F236DF"/>
    <w:rsid w:val="00F43AD5"/>
    <w:rsid w:val="00F4402E"/>
    <w:rsid w:val="00F56DD0"/>
    <w:rsid w:val="00F6491C"/>
    <w:rsid w:val="00F67BBB"/>
    <w:rsid w:val="00F8452C"/>
    <w:rsid w:val="00F87D92"/>
    <w:rsid w:val="00F90AA7"/>
    <w:rsid w:val="00F92498"/>
    <w:rsid w:val="00F9496B"/>
    <w:rsid w:val="00F970C9"/>
    <w:rsid w:val="00FA06A8"/>
    <w:rsid w:val="00FA3DF5"/>
    <w:rsid w:val="00FA674C"/>
    <w:rsid w:val="00FA741F"/>
    <w:rsid w:val="00FB4E07"/>
    <w:rsid w:val="00FB755A"/>
    <w:rsid w:val="00FC60A2"/>
    <w:rsid w:val="00FD1871"/>
    <w:rsid w:val="00FD3110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0CACBD"/>
  <w15:docId w15:val="{17D0BA17-3D0C-497E-8DB9-33D804C8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220"/>
    <w:pPr>
      <w:spacing w:after="120"/>
    </w:pPr>
  </w:style>
  <w:style w:type="paragraph" w:styleId="Heading1">
    <w:name w:val="heading 1"/>
    <w:basedOn w:val="Normal"/>
    <w:next w:val="Normal"/>
    <w:link w:val="Heading1Char"/>
    <w:qFormat/>
    <w:rsid w:val="00AE2745"/>
    <w:pPr>
      <w:keepNext/>
      <w:spacing w:before="360" w:after="240" w:line="240" w:lineRule="auto"/>
      <w:outlineLvl w:val="0"/>
    </w:pPr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AE2745"/>
    <w:pPr>
      <w:keepNext/>
      <w:spacing w:before="240" w:line="240" w:lineRule="auto"/>
      <w:outlineLvl w:val="1"/>
    </w:pPr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D61"/>
    <w:pPr>
      <w:keepNext/>
      <w:spacing w:before="240" w:line="240" w:lineRule="auto"/>
      <w:outlineLvl w:val="2"/>
    </w:pPr>
    <w:rPr>
      <w:rFonts w:eastAsiaTheme="majorEastAsia" w:cs="Arial"/>
      <w:b/>
      <w:bCs/>
      <w:color w:val="000000" w:themeColor="text1"/>
      <w:sz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07"/>
    <w:pPr>
      <w:spacing w:before="200" w:after="0" w:line="240" w:lineRule="auto"/>
      <w:outlineLvl w:val="3"/>
    </w:pPr>
    <w:rPr>
      <w:rFonts w:eastAsiaTheme="majorEastAsia" w:cstheme="majorBidi"/>
      <w:b/>
      <w:bCs/>
      <w:i/>
      <w:iCs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EDF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D5"/>
  </w:style>
  <w:style w:type="paragraph" w:styleId="Footer">
    <w:name w:val="footer"/>
    <w:basedOn w:val="Normal"/>
    <w:link w:val="Foot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D5"/>
  </w:style>
  <w:style w:type="paragraph" w:styleId="BalloonText">
    <w:name w:val="Balloon Text"/>
    <w:basedOn w:val="Normal"/>
    <w:link w:val="BalloonTextChar"/>
    <w:uiPriority w:val="99"/>
    <w:semiHidden/>
    <w:unhideWhenUsed/>
    <w:rsid w:val="00F4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D5"/>
    <w:rPr>
      <w:rFonts w:ascii="Tahoma" w:hAnsi="Tahoma" w:cs="Tahoma"/>
      <w:sz w:val="16"/>
      <w:szCs w:val="16"/>
    </w:rPr>
  </w:style>
  <w:style w:type="paragraph" w:customStyle="1" w:styleId="ChemicalName">
    <w:name w:val="Chemical Name"/>
    <w:basedOn w:val="Normal"/>
    <w:next w:val="Normal"/>
    <w:qFormat/>
    <w:rsid w:val="00F43AD5"/>
    <w:rPr>
      <w:rFonts w:ascii="Arial Bold" w:hAnsi="Arial Bold"/>
      <w:b/>
      <w:caps/>
      <w:sz w:val="28"/>
    </w:rPr>
  </w:style>
  <w:style w:type="table" w:styleId="TableGrid">
    <w:name w:val="Table Grid"/>
    <w:basedOn w:val="TableNormal"/>
    <w:uiPriority w:val="59"/>
    <w:rsid w:val="00717D45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CB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E2745"/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customStyle="1" w:styleId="Tablefont">
    <w:name w:val="Table font"/>
    <w:basedOn w:val="Normal"/>
    <w:qFormat/>
    <w:rsid w:val="002C58FF"/>
    <w:pPr>
      <w:spacing w:before="80" w:after="80" w:line="240" w:lineRule="auto"/>
    </w:pPr>
    <w:rPr>
      <w:lang w:eastAsia="en-AU"/>
    </w:rPr>
  </w:style>
  <w:style w:type="paragraph" w:customStyle="1" w:styleId="Tableheader">
    <w:name w:val="Table header"/>
    <w:basedOn w:val="Tablefont"/>
    <w:qFormat/>
    <w:rsid w:val="00263255"/>
    <w:pPr>
      <w:spacing w:before="60" w:after="60"/>
    </w:pPr>
    <w:rPr>
      <w:b/>
      <w:bCs/>
      <w:color w:val="000000" w:themeColor="text1"/>
    </w:rPr>
  </w:style>
  <w:style w:type="character" w:customStyle="1" w:styleId="checkbox">
    <w:name w:val="checkbox"/>
    <w:basedOn w:val="DefaultParagraphFont"/>
    <w:uiPriority w:val="1"/>
    <w:rsid w:val="00687890"/>
    <w:rPr>
      <w:rFonts w:ascii="Wingdings" w:hAnsi="Wingdings"/>
    </w:rPr>
  </w:style>
  <w:style w:type="character" w:customStyle="1" w:styleId="WESstatus">
    <w:name w:val="WES status"/>
    <w:basedOn w:val="DefaultParagraphFont"/>
    <w:uiPriority w:val="1"/>
    <w:rsid w:val="007F1005"/>
    <w:rPr>
      <w:b w:val="0"/>
      <w:color w:val="A6A6A6" w:themeColor="background1" w:themeShade="A6"/>
    </w:rPr>
  </w:style>
  <w:style w:type="table" w:customStyle="1" w:styleId="TableGrid1">
    <w:name w:val="Table Grid1"/>
    <w:basedOn w:val="TableNormal"/>
    <w:next w:val="TableGrid"/>
    <w:uiPriority w:val="59"/>
    <w:rsid w:val="000C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E2745"/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E0D61"/>
    <w:rPr>
      <w:rFonts w:eastAsiaTheme="majorEastAsia" w:cs="Arial"/>
      <w:b/>
      <w:bCs/>
      <w:color w:val="000000" w:themeColor="text1"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07"/>
    <w:rPr>
      <w:rFonts w:eastAsiaTheme="majorEastAsia" w:cstheme="majorBidi"/>
      <w:b/>
      <w:bCs/>
      <w:i/>
      <w:iCs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EDF"/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paragraph" w:styleId="Title">
    <w:name w:val="Title"/>
    <w:basedOn w:val="Normal"/>
    <w:next w:val="Heading1"/>
    <w:link w:val="TitleChar"/>
    <w:qFormat/>
    <w:rsid w:val="006532ED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72"/>
      <w:szCs w:val="32"/>
      <w:lang w:eastAsia="en-AU"/>
    </w:rPr>
  </w:style>
  <w:style w:type="character" w:customStyle="1" w:styleId="TitleChar">
    <w:name w:val="Title Char"/>
    <w:basedOn w:val="DefaultParagraphFont"/>
    <w:link w:val="Title"/>
    <w:rsid w:val="006532ED"/>
    <w:rPr>
      <w:rFonts w:eastAsiaTheme="majorEastAsia" w:cstheme="majorBidi"/>
      <w:b/>
      <w:bCs/>
      <w:kern w:val="28"/>
      <w:sz w:val="72"/>
      <w:szCs w:val="3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2ED"/>
    <w:pPr>
      <w:numPr>
        <w:ilvl w:val="1"/>
      </w:numPr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32ED"/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32ED"/>
    <w:rPr>
      <w:rFonts w:ascii="Arial" w:hAnsi="Arial"/>
      <w:b/>
      <w:bCs/>
      <w:i/>
      <w:iCs/>
      <w:color w:val="7F7F7F" w:themeColor="text1" w:themeTint="80"/>
    </w:rPr>
  </w:style>
  <w:style w:type="paragraph" w:customStyle="1" w:styleId="Tableitalics">
    <w:name w:val="Table italics"/>
    <w:basedOn w:val="Tablefont"/>
    <w:qFormat/>
    <w:rsid w:val="00717D45"/>
    <w:pPr>
      <w:jc w:val="right"/>
    </w:pPr>
    <w:rPr>
      <w:i/>
    </w:rPr>
  </w:style>
  <w:style w:type="table" w:styleId="LightList-Accent1">
    <w:name w:val="Light List Accent 1"/>
    <w:basedOn w:val="TableNormal"/>
    <w:uiPriority w:val="61"/>
    <w:rsid w:val="00D048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7E307D"/>
    <w:pPr>
      <w:spacing w:before="80" w:after="80" w:line="240" w:lineRule="auto"/>
    </w:p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dotted" w:sz="4" w:space="0" w:color="808080" w:themeColor="background1" w:themeShade="8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dotted" w:sz="4" w:space="0" w:color="808080" w:themeColor="background1" w:themeShade="80"/>
          <w:left w:val="single" w:sz="8" w:space="0" w:color="7F7F7F" w:themeColor="text1" w:themeTint="80"/>
          <w:bottom w:val="dotted" w:sz="4" w:space="0" w:color="808080" w:themeColor="background1" w:themeShade="80"/>
          <w:right w:val="single" w:sz="8" w:space="0" w:color="7F7F7F" w:themeColor="text1" w:themeTint="80"/>
          <w:insideH w:val="nil"/>
          <w:insideV w:val="nil"/>
          <w:tl2br w:val="nil"/>
          <w:tr2bl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20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20"/>
    <w:rPr>
      <w:b/>
      <w:bCs/>
      <w:i/>
      <w:iCs/>
      <w:color w:val="808080" w:themeColor="background1" w:themeShade="80"/>
    </w:rPr>
  </w:style>
  <w:style w:type="character" w:styleId="SubtleReference">
    <w:name w:val="Subtle Reference"/>
    <w:basedOn w:val="DefaultParagraphFont"/>
    <w:uiPriority w:val="31"/>
    <w:qFormat/>
    <w:rsid w:val="00AF5E07"/>
    <w:rPr>
      <w:rFonts w:ascii="Arial" w:hAnsi="Arial"/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AF5E07"/>
    <w:rPr>
      <w:rFonts w:ascii="Arial" w:hAnsi="Arial"/>
      <w:b/>
      <w:bCs/>
      <w:smallCaps/>
      <w:color w:val="000000" w:themeColor="text1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7770F1"/>
    <w:rPr>
      <w:b/>
      <w:bCs/>
    </w:rPr>
  </w:style>
  <w:style w:type="paragraph" w:styleId="NoSpacing">
    <w:name w:val="No Spacing"/>
    <w:uiPriority w:val="1"/>
    <w:qFormat/>
    <w:rsid w:val="00717D45"/>
    <w:pPr>
      <w:spacing w:after="0" w:line="240" w:lineRule="auto"/>
    </w:pPr>
  </w:style>
  <w:style w:type="paragraph" w:customStyle="1" w:styleId="WES">
    <w:name w:val="WES"/>
    <w:basedOn w:val="Tablefont"/>
    <w:qFormat/>
    <w:rsid w:val="00AE2745"/>
    <w:pPr>
      <w:spacing w:before="240" w:after="120"/>
    </w:pPr>
    <w:rPr>
      <w:b/>
      <w:sz w:val="24"/>
    </w:rPr>
  </w:style>
  <w:style w:type="paragraph" w:customStyle="1" w:styleId="Tablerowheading">
    <w:name w:val="Table row heading"/>
    <w:basedOn w:val="Normal"/>
    <w:qFormat/>
    <w:rsid w:val="00D33220"/>
    <w:pPr>
      <w:spacing w:before="80" w:after="80" w:line="240" w:lineRule="auto"/>
    </w:pPr>
    <w:rPr>
      <w:b/>
      <w:lang w:eastAsia="en-AU"/>
    </w:rPr>
  </w:style>
  <w:style w:type="paragraph" w:customStyle="1" w:styleId="Tablerowright">
    <w:name w:val="Table row right"/>
    <w:basedOn w:val="Tablerowheading"/>
    <w:qFormat/>
    <w:rsid w:val="00921DE7"/>
    <w:pPr>
      <w:jc w:val="right"/>
    </w:pPr>
  </w:style>
  <w:style w:type="paragraph" w:customStyle="1" w:styleId="Tablerowheadingitalic">
    <w:name w:val="Table row heading italic"/>
    <w:basedOn w:val="Tablerowheading"/>
    <w:qFormat/>
    <w:rsid w:val="003365A5"/>
    <w:pPr>
      <w:keepNext/>
      <w:keepLines/>
      <w:tabs>
        <w:tab w:val="left" w:pos="2268"/>
        <w:tab w:val="left" w:pos="5670"/>
      </w:tabs>
    </w:pPr>
    <w:rPr>
      <w:i/>
    </w:rPr>
  </w:style>
  <w:style w:type="paragraph" w:customStyle="1" w:styleId="Tabletextprimarysource">
    <w:name w:val="Table text primary source"/>
    <w:basedOn w:val="Normal"/>
    <w:qFormat/>
    <w:rsid w:val="003365A5"/>
    <w:pPr>
      <w:spacing w:before="60" w:after="6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96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96B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96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96B"/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650FE"/>
    <w:rPr>
      <w:color w:val="0000FF" w:themeColor="hyperlink"/>
      <w:u w:val="single"/>
    </w:rPr>
  </w:style>
  <w:style w:type="paragraph" w:customStyle="1" w:styleId="SWALink">
    <w:name w:val="SWA Link"/>
    <w:basedOn w:val="Normal"/>
    <w:link w:val="SWALinkChar"/>
    <w:qFormat/>
    <w:rsid w:val="00DD2F9B"/>
    <w:pPr>
      <w:spacing w:line="240" w:lineRule="auto"/>
    </w:pPr>
    <w:rPr>
      <w:rFonts w:eastAsia="Times New Roman" w:cs="Times New Roman"/>
      <w:szCs w:val="24"/>
      <w:u w:val="single"/>
      <w:lang w:eastAsia="en-AU"/>
    </w:rPr>
  </w:style>
  <w:style w:type="character" w:customStyle="1" w:styleId="SWALinkChar">
    <w:name w:val="SWA Link Char"/>
    <w:basedOn w:val="DefaultParagraphFont"/>
    <w:link w:val="SWALink"/>
    <w:rsid w:val="00DD2F9B"/>
    <w:rPr>
      <w:rFonts w:eastAsia="Times New Roman" w:cs="Times New Roman"/>
      <w:szCs w:val="24"/>
      <w:u w:val="single"/>
      <w:lang w:eastAsia="en-AU"/>
    </w:rPr>
  </w:style>
  <w:style w:type="paragraph" w:customStyle="1" w:styleId="Tablefooter">
    <w:name w:val="Table footer"/>
    <w:basedOn w:val="Tablefont"/>
    <w:next w:val="Normal"/>
    <w:qFormat/>
    <w:rsid w:val="00485BFD"/>
    <w:pPr>
      <w:spacing w:before="0" w:after="240"/>
      <w:ind w:left="227"/>
    </w:pPr>
    <w:rPr>
      <w:sz w:val="17"/>
    </w:rPr>
  </w:style>
  <w:style w:type="paragraph" w:styleId="ListBullet">
    <w:name w:val="List Bullet"/>
    <w:basedOn w:val="Normal"/>
    <w:uiPriority w:val="99"/>
    <w:unhideWhenUsed/>
    <w:rsid w:val="001B3C98"/>
    <w:pPr>
      <w:numPr>
        <w:numId w:val="2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4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06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06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06A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cgih.org/tlv-bei-guidelines/policies-procedures-presentations" TargetMode="Externa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1736E50B02464986D1BEC8B7AC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4199-680D-4E9C-9EF3-3D915D06B842}"/>
      </w:docPartPr>
      <w:docPartBody>
        <w:p w:rsidR="00D21A9F" w:rsidRDefault="00D21A9F">
          <w:pPr>
            <w:pStyle w:val="CE1736E50B02464986D1BEC8B7ACDE96"/>
          </w:pPr>
          <w:r>
            <w:rPr>
              <w:rStyle w:val="PlaceholderText"/>
            </w:rPr>
            <w:t>Nameofchemical</w:t>
          </w:r>
        </w:p>
      </w:docPartBody>
    </w:docPart>
    <w:docPart>
      <w:docPartPr>
        <w:name w:val="E23B83A762C94EBA8097A4DA3FB4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2F65-DBBA-4D5A-AAD5-C6FAA5E6CE0E}"/>
      </w:docPartPr>
      <w:docPartBody>
        <w:p w:rsidR="00D21A9F" w:rsidRDefault="00D21A9F">
          <w:pPr>
            <w:pStyle w:val="E23B83A762C94EBA8097A4DA3FB4D503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0A35AF4547E94E219E26BC12DBC3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360E-8225-4AF6-9FDF-3CF80276F4FF}"/>
      </w:docPartPr>
      <w:docPartBody>
        <w:p w:rsidR="00D21A9F" w:rsidRDefault="00D21A9F">
          <w:pPr>
            <w:pStyle w:val="0A35AF4547E94E219E26BC12DBC33282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81CFEC2FDBC5451289F394E66D92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4E63-31E6-4636-887F-D101B2E0A187}"/>
      </w:docPartPr>
      <w:docPartBody>
        <w:p w:rsidR="00D21A9F" w:rsidRDefault="00D21A9F">
          <w:pPr>
            <w:pStyle w:val="81CFEC2FDBC5451289F394E66D92D1A0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8FBF9621EB94FE084F687C8955A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EAE9-5999-4667-9E06-55916FEE5D03}"/>
      </w:docPartPr>
      <w:docPartBody>
        <w:p w:rsidR="00D21A9F" w:rsidRDefault="00D21A9F">
          <w:pPr>
            <w:pStyle w:val="C8FBF9621EB94FE084F687C8955AF85F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22022AAE76B4622AC0DF7504897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DFBF-019C-4562-B49E-2AA0323A449A}"/>
      </w:docPartPr>
      <w:docPartBody>
        <w:p w:rsidR="00D21A9F" w:rsidRDefault="00D21A9F">
          <w:pPr>
            <w:pStyle w:val="522022AAE76B4622AC0DF750489702EB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6918C77959FE4E2CB3B6BD78ABC6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DE167-8D8A-4F47-8F15-5DED52B85CB3}"/>
      </w:docPartPr>
      <w:docPartBody>
        <w:p w:rsidR="00D21A9F" w:rsidRDefault="00D21A9F">
          <w:pPr>
            <w:pStyle w:val="6918C77959FE4E2CB3B6BD78ABC69E19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1ED9AEC91FDC4528B51A567B2B19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FFA9-39F8-44B7-9FD3-B2DA6644805F}"/>
      </w:docPartPr>
      <w:docPartBody>
        <w:p w:rsidR="00D21A9F" w:rsidRDefault="00D21A9F">
          <w:pPr>
            <w:pStyle w:val="1ED9AEC91FDC4528B51A567B2B19EB9F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FDC2A24E7D2549238DA6EE03BD0A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2BDC-5672-4815-991F-0CE2DEE74014}"/>
      </w:docPartPr>
      <w:docPartBody>
        <w:p w:rsidR="00D21A9F" w:rsidRDefault="00D21A9F">
          <w:pPr>
            <w:pStyle w:val="FDC2A24E7D2549238DA6EE03BD0A6AE0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9E827C9D0DA949E385F2E9AB42641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B1BA-B22F-4B62-9CED-7D4A7A141414}"/>
      </w:docPartPr>
      <w:docPartBody>
        <w:p w:rsidR="00D21A9F" w:rsidRDefault="00D21A9F">
          <w:pPr>
            <w:pStyle w:val="9E827C9D0DA949E385F2E9AB4264125E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47E4EC2DB10B4B8E8A66F7A5C136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8905-5FB3-41F1-93DC-9CC4E0026343}"/>
      </w:docPartPr>
      <w:docPartBody>
        <w:p w:rsidR="00D21A9F" w:rsidRDefault="00D21A9F">
          <w:pPr>
            <w:pStyle w:val="47E4EC2DB10B4B8E8A66F7A5C13653CB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E4DD00C3A334F93BF5CC79754EBC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D032-152D-43ED-B301-B773F4E16730}"/>
      </w:docPartPr>
      <w:docPartBody>
        <w:p w:rsidR="00D21A9F" w:rsidRDefault="00D21A9F">
          <w:pPr>
            <w:pStyle w:val="5E4DD00C3A334F93BF5CC79754EBC5EA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EA1708404F1C4A3BB080A0D8EEB6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95B6-0ED1-45DE-89C6-97EC2AC4C0B7}"/>
      </w:docPartPr>
      <w:docPartBody>
        <w:p w:rsidR="00D21A9F" w:rsidRDefault="00D21A9F">
          <w:pPr>
            <w:pStyle w:val="EA1708404F1C4A3BB080A0D8EEB67D1D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F3D4204BA37A4A21A656C76DA427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64BC-C0C9-4379-B1B0-F8982B824A8E}"/>
      </w:docPartPr>
      <w:docPartBody>
        <w:p w:rsidR="00D21A9F" w:rsidRDefault="00D21A9F">
          <w:pPr>
            <w:pStyle w:val="F3D4204BA37A4A21A656C76DA4274412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2B44F29000D47BD8588D2D5E8DFA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92D5-75B8-4D64-A901-EB344ED20046}"/>
      </w:docPartPr>
      <w:docPartBody>
        <w:p w:rsidR="00D21A9F" w:rsidRDefault="00D21A9F">
          <w:pPr>
            <w:pStyle w:val="C2B44F29000D47BD8588D2D5E8DFA6C8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CFFDE270CB50461B826B019498489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D30F8-F751-45C7-BEFB-A7D3397CEB99}"/>
      </w:docPartPr>
      <w:docPartBody>
        <w:p w:rsidR="00D21A9F" w:rsidRDefault="00D21A9F">
          <w:pPr>
            <w:pStyle w:val="CFFDE270CB50461B826B0194984892C5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0168237C60E6479CAFA3D9A1A840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B098-81C9-4E32-956E-CDD3A6DFECE7}"/>
      </w:docPartPr>
      <w:docPartBody>
        <w:p w:rsidR="00D21A9F" w:rsidRDefault="00D21A9F">
          <w:pPr>
            <w:pStyle w:val="0168237C60E6479CAFA3D9A1A8409B78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5CBFEC560F894890BBD09B93174FF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8AA47-26C1-43F2-BE0B-3C03EF3669BD}"/>
      </w:docPartPr>
      <w:docPartBody>
        <w:p w:rsidR="00D21A9F" w:rsidRDefault="00D21A9F">
          <w:pPr>
            <w:pStyle w:val="5CBFEC560F894890BBD09B93174FFAE0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CAD2D506A5824AB88D896BC2795B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D28C-1B09-4DD0-B83A-09A1AFF622AA}"/>
      </w:docPartPr>
      <w:docPartBody>
        <w:p w:rsidR="00D21A9F" w:rsidRDefault="00D21A9F">
          <w:pPr>
            <w:pStyle w:val="CAD2D506A5824AB88D896BC2795BCEDE"/>
          </w:pPr>
          <w:r w:rsidRPr="001D56F0">
            <w:rPr>
              <w:rStyle w:val="PlaceholderText"/>
            </w:rPr>
            <w:t>Choose an item.</w:t>
          </w:r>
        </w:p>
      </w:docPartBody>
    </w:docPart>
    <w:docPart>
      <w:docPartPr>
        <w:name w:val="F426C563814E402488AC06CC3935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6214-28BA-4138-BF55-E76AD08567C8}"/>
      </w:docPartPr>
      <w:docPartBody>
        <w:p w:rsidR="00D21A9F" w:rsidRDefault="00D21A9F">
          <w:pPr>
            <w:pStyle w:val="F426C563814E402488AC06CC39354A11"/>
          </w:pPr>
          <w:r w:rsidRPr="00EB3D1B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0DAD3FB9ACEF4778B961F088737E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AAEB-C7DB-4A80-88DB-772F73C8E66D}"/>
      </w:docPartPr>
      <w:docPartBody>
        <w:p w:rsidR="00D21A9F" w:rsidRDefault="00D21A9F">
          <w:pPr>
            <w:pStyle w:val="0DAD3FB9ACEF4778B961F088737E2361"/>
          </w:pPr>
          <w:r>
            <w:rPr>
              <w:rStyle w:val="PlaceholderText"/>
            </w:rPr>
            <w:t>Insert molecular weight</w:t>
          </w:r>
        </w:p>
      </w:docPartBody>
    </w:docPart>
    <w:docPart>
      <w:docPartPr>
        <w:name w:val="A7231FB73EFF4B2B92EB3BD21C0C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A3F6B-F6BB-479E-BB6A-087EA1FCFDFA}"/>
      </w:docPartPr>
      <w:docPartBody>
        <w:p w:rsidR="00D21A9F" w:rsidRDefault="00D21A9F">
          <w:pPr>
            <w:pStyle w:val="A7231FB73EFF4B2B92EB3BD21C0CEA0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5D98FA8C84704C71B6F1557317AE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FB54-C6B8-4F2D-88BE-C0D2DC34C42D}"/>
      </w:docPartPr>
      <w:docPartBody>
        <w:p w:rsidR="00D21A9F" w:rsidRDefault="00D21A9F">
          <w:pPr>
            <w:pStyle w:val="5D98FA8C84704C71B6F1557317AE5303"/>
          </w:pPr>
          <w:r w:rsidRPr="00DF79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891C0AB704CDAB9BC6E80D5564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FED3B-D766-43B3-B75A-764D619F223B}"/>
      </w:docPartPr>
      <w:docPartBody>
        <w:p w:rsidR="00D21A9F" w:rsidRDefault="00D21A9F">
          <w:pPr>
            <w:pStyle w:val="2BF891C0AB704CDAB9BC6E80D556473F"/>
          </w:pPr>
          <w:r w:rsidRPr="004C23F4">
            <w:rPr>
              <w:rStyle w:val="PlaceholderText"/>
              <w:rFonts w:cs="Arial"/>
            </w:rPr>
            <w:t>Click here to enter year</w:t>
          </w:r>
        </w:p>
      </w:docPartBody>
    </w:docPart>
    <w:docPart>
      <w:docPartPr>
        <w:name w:val="51BD8E9C6C9B40C8914AB6F5D5846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62F9A-3142-4FEE-8A5B-B2474B00E7A8}"/>
      </w:docPartPr>
      <w:docPartBody>
        <w:p w:rsidR="00DC0451" w:rsidRDefault="004946C6" w:rsidP="004946C6">
          <w:pPr>
            <w:pStyle w:val="51BD8E9C6C9B40C8914AB6F5D5846177"/>
          </w:pPr>
          <w:r>
            <w:rPr>
              <w:rStyle w:val="PlaceholderText"/>
            </w:rPr>
            <w:t>Has this value changed?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9F"/>
    <w:rsid w:val="0021589A"/>
    <w:rsid w:val="004946C6"/>
    <w:rsid w:val="004A5BC2"/>
    <w:rsid w:val="005932F6"/>
    <w:rsid w:val="00D21A9F"/>
    <w:rsid w:val="00DC0451"/>
    <w:rsid w:val="00E4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46C6"/>
    <w:rPr>
      <w:color w:val="808080"/>
    </w:rPr>
  </w:style>
  <w:style w:type="paragraph" w:customStyle="1" w:styleId="CE1736E50B02464986D1BEC8B7ACDE96">
    <w:name w:val="CE1736E50B02464986D1BEC8B7ACDE96"/>
  </w:style>
  <w:style w:type="paragraph" w:customStyle="1" w:styleId="E23B83A762C94EBA8097A4DA3FB4D503">
    <w:name w:val="E23B83A762C94EBA8097A4DA3FB4D503"/>
  </w:style>
  <w:style w:type="paragraph" w:customStyle="1" w:styleId="0A35AF4547E94E219E26BC12DBC33282">
    <w:name w:val="0A35AF4547E94E219E26BC12DBC33282"/>
  </w:style>
  <w:style w:type="paragraph" w:customStyle="1" w:styleId="81CFEC2FDBC5451289F394E66D92D1A0">
    <w:name w:val="81CFEC2FDBC5451289F394E66D92D1A0"/>
  </w:style>
  <w:style w:type="paragraph" w:customStyle="1" w:styleId="C8FBF9621EB94FE084F687C8955AF85F">
    <w:name w:val="C8FBF9621EB94FE084F687C8955AF85F"/>
  </w:style>
  <w:style w:type="paragraph" w:customStyle="1" w:styleId="522022AAE76B4622AC0DF750489702EB">
    <w:name w:val="522022AAE76B4622AC0DF750489702EB"/>
  </w:style>
  <w:style w:type="paragraph" w:customStyle="1" w:styleId="6918C77959FE4E2CB3B6BD78ABC69E19">
    <w:name w:val="6918C77959FE4E2CB3B6BD78ABC69E19"/>
  </w:style>
  <w:style w:type="paragraph" w:customStyle="1" w:styleId="1ED9AEC91FDC4528B51A567B2B19EB9F">
    <w:name w:val="1ED9AEC91FDC4528B51A567B2B19EB9F"/>
  </w:style>
  <w:style w:type="paragraph" w:customStyle="1" w:styleId="FDC2A24E7D2549238DA6EE03BD0A6AE0">
    <w:name w:val="FDC2A24E7D2549238DA6EE03BD0A6AE0"/>
  </w:style>
  <w:style w:type="paragraph" w:customStyle="1" w:styleId="9E827C9D0DA949E385F2E9AB4264125E">
    <w:name w:val="9E827C9D0DA949E385F2E9AB4264125E"/>
  </w:style>
  <w:style w:type="paragraph" w:customStyle="1" w:styleId="47E4EC2DB10B4B8E8A66F7A5C13653CB">
    <w:name w:val="47E4EC2DB10B4B8E8A66F7A5C13653CB"/>
  </w:style>
  <w:style w:type="paragraph" w:customStyle="1" w:styleId="5E4DD00C3A334F93BF5CC79754EBC5EA">
    <w:name w:val="5E4DD00C3A334F93BF5CC79754EBC5EA"/>
  </w:style>
  <w:style w:type="paragraph" w:customStyle="1" w:styleId="EA1708404F1C4A3BB080A0D8EEB67D1D">
    <w:name w:val="EA1708404F1C4A3BB080A0D8EEB67D1D"/>
  </w:style>
  <w:style w:type="paragraph" w:customStyle="1" w:styleId="F3D4204BA37A4A21A656C76DA4274412">
    <w:name w:val="F3D4204BA37A4A21A656C76DA4274412"/>
  </w:style>
  <w:style w:type="paragraph" w:customStyle="1" w:styleId="8DD754E365844A4E82EC69A07E229629">
    <w:name w:val="8DD754E365844A4E82EC69A07E229629"/>
  </w:style>
  <w:style w:type="paragraph" w:customStyle="1" w:styleId="29D96B65566944F4988BAEB665EF7897">
    <w:name w:val="29D96B65566944F4988BAEB665EF7897"/>
  </w:style>
  <w:style w:type="paragraph" w:customStyle="1" w:styleId="C2B44F29000D47BD8588D2D5E8DFA6C8">
    <w:name w:val="C2B44F29000D47BD8588D2D5E8DFA6C8"/>
  </w:style>
  <w:style w:type="paragraph" w:customStyle="1" w:styleId="CC96E8CFB35445F7B98574D62F848316">
    <w:name w:val="CC96E8CFB35445F7B98574D62F848316"/>
  </w:style>
  <w:style w:type="paragraph" w:customStyle="1" w:styleId="20BC8D26515A4C11AC6304FB75A7CBAD">
    <w:name w:val="20BC8D26515A4C11AC6304FB75A7CBAD"/>
  </w:style>
  <w:style w:type="paragraph" w:customStyle="1" w:styleId="0599BE4318CD4CC0836196E577CC2921">
    <w:name w:val="0599BE4318CD4CC0836196E577CC2921"/>
  </w:style>
  <w:style w:type="paragraph" w:customStyle="1" w:styleId="CA68404C5F6B4780904F09DAAE62489A">
    <w:name w:val="CA68404C5F6B4780904F09DAAE62489A"/>
  </w:style>
  <w:style w:type="paragraph" w:customStyle="1" w:styleId="CFFDE270CB50461B826B0194984892C5">
    <w:name w:val="CFFDE270CB50461B826B0194984892C5"/>
  </w:style>
  <w:style w:type="paragraph" w:customStyle="1" w:styleId="EA32968BF93744FAABC5FC124DBE04BD">
    <w:name w:val="EA32968BF93744FAABC5FC124DBE04BD"/>
  </w:style>
  <w:style w:type="paragraph" w:customStyle="1" w:styleId="320A77D155374054996F168A20882C28">
    <w:name w:val="320A77D155374054996F168A20882C28"/>
  </w:style>
  <w:style w:type="paragraph" w:customStyle="1" w:styleId="EA51C8540A4D4F0A9062F5B1698DCBB0">
    <w:name w:val="EA51C8540A4D4F0A9062F5B1698DCBB0"/>
  </w:style>
  <w:style w:type="paragraph" w:customStyle="1" w:styleId="0168237C60E6479CAFA3D9A1A8409B78">
    <w:name w:val="0168237C60E6479CAFA3D9A1A8409B78"/>
  </w:style>
  <w:style w:type="paragraph" w:customStyle="1" w:styleId="5CBFEC560F894890BBD09B93174FFAE0">
    <w:name w:val="5CBFEC560F894890BBD09B93174FFAE0"/>
  </w:style>
  <w:style w:type="paragraph" w:customStyle="1" w:styleId="CAD2D506A5824AB88D896BC2795BCEDE">
    <w:name w:val="CAD2D506A5824AB88D896BC2795BCEDE"/>
  </w:style>
  <w:style w:type="paragraph" w:customStyle="1" w:styleId="047AD93791DC493F8562BB3488160D64">
    <w:name w:val="047AD93791DC493F8562BB3488160D64"/>
  </w:style>
  <w:style w:type="paragraph" w:customStyle="1" w:styleId="7B0BAA2441D5427984E6018FB38900E7">
    <w:name w:val="7B0BAA2441D5427984E6018FB38900E7"/>
  </w:style>
  <w:style w:type="paragraph" w:customStyle="1" w:styleId="5C1D38B030D146B59436754F8399D502">
    <w:name w:val="5C1D38B030D146B59436754F8399D502"/>
  </w:style>
  <w:style w:type="paragraph" w:customStyle="1" w:styleId="F426C563814E402488AC06CC39354A11">
    <w:name w:val="F426C563814E402488AC06CC39354A11"/>
  </w:style>
  <w:style w:type="paragraph" w:customStyle="1" w:styleId="0DAD3FB9ACEF4778B961F088737E2361">
    <w:name w:val="0DAD3FB9ACEF4778B961F088737E2361"/>
  </w:style>
  <w:style w:type="paragraph" w:customStyle="1" w:styleId="A7231FB73EFF4B2B92EB3BD21C0CEA01">
    <w:name w:val="A7231FB73EFF4B2B92EB3BD21C0CEA01"/>
  </w:style>
  <w:style w:type="paragraph" w:customStyle="1" w:styleId="5D98FA8C84704C71B6F1557317AE5303">
    <w:name w:val="5D98FA8C84704C71B6F1557317AE5303"/>
  </w:style>
  <w:style w:type="paragraph" w:customStyle="1" w:styleId="2BF891C0AB704CDAB9BC6E80D556473F">
    <w:name w:val="2BF891C0AB704CDAB9BC6E80D556473F"/>
  </w:style>
  <w:style w:type="paragraph" w:customStyle="1" w:styleId="F845E090CA394C2DB9A69AE0520D4A25">
    <w:name w:val="F845E090CA394C2DB9A69AE0520D4A25"/>
    <w:rsid w:val="0021589A"/>
  </w:style>
  <w:style w:type="paragraph" w:customStyle="1" w:styleId="CCC6DE8D6DFD474CB5430F871A9B8103">
    <w:name w:val="CCC6DE8D6DFD474CB5430F871A9B8103"/>
    <w:rsid w:val="0021589A"/>
  </w:style>
  <w:style w:type="paragraph" w:customStyle="1" w:styleId="51BD8E9C6C9B40C8914AB6F5D5846177">
    <w:name w:val="51BD8E9C6C9B40C8914AB6F5D5846177"/>
    <w:rsid w:val="00494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833B9C0B50D4EB62CF206B9DF4D6F" ma:contentTypeVersion="2" ma:contentTypeDescription="Create a new document." ma:contentTypeScope="" ma:versionID="3f0239daee0f58ef4204c8121a58097c">
  <xsd:schema xmlns:xsd="http://www.w3.org/2001/XMLSchema" xmlns:xs="http://www.w3.org/2001/XMLSchema" xmlns:p="http://schemas.microsoft.com/office/2006/metadata/properties" xmlns:ns2="bf54d604-3e62-4e70-ba33-9e9084b96a66" targetNamespace="http://schemas.microsoft.com/office/2006/metadata/properties" ma:root="true" ma:fieldsID="84d0abafb20839a02dba80eb6ea31e1c" ns2:_="">
    <xsd:import namespace="bf54d604-3e62-4e70-ba33-9e9084b96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4d604-3e62-4e70-ba33-9e9084b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FD3B4-E5FF-44D0-A85D-1656AEB7AF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7CD600-6411-4068-834B-23583BEF8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E150F-99FE-4700-8841-58D766093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4d604-3e62-4e70-ba33-9e9084b96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B17042-5BD7-4B0A-989A-CAF1DF76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453BA7A6.dotm</Template>
  <TotalTime>602</TotalTime>
  <Pages>5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HEARD,Jonathan</dc:creator>
  <cp:lastModifiedBy>ZAFAR,Anjum</cp:lastModifiedBy>
  <cp:revision>25</cp:revision>
  <cp:lastPrinted>2018-10-22T22:41:00Z</cp:lastPrinted>
  <dcterms:created xsi:type="dcterms:W3CDTF">2019-08-28T05:15:00Z</dcterms:created>
  <dcterms:modified xsi:type="dcterms:W3CDTF">2019-12-03T04:40:00Z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0x010100EC2833B9C0B50D4EB62CF206B9DF4D6F</vt:lpwstr>
  </property>
</Properties>
</file>