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7A95C00B" w14:textId="4427B3C0" w:rsidR="00BD499F" w:rsidRPr="004C23F4" w:rsidRDefault="009B59DD" w:rsidP="00B40C60">
          <w:pPr>
            <w:pStyle w:val="Heading1"/>
            <w:jc w:val="center"/>
            <w:rPr>
              <w:rFonts w:ascii="Arial" w:hAnsi="Arial" w:cs="Arial"/>
            </w:rPr>
          </w:pPr>
          <w:r w:rsidRPr="009B59DD">
            <w:rPr>
              <w:rFonts w:ascii="Arial" w:hAnsi="Arial" w:cs="Arial"/>
            </w:rPr>
            <w:t>Fensulfothion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79"/>
        <w:gridCol w:w="5047"/>
      </w:tblGrid>
      <w:tr w:rsidR="00F43AD5" w:rsidRPr="004C23F4" w14:paraId="6353EB5A" w14:textId="77777777" w:rsidTr="00B76A41">
        <w:trPr>
          <w:cantSplit/>
          <w:tblHeader/>
        </w:trPr>
        <w:tc>
          <w:tcPr>
            <w:tcW w:w="4077" w:type="dxa"/>
          </w:tcPr>
          <w:p w14:paraId="5DF57016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2BD9F334" w14:textId="2E77D3B7" w:rsidR="00F43AD5" w:rsidRPr="00717D45" w:rsidRDefault="00BC5C3C" w:rsidP="00B76A41">
            <w:pPr>
              <w:pStyle w:val="Tablefont"/>
            </w:pPr>
            <w:r w:rsidRPr="00BC5C3C">
              <w:t>115-90-2</w:t>
            </w:r>
          </w:p>
        </w:tc>
      </w:tr>
      <w:tr w:rsidR="00F43AD5" w:rsidRPr="004C23F4" w14:paraId="559E5D3D" w14:textId="77777777" w:rsidTr="00B76A41">
        <w:trPr>
          <w:cantSplit/>
        </w:trPr>
        <w:tc>
          <w:tcPr>
            <w:tcW w:w="4077" w:type="dxa"/>
          </w:tcPr>
          <w:p w14:paraId="2578D741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27E6A03F" w14:textId="4DEF2ADF" w:rsidR="00F43AD5" w:rsidRPr="00717D45" w:rsidRDefault="00BC5C3C" w:rsidP="00B76A41">
            <w:pPr>
              <w:pStyle w:val="Tablefont"/>
            </w:pPr>
            <w:proofErr w:type="spellStart"/>
            <w:r>
              <w:t>Dasanit</w:t>
            </w:r>
            <w:proofErr w:type="spellEnd"/>
            <w:r>
              <w:t>, O,O-diethyl-O-(4-methylsulfinyl) phenyl)-</w:t>
            </w:r>
            <w:proofErr w:type="spellStart"/>
            <w:r>
              <w:t>phosphorothioate</w:t>
            </w:r>
            <w:proofErr w:type="spellEnd"/>
            <w:r>
              <w:t xml:space="preserve">, </w:t>
            </w:r>
            <w:proofErr w:type="spellStart"/>
            <w:r>
              <w:t>Terracur</w:t>
            </w:r>
            <w:proofErr w:type="spellEnd"/>
            <w:r>
              <w:t xml:space="preserve"> R</w:t>
            </w:r>
          </w:p>
        </w:tc>
      </w:tr>
      <w:tr w:rsidR="00F43AD5" w:rsidRPr="004C23F4" w14:paraId="234C3CBD" w14:textId="77777777" w:rsidTr="00B76A41">
        <w:trPr>
          <w:cantSplit/>
        </w:trPr>
        <w:tc>
          <w:tcPr>
            <w:tcW w:w="4077" w:type="dxa"/>
          </w:tcPr>
          <w:p w14:paraId="376BCA86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3D453698" w14:textId="094ACF7F" w:rsidR="00F43AD5" w:rsidRPr="00717D45" w:rsidRDefault="00BC5C3C" w:rsidP="00B76A41">
            <w:pPr>
              <w:pStyle w:val="Tablefont"/>
            </w:pPr>
            <w:r>
              <w:t>C</w:t>
            </w:r>
            <w:r w:rsidRPr="00BC5C3C">
              <w:rPr>
                <w:vertAlign w:val="subscript"/>
              </w:rPr>
              <w:t>11</w:t>
            </w:r>
            <w:r>
              <w:t>H</w:t>
            </w:r>
            <w:r w:rsidRPr="00BC5C3C">
              <w:rPr>
                <w:vertAlign w:val="subscript"/>
              </w:rPr>
              <w:t>17</w:t>
            </w:r>
            <w:r>
              <w:t>O</w:t>
            </w:r>
            <w:r w:rsidRPr="00BC5C3C">
              <w:rPr>
                <w:vertAlign w:val="subscript"/>
              </w:rPr>
              <w:t>4</w:t>
            </w:r>
            <w:r>
              <w:t>PS</w:t>
            </w:r>
            <w:r w:rsidRPr="00BC5C3C">
              <w:rPr>
                <w:vertAlign w:val="subscript"/>
              </w:rPr>
              <w:t>2</w:t>
            </w:r>
          </w:p>
        </w:tc>
      </w:tr>
      <w:tr w:rsidR="00F43AD5" w:rsidRPr="004C23F4" w14:paraId="5F0D789B" w14:textId="77777777" w:rsidTr="00B76A41">
        <w:trPr>
          <w:cantSplit/>
        </w:trPr>
        <w:tc>
          <w:tcPr>
            <w:tcW w:w="4077" w:type="dxa"/>
          </w:tcPr>
          <w:p w14:paraId="3EC2D821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53EA500A" w14:textId="69F9441F" w:rsidR="00F43AD5" w:rsidRPr="00BC5C3C" w:rsidRDefault="00BC5C3C" w:rsidP="00B76A41">
            <w:pPr>
              <w:pStyle w:val="Tablerowheading"/>
              <w:rPr>
                <w:b w:val="0"/>
              </w:rPr>
            </w:pPr>
            <w:r w:rsidRPr="00BC5C3C">
              <w:rPr>
                <w:b w:val="0"/>
              </w:rPr>
              <w:t>—</w:t>
            </w:r>
          </w:p>
        </w:tc>
      </w:tr>
    </w:tbl>
    <w:p w14:paraId="22D8BE82" w14:textId="00D81FFF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1C39FA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1E410A2C" w14:textId="77777777" w:rsidTr="004D27FF">
        <w:trPr>
          <w:cantSplit/>
          <w:tblHeader/>
        </w:trPr>
        <w:tc>
          <w:tcPr>
            <w:tcW w:w="4005" w:type="dxa"/>
            <w:vAlign w:val="center"/>
          </w:tcPr>
          <w:p w14:paraId="70113FCA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60C91BEC" w14:textId="32EC0272" w:rsidR="002C7AFE" w:rsidRPr="00EB3D1B" w:rsidRDefault="00F60CB0" w:rsidP="00017C82">
            <w:pPr>
              <w:pStyle w:val="Tablefont"/>
              <w:rPr>
                <w:b/>
              </w:rPr>
            </w:pPr>
            <w:r w:rsidRPr="00F60CB0">
              <w:rPr>
                <w:b/>
              </w:rPr>
              <w:t>0.01 mg/m</w:t>
            </w:r>
            <w:r w:rsidRPr="00F60CB0">
              <w:rPr>
                <w:b/>
                <w:vertAlign w:val="superscript"/>
              </w:rPr>
              <w:t>3</w:t>
            </w:r>
            <w:r w:rsidR="003D58DD" w:rsidRPr="003D58DD">
              <w:t xml:space="preserve"> </w:t>
            </w:r>
            <w:r w:rsidR="003D58DD" w:rsidRPr="00254186">
              <w:rPr>
                <w:b/>
              </w:rPr>
              <w:t>(</w:t>
            </w:r>
            <w:r w:rsidR="003D58DD" w:rsidRPr="003D58DD">
              <w:rPr>
                <w:b/>
              </w:rPr>
              <w:t>inhalable fraction and vapour</w:t>
            </w:r>
            <w:r w:rsidR="003D58DD">
              <w:rPr>
                <w:b/>
              </w:rPr>
              <w:t>)</w:t>
            </w:r>
          </w:p>
        </w:tc>
      </w:tr>
      <w:tr w:rsidR="002C7AFE" w:rsidRPr="004C23F4" w14:paraId="280D3E35" w14:textId="77777777" w:rsidTr="004D27FF">
        <w:trPr>
          <w:cantSplit/>
        </w:trPr>
        <w:tc>
          <w:tcPr>
            <w:tcW w:w="4005" w:type="dxa"/>
            <w:vAlign w:val="center"/>
          </w:tcPr>
          <w:p w14:paraId="403000DE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0C9E180C" w14:textId="67479B11" w:rsidR="002C7AFE" w:rsidRPr="00EB3D1B" w:rsidRDefault="00F60CB0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17C72405" w14:textId="77777777" w:rsidTr="004D27FF">
        <w:trPr>
          <w:cantSplit/>
        </w:trPr>
        <w:tc>
          <w:tcPr>
            <w:tcW w:w="4005" w:type="dxa"/>
            <w:vAlign w:val="center"/>
          </w:tcPr>
          <w:p w14:paraId="1F18336C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7E798A9A" w14:textId="562BD3EC" w:rsidR="002C7AFE" w:rsidRPr="00EB3D1B" w:rsidRDefault="00F60CB0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28D3932A" w14:textId="77777777" w:rsidTr="004D27FF">
        <w:trPr>
          <w:cantSplit/>
        </w:trPr>
        <w:tc>
          <w:tcPr>
            <w:tcW w:w="4005" w:type="dxa"/>
          </w:tcPr>
          <w:p w14:paraId="4DBD80D9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7A04E509" w14:textId="6E76E7C2" w:rsidR="002C7AFE" w:rsidRPr="00EB3D1B" w:rsidRDefault="004D27FF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Sk.</w:t>
            </w:r>
          </w:p>
        </w:tc>
      </w:tr>
      <w:tr w:rsidR="002C7AFE" w:rsidRPr="004C23F4" w14:paraId="21133961" w14:textId="77777777" w:rsidTr="004D27FF">
        <w:trPr>
          <w:cantSplit/>
        </w:trPr>
        <w:tc>
          <w:tcPr>
            <w:tcW w:w="4005" w:type="dxa"/>
            <w:vAlign w:val="center"/>
          </w:tcPr>
          <w:p w14:paraId="57C186B3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36597611" w14:textId="71FA5AF2" w:rsidR="002C7AFE" w:rsidRPr="00EB3D1B" w:rsidRDefault="00BC5C3C" w:rsidP="00017C82">
            <w:pPr>
              <w:pStyle w:val="Tablefont"/>
              <w:rPr>
                <w:b/>
              </w:rPr>
            </w:pPr>
            <w:r w:rsidRPr="00BC5C3C">
              <w:rPr>
                <w:b/>
              </w:rPr>
              <w:t>—</w:t>
            </w:r>
          </w:p>
        </w:tc>
      </w:tr>
      <w:tr w:rsidR="004D27FF" w:rsidRPr="004C23F4" w14:paraId="73A832F5" w14:textId="77777777" w:rsidTr="005B749F">
        <w:trPr>
          <w:cantSplit/>
        </w:trPr>
        <w:tc>
          <w:tcPr>
            <w:tcW w:w="9026" w:type="dxa"/>
            <w:gridSpan w:val="2"/>
            <w:vAlign w:val="center"/>
          </w:tcPr>
          <w:p w14:paraId="2F192B8B" w14:textId="54D2FD15" w:rsidR="004D27FF" w:rsidRPr="00BA40CF" w:rsidRDefault="004D27FF" w:rsidP="00017C82">
            <w:pPr>
              <w:pStyle w:val="Tablefont"/>
              <w:rPr>
                <w:b/>
              </w:rPr>
            </w:pPr>
            <w:r w:rsidRPr="00BA40CF">
              <w:rPr>
                <w:b/>
              </w:rPr>
              <w:t>Sampling and analysis:</w:t>
            </w:r>
            <w:r w:rsidRPr="00BA40CF">
              <w:rPr>
                <w:rStyle w:val="WESstatus"/>
                <w:b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F67B925D9EA44900910AAD7FA8275461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="00286D54" w:rsidRPr="00BA40CF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16B7DB71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266A2A09" w14:textId="26FF33A2" w:rsidR="006639B4" w:rsidRPr="004C23F4" w:rsidRDefault="00B05F31" w:rsidP="000C139A">
      <w:pPr>
        <w:rPr>
          <w:rFonts w:cs="Arial"/>
        </w:rPr>
      </w:pPr>
      <w:r w:rsidRPr="00B05F31">
        <w:rPr>
          <w:rFonts w:cs="Arial"/>
        </w:rPr>
        <w:t>A TWA of 0.0</w:t>
      </w:r>
      <w:r w:rsidR="00F60CB0">
        <w:rPr>
          <w:rFonts w:cs="Arial"/>
        </w:rPr>
        <w:t>1</w:t>
      </w:r>
      <w:r>
        <w:rPr>
          <w:rFonts w:cs="Arial"/>
        </w:rPr>
        <w:t xml:space="preserve"> mg/m</w:t>
      </w:r>
      <w:r>
        <w:rPr>
          <w:rFonts w:cs="Arial"/>
          <w:vertAlign w:val="superscript"/>
        </w:rPr>
        <w:t>3</w:t>
      </w:r>
      <w:r w:rsidRPr="00B05F31">
        <w:rPr>
          <w:rFonts w:cs="Arial"/>
        </w:rPr>
        <w:t xml:space="preserve"> is recommended to protect for cholinergic effects in exposed workers.</w:t>
      </w:r>
    </w:p>
    <w:p w14:paraId="51DB66A6" w14:textId="77777777" w:rsidR="00C7155E" w:rsidRPr="004C23F4" w:rsidRDefault="00F10C97" w:rsidP="003365A5">
      <w:pPr>
        <w:pStyle w:val="Heading2"/>
      </w:pPr>
      <w:r>
        <w:t>Discussion and conclusions</w:t>
      </w:r>
    </w:p>
    <w:p w14:paraId="21B4DDFC" w14:textId="1A3E739E" w:rsidR="00F405BA" w:rsidRPr="00F405BA" w:rsidRDefault="001C39FA" w:rsidP="00F405BA">
      <w:pPr>
        <w:rPr>
          <w:rFonts w:cs="Arial"/>
        </w:rPr>
      </w:pPr>
      <w:r>
        <w:rPr>
          <w:rFonts w:cs="Arial"/>
        </w:rPr>
        <w:t>Fensulfothion</w:t>
      </w:r>
      <w:r w:rsidR="00F405BA" w:rsidRPr="00F405BA">
        <w:rPr>
          <w:rFonts w:cs="Arial"/>
        </w:rPr>
        <w:t xml:space="preserve"> is an </w:t>
      </w:r>
      <w:r w:rsidR="00E121EF">
        <w:rPr>
          <w:rFonts w:cs="Arial"/>
        </w:rPr>
        <w:t xml:space="preserve">organophosphate </w:t>
      </w:r>
      <w:r w:rsidR="00F405BA" w:rsidRPr="00F405BA">
        <w:rPr>
          <w:rFonts w:cs="Arial"/>
        </w:rPr>
        <w:t xml:space="preserve">insecticide that was registered for use in the USA until </w:t>
      </w:r>
      <w:r>
        <w:rPr>
          <w:rFonts w:cs="Arial"/>
        </w:rPr>
        <w:t>1990</w:t>
      </w:r>
      <w:r w:rsidR="00F405BA" w:rsidRPr="00F405BA">
        <w:rPr>
          <w:rFonts w:cs="Arial"/>
        </w:rPr>
        <w:t xml:space="preserve">. The critical effect of exposure is cholinesterase inhibition based on animal studies. Acute </w:t>
      </w:r>
      <w:r w:rsidR="00F60CB0">
        <w:rPr>
          <w:rFonts w:cs="Arial"/>
        </w:rPr>
        <w:t>exposure</w:t>
      </w:r>
      <w:r w:rsidR="00F405BA" w:rsidRPr="00F405BA">
        <w:rPr>
          <w:rFonts w:cs="Arial"/>
        </w:rPr>
        <w:t xml:space="preserve"> in humans </w:t>
      </w:r>
      <w:r w:rsidR="00F60CB0">
        <w:rPr>
          <w:rFonts w:cs="Arial"/>
        </w:rPr>
        <w:t xml:space="preserve">is lethal and </w:t>
      </w:r>
      <w:r w:rsidR="00F405BA" w:rsidRPr="00F405BA">
        <w:rPr>
          <w:rFonts w:cs="Arial"/>
        </w:rPr>
        <w:t>has been associated with nausea, vomiting and abdominal pain (ACGIH, 2018)</w:t>
      </w:r>
      <w:r w:rsidR="00066E59">
        <w:rPr>
          <w:rFonts w:cs="Arial"/>
        </w:rPr>
        <w:t>.</w:t>
      </w:r>
    </w:p>
    <w:p w14:paraId="31DDD5E7" w14:textId="66FBDA9A" w:rsidR="00F26519" w:rsidRDefault="001C39FA" w:rsidP="00F405BA">
      <w:pPr>
        <w:rPr>
          <w:rFonts w:cs="Arial"/>
        </w:rPr>
      </w:pPr>
      <w:r>
        <w:rPr>
          <w:rFonts w:cs="Arial"/>
        </w:rPr>
        <w:t>Quantitative h</w:t>
      </w:r>
      <w:r w:rsidR="00F405BA" w:rsidRPr="00F405BA">
        <w:rPr>
          <w:rFonts w:cs="Arial"/>
        </w:rPr>
        <w:t xml:space="preserve">uman exposure data </w:t>
      </w:r>
      <w:r w:rsidR="00B05F31">
        <w:rPr>
          <w:rFonts w:cs="Arial"/>
        </w:rPr>
        <w:t>are</w:t>
      </w:r>
      <w:r w:rsidR="00F405BA" w:rsidRPr="00F405BA">
        <w:rPr>
          <w:rFonts w:cs="Arial"/>
        </w:rPr>
        <w:t xml:space="preserve"> limited, the recommended TWA is therefore based on chronic feeding studies in animals (ACGIH, 2018). </w:t>
      </w:r>
      <w:r>
        <w:rPr>
          <w:rFonts w:cs="Arial"/>
        </w:rPr>
        <w:t xml:space="preserve">Of two chronic feeding studies, </w:t>
      </w:r>
      <w:r w:rsidR="00DB2AFB">
        <w:rPr>
          <w:rFonts w:cs="Arial"/>
        </w:rPr>
        <w:t xml:space="preserve">the most conservative </w:t>
      </w:r>
      <w:r>
        <w:rPr>
          <w:rFonts w:cs="Arial"/>
        </w:rPr>
        <w:t xml:space="preserve">NOAEL </w:t>
      </w:r>
      <w:r w:rsidR="00DB2AFB">
        <w:rPr>
          <w:rFonts w:cs="Arial"/>
        </w:rPr>
        <w:t>is</w:t>
      </w:r>
      <w:r>
        <w:rPr>
          <w:rFonts w:cs="Arial"/>
        </w:rPr>
        <w:t xml:space="preserve"> </w:t>
      </w:r>
      <w:r w:rsidR="00DB2AFB">
        <w:rPr>
          <w:rFonts w:cs="Arial"/>
        </w:rPr>
        <w:t xml:space="preserve">0.025 </w:t>
      </w:r>
      <w:r w:rsidR="00E121EF">
        <w:rPr>
          <w:rFonts w:cs="Arial"/>
        </w:rPr>
        <w:t>mg/k/d</w:t>
      </w:r>
      <w:r w:rsidR="00DD39D5">
        <w:rPr>
          <w:rFonts w:cs="Arial"/>
        </w:rPr>
        <w:t>ay</w:t>
      </w:r>
      <w:r w:rsidR="00E121EF">
        <w:rPr>
          <w:rFonts w:cs="Arial"/>
        </w:rPr>
        <w:t xml:space="preserve"> </w:t>
      </w:r>
      <w:r>
        <w:rPr>
          <w:rFonts w:cs="Arial"/>
        </w:rPr>
        <w:t>for</w:t>
      </w:r>
      <w:r w:rsidR="00F405BA" w:rsidRPr="00F405BA">
        <w:rPr>
          <w:rFonts w:cs="Arial"/>
        </w:rPr>
        <w:t xml:space="preserve"> cholinesterase inhibition </w:t>
      </w:r>
      <w:r>
        <w:rPr>
          <w:rFonts w:cs="Arial"/>
        </w:rPr>
        <w:t xml:space="preserve">in dogs </w:t>
      </w:r>
      <w:r w:rsidR="00DA4666">
        <w:rPr>
          <w:rFonts w:cs="Arial"/>
        </w:rPr>
        <w:t xml:space="preserve">and is </w:t>
      </w:r>
      <w:r w:rsidR="00E121EF">
        <w:rPr>
          <w:rFonts w:cs="Arial"/>
        </w:rPr>
        <w:t xml:space="preserve">used for </w:t>
      </w:r>
      <w:r w:rsidR="00DA4666">
        <w:rPr>
          <w:rFonts w:cs="Arial"/>
        </w:rPr>
        <w:t>deriving</w:t>
      </w:r>
      <w:r w:rsidR="00F60CB0">
        <w:rPr>
          <w:rFonts w:cs="Arial"/>
        </w:rPr>
        <w:t xml:space="preserve"> the TWA</w:t>
      </w:r>
      <w:r w:rsidR="00F405BA" w:rsidRPr="00F405BA">
        <w:rPr>
          <w:rFonts w:cs="Arial"/>
        </w:rPr>
        <w:t xml:space="preserve">. </w:t>
      </w:r>
      <w:r>
        <w:rPr>
          <w:rFonts w:cs="Arial"/>
        </w:rPr>
        <w:t>A</w:t>
      </w:r>
      <w:r w:rsidR="00F405BA" w:rsidRPr="00F405BA">
        <w:rPr>
          <w:rFonts w:cs="Arial"/>
        </w:rPr>
        <w:t xml:space="preserve">n </w:t>
      </w:r>
      <w:r w:rsidR="00B05F31">
        <w:rPr>
          <w:rFonts w:cs="Arial"/>
        </w:rPr>
        <w:t xml:space="preserve">equivalent </w:t>
      </w:r>
      <w:r w:rsidR="00F405BA" w:rsidRPr="00F405BA">
        <w:rPr>
          <w:rFonts w:cs="Arial"/>
        </w:rPr>
        <w:t xml:space="preserve">air concentration at this NOAEL </w:t>
      </w:r>
      <w:r w:rsidR="00B05F31">
        <w:rPr>
          <w:rFonts w:cs="Arial"/>
        </w:rPr>
        <w:t>approximates</w:t>
      </w:r>
      <w:r w:rsidR="00F405BA" w:rsidRPr="00F405BA">
        <w:rPr>
          <w:rFonts w:cs="Arial"/>
        </w:rPr>
        <w:t xml:space="preserve"> to 0.</w:t>
      </w:r>
      <w:r>
        <w:rPr>
          <w:rFonts w:cs="Arial"/>
        </w:rPr>
        <w:t>2</w:t>
      </w:r>
      <w:r w:rsidR="00F405BA" w:rsidRPr="00F405BA">
        <w:rPr>
          <w:rFonts w:cs="Arial"/>
        </w:rPr>
        <w:t xml:space="preserve"> mg/m</w:t>
      </w:r>
      <w:r w:rsidR="00F405BA" w:rsidRPr="001C39FA">
        <w:rPr>
          <w:rFonts w:cs="Arial"/>
          <w:vertAlign w:val="superscript"/>
        </w:rPr>
        <w:t>3</w:t>
      </w:r>
      <w:r w:rsidR="00F405BA" w:rsidRPr="00F405BA">
        <w:rPr>
          <w:rFonts w:cs="Arial"/>
        </w:rPr>
        <w:t xml:space="preserve"> </w:t>
      </w:r>
      <w:r w:rsidR="00B05F31">
        <w:rPr>
          <w:rFonts w:cs="Arial"/>
        </w:rPr>
        <w:t>following toxicokinetic conversion</w:t>
      </w:r>
      <w:r w:rsidR="00066E59">
        <w:rPr>
          <w:rFonts w:cs="Arial"/>
        </w:rPr>
        <w:t>. A</w:t>
      </w:r>
      <w:r>
        <w:rPr>
          <w:rFonts w:cs="Arial"/>
        </w:rPr>
        <w:t>n overall</w:t>
      </w:r>
      <w:r w:rsidR="00F405BA" w:rsidRPr="00F405BA">
        <w:rPr>
          <w:rFonts w:cs="Arial"/>
        </w:rPr>
        <w:t xml:space="preserve"> factor of </w:t>
      </w:r>
      <w:r>
        <w:rPr>
          <w:rFonts w:cs="Arial"/>
        </w:rPr>
        <w:t>20</w:t>
      </w:r>
      <w:r w:rsidR="00F405BA" w:rsidRPr="00F405BA">
        <w:rPr>
          <w:rFonts w:cs="Arial"/>
        </w:rPr>
        <w:t xml:space="preserve"> </w:t>
      </w:r>
      <w:r w:rsidR="00066E59">
        <w:rPr>
          <w:rFonts w:cs="Arial"/>
        </w:rPr>
        <w:t xml:space="preserve">is </w:t>
      </w:r>
      <w:r w:rsidR="00F405BA" w:rsidRPr="00F405BA">
        <w:rPr>
          <w:rFonts w:cs="Arial"/>
        </w:rPr>
        <w:t>applied</w:t>
      </w:r>
      <w:r w:rsidR="00B05F31">
        <w:rPr>
          <w:rFonts w:cs="Arial"/>
        </w:rPr>
        <w:t xml:space="preserve"> to </w:t>
      </w:r>
      <w:r w:rsidR="00066E59">
        <w:rPr>
          <w:rFonts w:cs="Arial"/>
        </w:rPr>
        <w:t>this value</w:t>
      </w:r>
      <w:r w:rsidR="00B05F31">
        <w:rPr>
          <w:rFonts w:cs="Arial"/>
        </w:rPr>
        <w:t xml:space="preserve"> </w:t>
      </w:r>
      <w:r w:rsidR="00F60CB0">
        <w:rPr>
          <w:rFonts w:cs="Arial"/>
        </w:rPr>
        <w:t>of 0.2 mg/m</w:t>
      </w:r>
      <w:r w:rsidR="00F60CB0">
        <w:rPr>
          <w:rFonts w:cs="Arial"/>
          <w:vertAlign w:val="superscript"/>
        </w:rPr>
        <w:t>3</w:t>
      </w:r>
      <w:r w:rsidR="00F60CB0">
        <w:rPr>
          <w:rFonts w:cs="Arial"/>
        </w:rPr>
        <w:t xml:space="preserve"> </w:t>
      </w:r>
      <w:r w:rsidR="00B05F31">
        <w:rPr>
          <w:rFonts w:cs="Arial"/>
        </w:rPr>
        <w:t>to afford the recommended TWA of 0.01 mg/m</w:t>
      </w:r>
      <w:r w:rsidR="00B05F31">
        <w:rPr>
          <w:rFonts w:cs="Arial"/>
          <w:vertAlign w:val="superscript"/>
        </w:rPr>
        <w:t>3</w:t>
      </w:r>
      <w:r>
        <w:rPr>
          <w:rFonts w:cs="Arial"/>
        </w:rPr>
        <w:t xml:space="preserve">. </w:t>
      </w:r>
      <w:bookmarkStart w:id="0" w:name="_GoBack"/>
      <w:bookmarkEnd w:id="0"/>
    </w:p>
    <w:p w14:paraId="002D1184" w14:textId="339D3A99" w:rsidR="00F60CB0" w:rsidRPr="00F405BA" w:rsidRDefault="00F405BA" w:rsidP="00F405BA">
      <w:pPr>
        <w:rPr>
          <w:rFonts w:cs="Arial"/>
        </w:rPr>
      </w:pPr>
      <w:r w:rsidRPr="00F405BA">
        <w:rPr>
          <w:rFonts w:cs="Arial"/>
        </w:rPr>
        <w:t>The TWA is intended to be measured as the combined inhalable particulate fraction and vapour to account for potential evaporative losses during sampling</w:t>
      </w:r>
      <w:r w:rsidR="00B05F31">
        <w:rPr>
          <w:rFonts w:cs="Arial"/>
        </w:rPr>
        <w:t xml:space="preserve"> (ACGIH, 2018)</w:t>
      </w:r>
      <w:r w:rsidRPr="00F405BA">
        <w:rPr>
          <w:rFonts w:cs="Arial"/>
        </w:rPr>
        <w:t>.</w:t>
      </w:r>
    </w:p>
    <w:p w14:paraId="696756F5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78E30559" w14:textId="282DC5B7" w:rsidR="00BC5C3C" w:rsidRPr="00BC5C3C" w:rsidRDefault="00BC5C3C" w:rsidP="00BC5C3C">
      <w:pPr>
        <w:rPr>
          <w:rFonts w:cs="Arial"/>
        </w:rPr>
      </w:pPr>
      <w:r w:rsidRPr="00BC5C3C">
        <w:rPr>
          <w:rFonts w:cs="Arial"/>
        </w:rPr>
        <w:t>Not classified as a carcinogen according to the Globally Harmonized System of</w:t>
      </w:r>
      <w:r w:rsidR="004D27FF">
        <w:rPr>
          <w:rFonts w:cs="Arial"/>
        </w:rPr>
        <w:t xml:space="preserve"> Classification and Labelling of</w:t>
      </w:r>
      <w:r w:rsidRPr="00BC5C3C">
        <w:rPr>
          <w:rFonts w:cs="Arial"/>
        </w:rPr>
        <w:t xml:space="preserve"> Chemicals (GHS). </w:t>
      </w:r>
    </w:p>
    <w:p w14:paraId="38511AF2" w14:textId="2FE5F43B" w:rsidR="00BC5C3C" w:rsidRPr="00BC5C3C" w:rsidRDefault="00BC5C3C" w:rsidP="00BC5C3C">
      <w:pPr>
        <w:rPr>
          <w:rFonts w:cs="Arial"/>
        </w:rPr>
      </w:pPr>
      <w:r w:rsidRPr="00BC5C3C">
        <w:rPr>
          <w:rFonts w:cs="Arial"/>
        </w:rPr>
        <w:t>Not classified as a skin</w:t>
      </w:r>
      <w:r w:rsidR="004D27FF">
        <w:rPr>
          <w:rFonts w:cs="Arial"/>
        </w:rPr>
        <w:t xml:space="preserve"> sensitiser</w:t>
      </w:r>
      <w:r w:rsidRPr="00BC5C3C">
        <w:rPr>
          <w:rFonts w:cs="Arial"/>
        </w:rPr>
        <w:t xml:space="preserve"> or respiratory sensitiser according to the GHS.</w:t>
      </w:r>
    </w:p>
    <w:p w14:paraId="3EB9CD23" w14:textId="06AB6367" w:rsidR="005E6979" w:rsidRPr="004C23F4" w:rsidRDefault="00B05F31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  <w:r w:rsidRPr="00B05F31">
        <w:rPr>
          <w:rFonts w:cs="Arial"/>
        </w:rPr>
        <w:t>A skin notation is recommended based on evidence for dermal absorption and adverse systemic effects in animals</w:t>
      </w:r>
      <w:r>
        <w:rPr>
          <w:rFonts w:cs="Arial"/>
        </w:rPr>
        <w:t xml:space="preserve"> and humans</w:t>
      </w:r>
      <w:r w:rsidRPr="00B05F31">
        <w:rPr>
          <w:rFonts w:cs="Arial"/>
        </w:rPr>
        <w:t>.</w:t>
      </w:r>
    </w:p>
    <w:p w14:paraId="78FF8629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7DCAD9E9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07A22460" w14:textId="77777777" w:rsidTr="00AD59F9">
        <w:trPr>
          <w:gridAfter w:val="1"/>
          <w:wAfter w:w="8" w:type="pct"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6A16CC22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05854DFD" w14:textId="77777777" w:rsidTr="00AD59F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25A1930" w14:textId="6AD3351B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BC5C3C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BC5C3C">
                  <w:t>TWA: 0.1 mg/m</w:t>
                </w:r>
                <w:r w:rsidR="00BC5C3C" w:rsidRPr="00BC5C3C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2FF380CC" w14:textId="77777777" w:rsidTr="00AD59F9">
        <w:trPr>
          <w:gridAfter w:val="1"/>
          <w:wAfter w:w="8" w:type="pct"/>
        </w:trPr>
        <w:tc>
          <w:tcPr>
            <w:tcW w:w="4992" w:type="pct"/>
          </w:tcPr>
          <w:p w14:paraId="660D86A6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54EDB8F4" w14:textId="77777777" w:rsidTr="00AD59F9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2BA0DA91" w14:textId="0D773A56" w:rsidR="00C978F0" w:rsidRPr="003F4A96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BC5C3C">
                  <w:t>2005</w:t>
                </w:r>
              </w:sdtContent>
            </w:sdt>
            <w:r w:rsidR="00916EC0" w:rsidRPr="003365A5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BC5C3C">
                  <w:t>TLV-TWA: 0.0008 ppm (0.01 mg/m</w:t>
                </w:r>
                <w:r w:rsidR="00BC5C3C" w:rsidRPr="00BC5C3C">
                  <w:rPr>
                    <w:vertAlign w:val="superscript"/>
                  </w:rPr>
                  <w:t>3</w:t>
                </w:r>
                <w:r w:rsidR="00BC5C3C">
                  <w:t>)</w:t>
                </w:r>
              </w:sdtContent>
            </w:sdt>
            <w:r w:rsidR="003F4A96">
              <w:t xml:space="preserve"> inhalable fraction and vapour</w:t>
            </w:r>
          </w:p>
        </w:tc>
      </w:tr>
      <w:tr w:rsidR="00C978F0" w:rsidRPr="00DA352E" w14:paraId="48C8004E" w14:textId="77777777" w:rsidTr="00AD59F9">
        <w:trPr>
          <w:gridAfter w:val="1"/>
          <w:wAfter w:w="8" w:type="pct"/>
        </w:trPr>
        <w:tc>
          <w:tcPr>
            <w:tcW w:w="4992" w:type="pct"/>
          </w:tcPr>
          <w:p w14:paraId="59BE8BA0" w14:textId="1F4694DE" w:rsidR="00AB6F5D" w:rsidRDefault="00E602E9" w:rsidP="003365A5">
            <w:pPr>
              <w:pStyle w:val="Tabletextprimarysource"/>
            </w:pPr>
            <w:r>
              <w:t xml:space="preserve">TLV-TWA intended to protect for cholinergic effects. </w:t>
            </w:r>
          </w:p>
          <w:p w14:paraId="6BB8FE4B" w14:textId="77777777" w:rsidR="00AB6F5D" w:rsidRDefault="00AB6F5D" w:rsidP="003365A5">
            <w:pPr>
              <w:pStyle w:val="Tabletextprimarysource"/>
            </w:pPr>
            <w:r>
              <w:t>Summary of data:</w:t>
            </w:r>
          </w:p>
          <w:p w14:paraId="1E5BB269" w14:textId="71C409BD" w:rsidR="00AB6F5D" w:rsidRPr="005378DB" w:rsidRDefault="00AB6F5D" w:rsidP="003365A5">
            <w:pPr>
              <w:pStyle w:val="Tabletextprimarysource"/>
            </w:pPr>
            <w:r>
              <w:t>No quantitative toxicological data available for exposure in humans</w:t>
            </w:r>
            <w:r w:rsidR="00E121EF">
              <w:t xml:space="preserve">; </w:t>
            </w:r>
            <w:r>
              <w:t xml:space="preserve">case studies of poisonings are however indicative of </w:t>
            </w:r>
            <w:r w:rsidR="003F4A96">
              <w:t xml:space="preserve">the </w:t>
            </w:r>
            <w:r>
              <w:t xml:space="preserve">cholinergic effects observed </w:t>
            </w:r>
            <w:r w:rsidR="003F4A96">
              <w:t xml:space="preserve">in </w:t>
            </w:r>
            <w:r>
              <w:t>animal studies.</w:t>
            </w:r>
            <w:r w:rsidR="002A25F1">
              <w:t xml:space="preserve"> TLV-TWA derived from a NOAEL of 0.025 mg/kg/d for cholinesterase inhibition </w:t>
            </w:r>
            <w:r w:rsidR="003F4A96">
              <w:t>in</w:t>
            </w:r>
            <w:r w:rsidR="002A25F1">
              <w:t xml:space="preserve"> a c</w:t>
            </w:r>
            <w:r w:rsidR="005378DB">
              <w:t>hronic feeding study with dogs. Conversion to an inhalational dose assuming 100% absorption in a 70-kg person with a respiratory volume of 10 m</w:t>
            </w:r>
            <w:r w:rsidR="005378DB">
              <w:rPr>
                <w:vertAlign w:val="superscript"/>
              </w:rPr>
              <w:t>3</w:t>
            </w:r>
            <w:r w:rsidR="005378DB">
              <w:t xml:space="preserve"> per 8-h shift </w:t>
            </w:r>
            <w:r w:rsidR="00E121EF">
              <w:t>results in a NOA</w:t>
            </w:r>
            <w:r w:rsidR="00DA4666">
              <w:t>E</w:t>
            </w:r>
            <w:r w:rsidR="00E121EF">
              <w:t xml:space="preserve">C of </w:t>
            </w:r>
            <w:r w:rsidR="005378DB">
              <w:t>0.2 mg/m</w:t>
            </w:r>
            <w:r w:rsidR="005378DB">
              <w:rPr>
                <w:vertAlign w:val="superscript"/>
              </w:rPr>
              <w:t>3</w:t>
            </w:r>
            <w:r w:rsidR="005378DB">
              <w:t xml:space="preserve">. </w:t>
            </w:r>
            <w:r w:rsidR="00DA4666">
              <w:t>T</w:t>
            </w:r>
            <w:r w:rsidR="00E121EF">
              <w:t>he TLV-TWA o</w:t>
            </w:r>
            <w:r w:rsidR="0041607C">
              <w:t>f</w:t>
            </w:r>
            <w:r w:rsidR="00E121EF">
              <w:t xml:space="preserve"> </w:t>
            </w:r>
            <w:r w:rsidR="0041607C">
              <w:t>0.01</w:t>
            </w:r>
            <w:r w:rsidR="00E121EF">
              <w:t xml:space="preserve"> </w:t>
            </w:r>
            <w:r w:rsidR="0041607C">
              <w:t>mg/m</w:t>
            </w:r>
            <w:r w:rsidR="0041607C">
              <w:rPr>
                <w:vertAlign w:val="superscript"/>
              </w:rPr>
              <w:t xml:space="preserve">3 </w:t>
            </w:r>
            <w:r w:rsidR="0041607C" w:rsidRPr="00DA4666">
              <w:t>is derived by dividing the NOAEC by</w:t>
            </w:r>
            <w:r w:rsidR="0041607C">
              <w:t xml:space="preserve"> a </w:t>
            </w:r>
            <w:r w:rsidR="005378DB">
              <w:t xml:space="preserve">factor of 20 to account for </w:t>
            </w:r>
            <w:r w:rsidR="003F4A96">
              <w:t xml:space="preserve">uncertainty in the database. Evaporative losses may occur during </w:t>
            </w:r>
            <w:r w:rsidR="0041607C">
              <w:t xml:space="preserve">exposure </w:t>
            </w:r>
            <w:r w:rsidR="003F4A96">
              <w:t>sampling; TLV-TWA includes inhalable particulate fraction and vapour.</w:t>
            </w:r>
          </w:p>
          <w:p w14:paraId="7362B934" w14:textId="4619E064" w:rsidR="00AB6F5D" w:rsidRDefault="00AB6F5D" w:rsidP="003365A5">
            <w:pPr>
              <w:pStyle w:val="Tabletextprimarysource"/>
            </w:pPr>
            <w:r>
              <w:t>Human data:</w:t>
            </w:r>
          </w:p>
          <w:p w14:paraId="6C3DA1C9" w14:textId="27CBDD22" w:rsidR="005378DB" w:rsidRDefault="005378DB" w:rsidP="005378DB">
            <w:pPr>
              <w:pStyle w:val="Tabletextprimarysource"/>
              <w:numPr>
                <w:ilvl w:val="0"/>
                <w:numId w:val="2"/>
              </w:numPr>
            </w:pPr>
            <w:r>
              <w:t xml:space="preserve">Accidental fatal poisoning </w:t>
            </w:r>
            <w:r w:rsidR="004D27FF">
              <w:t>&gt;</w:t>
            </w:r>
            <w:r>
              <w:t>24 h when applied to potato crops; autopsy showed pulmonary oedema and blood cholinesterase inhibition</w:t>
            </w:r>
          </w:p>
          <w:p w14:paraId="46722399" w14:textId="46EAFEEC" w:rsidR="005378DB" w:rsidRDefault="005378DB" w:rsidP="003D58DD">
            <w:pPr>
              <w:pStyle w:val="Tabletextprimarysource"/>
              <w:numPr>
                <w:ilvl w:val="0"/>
                <w:numId w:val="2"/>
              </w:numPr>
            </w:pPr>
            <w:r>
              <w:t xml:space="preserve">Combined dermal and oral poisoning led to vomiting, nausea, disorientation, </w:t>
            </w:r>
            <w:r w:rsidR="00DA0C62">
              <w:t>diarrhoea</w:t>
            </w:r>
            <w:r>
              <w:t xml:space="preserve"> and abdominal pain</w:t>
            </w:r>
            <w:r w:rsidR="000656FA">
              <w:t>.</w:t>
            </w:r>
          </w:p>
          <w:p w14:paraId="7D2CFF14" w14:textId="77777777" w:rsidR="00AB6F5D" w:rsidRDefault="00AB6F5D" w:rsidP="003365A5">
            <w:pPr>
              <w:pStyle w:val="Tabletextprimarysource"/>
            </w:pPr>
            <w:r>
              <w:t>Animal data:</w:t>
            </w:r>
          </w:p>
          <w:p w14:paraId="5ECDEC42" w14:textId="5FB5CAA0" w:rsidR="00EE1BC6" w:rsidRDefault="002A25F1" w:rsidP="00AB6F5D">
            <w:pPr>
              <w:pStyle w:val="Tabletextprimarysource"/>
              <w:numPr>
                <w:ilvl w:val="0"/>
                <w:numId w:val="1"/>
              </w:numPr>
            </w:pPr>
            <w:r>
              <w:t>Oral LD</w:t>
            </w:r>
            <w:r>
              <w:rPr>
                <w:vertAlign w:val="subscript"/>
              </w:rPr>
              <w:t>50</w:t>
            </w:r>
            <w:r>
              <w:t>: 1.8 mg/kg (female rats), 4.1 mg/kg (male rats)</w:t>
            </w:r>
            <w:r w:rsidR="002D456C">
              <w:t>:</w:t>
            </w:r>
            <w:r>
              <w:t xml:space="preserve"> </w:t>
            </w:r>
          </w:p>
          <w:p w14:paraId="735BEBD6" w14:textId="6776A67A" w:rsidR="00EE1BC6" w:rsidRDefault="003D58DD" w:rsidP="00066E59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>s</w:t>
            </w:r>
            <w:r w:rsidR="002A25F1">
              <w:t xml:space="preserve">ymptoms appear within 15 min, lethal within 2 h </w:t>
            </w:r>
          </w:p>
          <w:p w14:paraId="698860DA" w14:textId="408EE215" w:rsidR="00EE1BC6" w:rsidRDefault="003D58DD" w:rsidP="00066E59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>c</w:t>
            </w:r>
            <w:r w:rsidR="00EE1BC6">
              <w:t>holinergic inhibition</w:t>
            </w:r>
            <w:r w:rsidR="002A25F1">
              <w:t xml:space="preserve"> of </w:t>
            </w:r>
            <w:r w:rsidR="00EE1BC6">
              <w:t>sub-lethal doses peaks at 1–2 h, occurs equally in central and peripheral nervous systems, and persists for 3–5</w:t>
            </w:r>
            <w:r w:rsidR="002A25F1">
              <w:t xml:space="preserve"> d</w:t>
            </w:r>
          </w:p>
          <w:p w14:paraId="0D1857C8" w14:textId="5C2B34EA" w:rsidR="002A25F1" w:rsidRDefault="002A25F1" w:rsidP="002A25F1">
            <w:pPr>
              <w:pStyle w:val="Tabletextprimarysource"/>
              <w:numPr>
                <w:ilvl w:val="0"/>
                <w:numId w:val="1"/>
              </w:numPr>
            </w:pPr>
            <w:r>
              <w:t>Dermal LD</w:t>
            </w:r>
            <w:r>
              <w:rPr>
                <w:vertAlign w:val="subscript"/>
              </w:rPr>
              <w:t>50</w:t>
            </w:r>
            <w:r>
              <w:t>: 3.5–4.1 mg/kg (female rats), 19–30 mg/kg (male rats)</w:t>
            </w:r>
          </w:p>
          <w:p w14:paraId="5DE06043" w14:textId="29328037" w:rsidR="0048476F" w:rsidRDefault="0048476F" w:rsidP="002A25F1">
            <w:pPr>
              <w:pStyle w:val="Tabletextprimarysource"/>
              <w:numPr>
                <w:ilvl w:val="0"/>
                <w:numId w:val="1"/>
              </w:numPr>
            </w:pPr>
            <w:r>
              <w:t>Facile oral absorption</w:t>
            </w:r>
            <w:r w:rsidR="003F4A96">
              <w:t>;</w:t>
            </w:r>
            <w:r>
              <w:t xml:space="preserve"> </w:t>
            </w:r>
            <w:r w:rsidR="005378DB">
              <w:t>metabolic oxidation produces active cholinesterase inhibiting agent</w:t>
            </w:r>
          </w:p>
          <w:p w14:paraId="39693C87" w14:textId="77777777" w:rsidR="002A25F1" w:rsidRDefault="002A25F1" w:rsidP="002A25F1">
            <w:pPr>
              <w:pStyle w:val="Tabletextprimarysource"/>
              <w:numPr>
                <w:ilvl w:val="0"/>
                <w:numId w:val="1"/>
              </w:numPr>
            </w:pPr>
            <w:r>
              <w:t>LC</w:t>
            </w:r>
            <w:r>
              <w:rPr>
                <w:vertAlign w:val="subscript"/>
              </w:rPr>
              <w:t>50</w:t>
            </w:r>
            <w:r>
              <w:t>: 113 mg/m</w:t>
            </w:r>
            <w:r>
              <w:rPr>
                <w:vertAlign w:val="superscript"/>
              </w:rPr>
              <w:t>3</w:t>
            </w:r>
            <w:r>
              <w:t xml:space="preserve"> (male rats, 1 h), </w:t>
            </w:r>
            <w:r w:rsidR="00DA47AA">
              <w:t>29.5 mg/m</w:t>
            </w:r>
            <w:r w:rsidR="00DA47AA">
              <w:rPr>
                <w:vertAlign w:val="superscript"/>
              </w:rPr>
              <w:t>3</w:t>
            </w:r>
            <w:r w:rsidR="00DA47AA">
              <w:t xml:space="preserve"> (male rats, 4 h)</w:t>
            </w:r>
          </w:p>
          <w:p w14:paraId="237576D6" w14:textId="4DDD95C6" w:rsidR="00873465" w:rsidRDefault="00EE1BC6" w:rsidP="00873465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Repeat feeding carcinogenicity study with treatment groups of 1, 5 and 20 ppm of diet (rats, </w:t>
            </w:r>
            <w:r w:rsidR="00873465">
              <w:t>17 mo) reported:</w:t>
            </w:r>
          </w:p>
          <w:p w14:paraId="09666CC3" w14:textId="6C522AA7" w:rsidR="00873465" w:rsidRDefault="00873465" w:rsidP="00066E59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 xml:space="preserve">LOAEL: 1 ppm </w:t>
            </w:r>
            <w:r>
              <w:rPr>
                <w:rFonts w:cs="Arial"/>
              </w:rPr>
              <w:t>≡</w:t>
            </w:r>
            <w:r>
              <w:t xml:space="preserve">0.05 mg/kg/d for plasma, </w:t>
            </w:r>
            <w:r w:rsidR="000656FA">
              <w:t>RBC</w:t>
            </w:r>
            <w:r>
              <w:t>, and brain cholinesterase inhibition</w:t>
            </w:r>
            <w:r w:rsidR="009D6974">
              <w:t>, no histopathological effects noted</w:t>
            </w:r>
          </w:p>
          <w:p w14:paraId="213118A4" w14:textId="2E2A872E" w:rsidR="009D6974" w:rsidRDefault="003F4A96" w:rsidP="003F4A96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No evidence for carcinogenicity in </w:t>
            </w:r>
            <w:r w:rsidR="001C39FA">
              <w:t>chronic</w:t>
            </w:r>
            <w:r w:rsidR="009D6974">
              <w:t xml:space="preserve"> feeding study with treatment groups of 1, 2 and 5 ppm of diet (dogs, 2 yr)</w:t>
            </w:r>
            <w:r w:rsidR="002D456C">
              <w:t>:</w:t>
            </w:r>
          </w:p>
          <w:p w14:paraId="225772A6" w14:textId="2B23B4C8" w:rsidR="009D6974" w:rsidRDefault="009D6974" w:rsidP="00066E59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 xml:space="preserve">NOAEL: 1 ppm </w:t>
            </w:r>
            <w:r>
              <w:rPr>
                <w:rFonts w:cs="Arial"/>
              </w:rPr>
              <w:t>≡</w:t>
            </w:r>
            <w:r>
              <w:t xml:space="preserve">0.025 mg/kg/d </w:t>
            </w:r>
          </w:p>
          <w:p w14:paraId="6E5C3B39" w14:textId="1847E03D" w:rsidR="009D6974" w:rsidRDefault="009D6974" w:rsidP="00066E59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 xml:space="preserve">LOAEL: 2 ppm </w:t>
            </w:r>
            <w:r>
              <w:rPr>
                <w:rFonts w:cs="Arial"/>
              </w:rPr>
              <w:t>≡</w:t>
            </w:r>
            <w:r>
              <w:t xml:space="preserve">0.05 mg/kg/d for cholinergic effects; severe weight loss, and cholinergic poisoning at 5 ppm </w:t>
            </w:r>
            <w:r>
              <w:rPr>
                <w:rFonts w:cs="Arial"/>
              </w:rPr>
              <w:t>≡</w:t>
            </w:r>
            <w:r>
              <w:t>0.125 mg/kg/d</w:t>
            </w:r>
          </w:p>
          <w:p w14:paraId="3B85E70A" w14:textId="77777777" w:rsidR="009D6974" w:rsidRDefault="009D6974" w:rsidP="009D6974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Non-mutagenic </w:t>
            </w:r>
            <w:r>
              <w:rPr>
                <w:i/>
              </w:rPr>
              <w:t>in vitro</w:t>
            </w:r>
          </w:p>
          <w:p w14:paraId="370F5EF8" w14:textId="77777777" w:rsidR="0048476F" w:rsidRDefault="0048476F" w:rsidP="003F4A96">
            <w:pPr>
              <w:pStyle w:val="Tabletextprimarysource"/>
              <w:numPr>
                <w:ilvl w:val="0"/>
                <w:numId w:val="1"/>
              </w:numPr>
            </w:pPr>
            <w:r>
              <w:t>Slight reduction in lactation index of 3</w:t>
            </w:r>
            <w:r w:rsidRPr="0048476F">
              <w:rPr>
                <w:vertAlign w:val="superscript"/>
              </w:rPr>
              <w:t>rd</w:t>
            </w:r>
            <w:r>
              <w:t xml:space="preserve"> generation pups</w:t>
            </w:r>
            <w:r w:rsidR="003D58DD">
              <w:t xml:space="preserve"> at maternally toxic doses </w:t>
            </w:r>
            <w:r>
              <w:t>in 3</w:t>
            </w:r>
            <w:r w:rsidR="002D456C">
              <w:noBreakHyphen/>
            </w:r>
            <w:r>
              <w:t>generation reproductive study (rats); some females died before mating, no developmental effects at 1 ppm of diet</w:t>
            </w:r>
            <w:r w:rsidR="003F4A96">
              <w:t xml:space="preserve"> </w:t>
            </w:r>
            <w:r w:rsidR="003F4A96">
              <w:rPr>
                <w:rFonts w:cs="Arial"/>
              </w:rPr>
              <w:t>≡</w:t>
            </w:r>
            <w:r w:rsidR="003F4A96">
              <w:t>0.05 mg/kg/d.</w:t>
            </w:r>
          </w:p>
          <w:p w14:paraId="7A279C7F" w14:textId="77777777" w:rsidR="00AD59F9" w:rsidRDefault="00AD59F9" w:rsidP="00066E59">
            <w:pPr>
              <w:pStyle w:val="Tabletextprimarysource"/>
            </w:pPr>
          </w:p>
          <w:p w14:paraId="07DE3238" w14:textId="32B8E4A0" w:rsidR="00AD59F9" w:rsidRDefault="00AD59F9" w:rsidP="00066E59">
            <w:pPr>
              <w:pStyle w:val="Tabletextprimarysource"/>
            </w:pPr>
            <w:r>
              <w:t>A skin notation is recommended due to low dermal LD</w:t>
            </w:r>
            <w:r>
              <w:rPr>
                <w:vertAlign w:val="subscript"/>
              </w:rPr>
              <w:t>50</w:t>
            </w:r>
            <w:r>
              <w:t xml:space="preserve"> values in animals and reports of systemic poisoning in humans following skin contact. </w:t>
            </w:r>
          </w:p>
          <w:p w14:paraId="24736E4B" w14:textId="77777777" w:rsidR="00AD59F9" w:rsidRDefault="00AD59F9" w:rsidP="00066E59">
            <w:pPr>
              <w:pStyle w:val="Tabletextprimarysource"/>
            </w:pPr>
            <w:r>
              <w:t xml:space="preserve">Classified as non-carcinogenic in humans based on negative results of chronic animal feeding studies. </w:t>
            </w:r>
          </w:p>
          <w:p w14:paraId="6EA1002A" w14:textId="77777777" w:rsidR="002D456C" w:rsidRDefault="00AD59F9" w:rsidP="00066E59">
            <w:pPr>
              <w:pStyle w:val="Tabletextprimarysource"/>
            </w:pPr>
            <w:r>
              <w:lastRenderedPageBreak/>
              <w:t>Insufficient data to recommend a TLV-STEL or sensitiser notation.</w:t>
            </w:r>
          </w:p>
          <w:p w14:paraId="3EDD3F09" w14:textId="16BD137A" w:rsidR="00AD59F9" w:rsidRPr="00AB6F5D" w:rsidRDefault="00AD59F9" w:rsidP="00066E59">
            <w:pPr>
              <w:pStyle w:val="Tabletextprimarysource"/>
            </w:pPr>
          </w:p>
        </w:tc>
      </w:tr>
      <w:tr w:rsidR="00C978F0" w:rsidRPr="00DA352E" w14:paraId="641A36AC" w14:textId="77777777" w:rsidTr="00AD59F9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3BC0877A" w14:textId="3FEA1471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BC5C3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BC5C3C">
                  <w:t>NA</w:t>
                </w:r>
              </w:sdtContent>
            </w:sdt>
          </w:p>
        </w:tc>
      </w:tr>
      <w:tr w:rsidR="00C978F0" w:rsidRPr="00DA352E" w14:paraId="753ECF2D" w14:textId="77777777" w:rsidTr="00AD59F9">
        <w:trPr>
          <w:gridAfter w:val="1"/>
          <w:wAfter w:w="8" w:type="pct"/>
        </w:trPr>
        <w:tc>
          <w:tcPr>
            <w:tcW w:w="4992" w:type="pct"/>
          </w:tcPr>
          <w:p w14:paraId="5CB05F24" w14:textId="0A0248C5" w:rsidR="00C978F0" w:rsidRPr="00DA352E" w:rsidRDefault="00BC5C3C" w:rsidP="003365A5">
            <w:pPr>
              <w:pStyle w:val="Tabletextprimarysource"/>
            </w:pPr>
            <w:r>
              <w:t>No report</w:t>
            </w:r>
            <w:r w:rsidR="004D27FF">
              <w:t>.</w:t>
            </w:r>
          </w:p>
        </w:tc>
      </w:tr>
      <w:tr w:rsidR="00C978F0" w:rsidRPr="00DA352E" w14:paraId="3D49841C" w14:textId="77777777" w:rsidTr="00AD59F9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059EEF28" w14:textId="1C83F5DB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BC5C3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r w:rsidR="00BC5C3C">
                  <w:t>NA</w:t>
                </w:r>
              </w:sdtContent>
            </w:sdt>
          </w:p>
        </w:tc>
      </w:tr>
      <w:tr w:rsidR="00C978F0" w:rsidRPr="00DA352E" w14:paraId="56F17EC1" w14:textId="77777777" w:rsidTr="00AD59F9">
        <w:trPr>
          <w:gridAfter w:val="1"/>
          <w:wAfter w:w="8" w:type="pct"/>
        </w:trPr>
        <w:tc>
          <w:tcPr>
            <w:tcW w:w="4992" w:type="pct"/>
          </w:tcPr>
          <w:p w14:paraId="485DF0F3" w14:textId="34787137" w:rsidR="00C978F0" w:rsidRPr="00DA352E" w:rsidRDefault="00BC5C3C" w:rsidP="003365A5">
            <w:pPr>
              <w:pStyle w:val="Tabletextprimarysource"/>
            </w:pPr>
            <w:r>
              <w:t>No report</w:t>
            </w:r>
            <w:r w:rsidR="004D27FF">
              <w:t>.</w:t>
            </w:r>
          </w:p>
        </w:tc>
      </w:tr>
      <w:tr w:rsidR="00DA352E" w:rsidRPr="00DA352E" w14:paraId="3F939AE7" w14:textId="77777777" w:rsidTr="00AD59F9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0998A236" w14:textId="528AA6B5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BC5C3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r w:rsidR="00BC5C3C">
                  <w:t>NA</w:t>
                </w:r>
              </w:sdtContent>
            </w:sdt>
          </w:p>
        </w:tc>
      </w:tr>
      <w:tr w:rsidR="00DA352E" w:rsidRPr="00DA352E" w14:paraId="5123A396" w14:textId="77777777" w:rsidTr="00AD59F9">
        <w:trPr>
          <w:gridAfter w:val="1"/>
          <w:wAfter w:w="8" w:type="pct"/>
        </w:trPr>
        <w:tc>
          <w:tcPr>
            <w:tcW w:w="4992" w:type="pct"/>
          </w:tcPr>
          <w:p w14:paraId="1CAA6CFB" w14:textId="1388A315" w:rsidR="00DA352E" w:rsidRPr="00DA352E" w:rsidRDefault="00BC5C3C" w:rsidP="003365A5">
            <w:pPr>
              <w:pStyle w:val="Tabletextprimarysource"/>
            </w:pPr>
            <w:r>
              <w:t>No report</w:t>
            </w:r>
            <w:r w:rsidR="004D27FF">
              <w:t>.</w:t>
            </w:r>
          </w:p>
        </w:tc>
      </w:tr>
      <w:tr w:rsidR="00DA352E" w:rsidRPr="00DA352E" w14:paraId="58D8551B" w14:textId="77777777" w:rsidTr="00AD59F9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5F47997E" w14:textId="2BC2D9FE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BC5C3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r w:rsidR="00BC5C3C">
                  <w:t>NA</w:t>
                </w:r>
              </w:sdtContent>
            </w:sdt>
          </w:p>
        </w:tc>
      </w:tr>
      <w:tr w:rsidR="00DA352E" w:rsidRPr="00DA352E" w14:paraId="59D39295" w14:textId="77777777" w:rsidTr="00AD59F9">
        <w:trPr>
          <w:gridAfter w:val="1"/>
          <w:wAfter w:w="8" w:type="pct"/>
        </w:trPr>
        <w:tc>
          <w:tcPr>
            <w:tcW w:w="4992" w:type="pct"/>
          </w:tcPr>
          <w:p w14:paraId="7E45E0F2" w14:textId="7942D911" w:rsidR="00DA352E" w:rsidRPr="00DA352E" w:rsidRDefault="00BC5C3C" w:rsidP="003365A5">
            <w:pPr>
              <w:pStyle w:val="Tabletextprimarysource"/>
            </w:pPr>
            <w:r>
              <w:t>No report</w:t>
            </w:r>
            <w:r w:rsidR="004D27FF">
              <w:t>.</w:t>
            </w:r>
          </w:p>
        </w:tc>
      </w:tr>
    </w:tbl>
    <w:p w14:paraId="24AB42E9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8"/>
        <w:gridCol w:w="422"/>
        <w:gridCol w:w="661"/>
        <w:gridCol w:w="6445"/>
      </w:tblGrid>
      <w:tr w:rsidR="004966BF" w:rsidRPr="00263255" w14:paraId="59DB0E03" w14:textId="77777777" w:rsidTr="004D27FF">
        <w:trPr>
          <w:cantSplit/>
          <w:trHeight w:val="393"/>
          <w:tblHeader/>
        </w:trPr>
        <w:tc>
          <w:tcPr>
            <w:tcW w:w="1498" w:type="dxa"/>
            <w:shd w:val="clear" w:color="auto" w:fill="BFBFBF" w:themeFill="background1" w:themeFillShade="BF"/>
            <w:vAlign w:val="center"/>
          </w:tcPr>
          <w:p w14:paraId="5932A3E2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14:paraId="06C5FAA2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742CD10C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5" w:type="dxa"/>
            <w:shd w:val="clear" w:color="auto" w:fill="BFBFBF" w:themeFill="background1" w:themeFillShade="BF"/>
            <w:vAlign w:val="center"/>
          </w:tcPr>
          <w:p w14:paraId="765C9C09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359AD33F" w14:textId="77777777" w:rsidTr="004D27FF">
        <w:trPr>
          <w:cantSplit/>
        </w:trPr>
        <w:tc>
          <w:tcPr>
            <w:tcW w:w="1498" w:type="dxa"/>
          </w:tcPr>
          <w:p w14:paraId="1335F7F6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2" w:type="dxa"/>
          </w:tcPr>
          <w:p w14:paraId="1876622D" w14:textId="2737033F" w:rsidR="004966BF" w:rsidRPr="00CE617F" w:rsidRDefault="00DD39D5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F405BA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10A1089B" w14:textId="42B12D51" w:rsidR="004966BF" w:rsidRPr="004C23F4" w:rsidRDefault="00F405BA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2018</w:t>
            </w:r>
          </w:p>
        </w:tc>
        <w:tc>
          <w:tcPr>
            <w:tcW w:w="6445" w:type="dxa"/>
          </w:tcPr>
          <w:p w14:paraId="0CD3D4E3" w14:textId="50D12FC4" w:rsidR="004966BF" w:rsidRPr="004C23F4" w:rsidRDefault="00F405BA" w:rsidP="00066E59">
            <w:pPr>
              <w:pStyle w:val="Tablefont"/>
              <w:numPr>
                <w:ilvl w:val="0"/>
                <w:numId w:val="3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Tier I: a</w:t>
            </w:r>
            <w:r w:rsidRPr="00F405BA">
              <w:rPr>
                <w:rStyle w:val="checkbox"/>
                <w:rFonts w:ascii="Arial" w:hAnsi="Arial" w:cs="Arial"/>
              </w:rPr>
              <w:t>gricultural and therapeutic uses are excluded from assessment</w:t>
            </w:r>
            <w:r w:rsidR="002D456C">
              <w:rPr>
                <w:rStyle w:val="checkbox"/>
                <w:rFonts w:ascii="Arial" w:hAnsi="Arial" w:cs="Arial"/>
              </w:rPr>
              <w:t>.</w:t>
            </w:r>
          </w:p>
        </w:tc>
      </w:tr>
    </w:tbl>
    <w:p w14:paraId="2C2188F5" w14:textId="77777777" w:rsidR="007E2A4B" w:rsidRDefault="007E2A4B"/>
    <w:bookmarkEnd w:id="1"/>
    <w:p w14:paraId="1D8FF4CD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6C54ECDE" w14:textId="77777777" w:rsidTr="00F405BA">
        <w:trPr>
          <w:trHeight w:val="454"/>
          <w:tblHeader/>
        </w:trPr>
        <w:tc>
          <w:tcPr>
            <w:tcW w:w="6603" w:type="dxa"/>
            <w:vAlign w:val="center"/>
          </w:tcPr>
          <w:p w14:paraId="36AF0F20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74E4105E" w14:textId="73A23D69" w:rsidR="002E0D61" w:rsidRDefault="00F405BA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0B8351A8" w14:textId="77777777" w:rsidTr="00F405BA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581ACF92" w14:textId="02C23D3A" w:rsidR="008A36CF" w:rsidRPr="006901A2" w:rsidRDefault="00F405BA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179A0A21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0543B85B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6514C270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120429BE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44C217B8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6DF4EBD2" w14:textId="77777777" w:rsidTr="00812887">
        <w:trPr>
          <w:cantSplit/>
        </w:trPr>
        <w:tc>
          <w:tcPr>
            <w:tcW w:w="3227" w:type="dxa"/>
          </w:tcPr>
          <w:p w14:paraId="68741F4C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49E193EE" w14:textId="06138008" w:rsidR="00687890" w:rsidRPr="00DD2F9B" w:rsidRDefault="0042156E" w:rsidP="00DD2F9B">
            <w:pPr>
              <w:pStyle w:val="Tablefont"/>
            </w:pPr>
            <w:r>
              <w:t>—</w:t>
            </w:r>
          </w:p>
        </w:tc>
      </w:tr>
      <w:tr w:rsidR="007925F0" w:rsidRPr="004C23F4" w14:paraId="775A0D64" w14:textId="77777777" w:rsidTr="00812887">
        <w:trPr>
          <w:cantSplit/>
        </w:trPr>
        <w:tc>
          <w:tcPr>
            <w:tcW w:w="3227" w:type="dxa"/>
          </w:tcPr>
          <w:p w14:paraId="6807D9BD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10390AA5" w14:textId="70C49D7E" w:rsidR="007925F0" w:rsidRPr="00DD2F9B" w:rsidRDefault="0042156E" w:rsidP="00DD2F9B">
            <w:pPr>
              <w:pStyle w:val="Tablefont"/>
            </w:pPr>
            <w:r>
              <w:t>—</w:t>
            </w:r>
          </w:p>
        </w:tc>
      </w:tr>
      <w:tr w:rsidR="00AF483F" w:rsidRPr="004C23F4" w14:paraId="67228B15" w14:textId="77777777" w:rsidTr="00812887">
        <w:trPr>
          <w:cantSplit/>
        </w:trPr>
        <w:tc>
          <w:tcPr>
            <w:tcW w:w="3227" w:type="dxa"/>
          </w:tcPr>
          <w:p w14:paraId="54C0B109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7F547BE9" w14:textId="33BD0275" w:rsidR="00AF483F" w:rsidRPr="00DD2F9B" w:rsidRDefault="0042156E" w:rsidP="00DD2F9B">
            <w:pPr>
              <w:pStyle w:val="Tablefont"/>
            </w:pPr>
            <w:r>
              <w:t>NA</w:t>
            </w:r>
          </w:p>
        </w:tc>
      </w:tr>
      <w:tr w:rsidR="00687890" w:rsidRPr="004C23F4" w14:paraId="2EB9E0AD" w14:textId="77777777" w:rsidTr="00812887">
        <w:trPr>
          <w:cantSplit/>
        </w:trPr>
        <w:tc>
          <w:tcPr>
            <w:tcW w:w="3227" w:type="dxa"/>
          </w:tcPr>
          <w:p w14:paraId="333EA522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0551D08A" w14:textId="43742696" w:rsidR="00687890" w:rsidRPr="00DD2F9B" w:rsidRDefault="00F405BA" w:rsidP="00DD2F9B">
            <w:pPr>
              <w:pStyle w:val="Tablefont"/>
            </w:pPr>
            <w:r>
              <w:t>—</w:t>
            </w:r>
          </w:p>
        </w:tc>
      </w:tr>
      <w:tr w:rsidR="00E41A26" w:rsidRPr="004C23F4" w14:paraId="0EC605D3" w14:textId="77777777" w:rsidTr="00812887">
        <w:trPr>
          <w:cantSplit/>
        </w:trPr>
        <w:tc>
          <w:tcPr>
            <w:tcW w:w="3227" w:type="dxa"/>
          </w:tcPr>
          <w:p w14:paraId="2BED1C93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426DF112" w14:textId="75B679CF" w:rsidR="00E41A26" w:rsidRPr="00DD2F9B" w:rsidRDefault="0042156E" w:rsidP="00DD2F9B">
            <w:pPr>
              <w:pStyle w:val="Tablefont"/>
            </w:pPr>
            <w:r>
              <w:t>—</w:t>
            </w:r>
          </w:p>
        </w:tc>
      </w:tr>
      <w:tr w:rsidR="002E0D61" w:rsidRPr="004C23F4" w14:paraId="7E04BD92" w14:textId="77777777" w:rsidTr="00812887">
        <w:trPr>
          <w:cantSplit/>
        </w:trPr>
        <w:tc>
          <w:tcPr>
            <w:tcW w:w="3227" w:type="dxa"/>
          </w:tcPr>
          <w:p w14:paraId="5DDA31AA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16B02193" w14:textId="0C369816" w:rsidR="002E0D61" w:rsidRPr="00DD2F9B" w:rsidRDefault="0042156E" w:rsidP="00DD2F9B">
            <w:pPr>
              <w:pStyle w:val="Tablefont"/>
            </w:pPr>
            <w:r w:rsidRPr="0042156E">
              <w:t>Skin</w:t>
            </w:r>
          </w:p>
        </w:tc>
      </w:tr>
      <w:tr w:rsidR="002E0D61" w:rsidRPr="004C23F4" w14:paraId="110D2A26" w14:textId="77777777" w:rsidTr="00812887">
        <w:trPr>
          <w:cantSplit/>
        </w:trPr>
        <w:tc>
          <w:tcPr>
            <w:tcW w:w="3227" w:type="dxa"/>
          </w:tcPr>
          <w:p w14:paraId="16E97A96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16107961" w14:textId="308DF7E1" w:rsidR="002E0D61" w:rsidRPr="00DD2F9B" w:rsidRDefault="00923C2E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3AFF87B2" w14:textId="77777777" w:rsidTr="00812887">
        <w:trPr>
          <w:cantSplit/>
        </w:trPr>
        <w:tc>
          <w:tcPr>
            <w:tcW w:w="3227" w:type="dxa"/>
          </w:tcPr>
          <w:p w14:paraId="4116B837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1FA5E99A" w14:textId="4B684FA7" w:rsidR="002E0D61" w:rsidRPr="00DD2F9B" w:rsidRDefault="00923C2E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2764C398" w14:textId="77777777" w:rsidTr="00812887">
        <w:trPr>
          <w:cantSplit/>
        </w:trPr>
        <w:tc>
          <w:tcPr>
            <w:tcW w:w="3227" w:type="dxa"/>
          </w:tcPr>
          <w:p w14:paraId="78058DD4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081EF9E0" w14:textId="6A37BE9F" w:rsidR="002E0D61" w:rsidRPr="00DD2F9B" w:rsidRDefault="00923C2E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5FC5E737" w14:textId="77777777" w:rsidTr="00812887">
        <w:trPr>
          <w:cantSplit/>
        </w:trPr>
        <w:tc>
          <w:tcPr>
            <w:tcW w:w="3227" w:type="dxa"/>
          </w:tcPr>
          <w:p w14:paraId="5FB0610E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0C8830D4" w14:textId="43661F0E" w:rsidR="00386093" w:rsidRPr="00DD2F9B" w:rsidRDefault="00923C2E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2275E29E" w14:textId="77777777" w:rsidTr="00812887">
        <w:trPr>
          <w:cantSplit/>
        </w:trPr>
        <w:tc>
          <w:tcPr>
            <w:tcW w:w="3227" w:type="dxa"/>
          </w:tcPr>
          <w:p w14:paraId="46441DA5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3E3215AA" w14:textId="736ECCC5" w:rsidR="00386093" w:rsidRPr="00DD2F9B" w:rsidRDefault="00923C2E" w:rsidP="00D87570">
            <w:pPr>
              <w:pStyle w:val="Tablefont"/>
              <w:keepNext/>
            </w:pPr>
            <w:r>
              <w:t>NA</w:t>
            </w:r>
          </w:p>
        </w:tc>
      </w:tr>
    </w:tbl>
    <w:bookmarkEnd w:id="3"/>
    <w:p w14:paraId="1F83824B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132A483F" w14:textId="77777777" w:rsidR="00474E33" w:rsidRDefault="00474E33" w:rsidP="00474E33">
      <w:pPr>
        <w:pStyle w:val="Heading3"/>
      </w:pPr>
      <w:r>
        <w:lastRenderedPageBreak/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38E0A60D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82259EC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7C1D161D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731" w:type="dxa"/>
              <w:tblLook w:val="04A0" w:firstRow="1" w:lastRow="0" w:firstColumn="1" w:lastColumn="0" w:noHBand="0" w:noVBand="1"/>
            </w:tblPr>
            <w:tblGrid>
              <w:gridCol w:w="4006"/>
              <w:gridCol w:w="726"/>
              <w:gridCol w:w="550"/>
              <w:gridCol w:w="3449"/>
            </w:tblGrid>
            <w:tr w:rsidR="00F60CB0" w:rsidRPr="00F60CB0" w14:paraId="6C67B61E" w14:textId="77777777" w:rsidTr="00F60CB0">
              <w:trPr>
                <w:trHeight w:val="123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A5CFE04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4C89BACA" w14:textId="77777777" w:rsidR="00F60CB0" w:rsidRPr="00F60CB0" w:rsidRDefault="00F60CB0" w:rsidP="00F60C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ACFC155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4.00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F38AD92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F60CB0" w:rsidRPr="00F60CB0" w14:paraId="2FA0E441" w14:textId="77777777" w:rsidTr="00F60CB0">
              <w:trPr>
                <w:trHeight w:val="123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1C2954E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00E6CDA5" w14:textId="77777777" w:rsidR="00F60CB0" w:rsidRPr="00F60CB0" w:rsidRDefault="00F60CB0" w:rsidP="00F60C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16BF388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56A71EA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F60CB0" w:rsidRPr="00F60CB0" w14:paraId="0E4A37EC" w14:textId="77777777" w:rsidTr="00F60CB0">
              <w:trPr>
                <w:trHeight w:val="123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A616353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52C30D9" w14:textId="77777777" w:rsidR="00F60CB0" w:rsidRPr="00F60CB0" w:rsidRDefault="00F60CB0" w:rsidP="00F60C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B5AADC7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C986EE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F60CB0" w:rsidRPr="00F60CB0" w14:paraId="0848AC47" w14:textId="77777777" w:rsidTr="00F60CB0">
              <w:trPr>
                <w:trHeight w:val="123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0501BF2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2C4CEA22" w14:textId="77777777" w:rsidR="00F60CB0" w:rsidRPr="00F60CB0" w:rsidRDefault="00F60CB0" w:rsidP="00F60C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DBEDE50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E63733C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F60CB0" w:rsidRPr="00F60CB0" w14:paraId="0B9416F5" w14:textId="77777777" w:rsidTr="00F60CB0">
              <w:trPr>
                <w:trHeight w:val="123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705CD59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4A3B9F4" w14:textId="77777777" w:rsidR="00F60CB0" w:rsidRPr="00F60CB0" w:rsidRDefault="00F60CB0" w:rsidP="00F60C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821B1AF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FAA83EE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F60CB0" w:rsidRPr="00F60CB0" w14:paraId="0DB09EB8" w14:textId="77777777" w:rsidTr="00F60CB0">
              <w:trPr>
                <w:trHeight w:val="123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B417225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8C4D7AD" w14:textId="77777777" w:rsidR="00F60CB0" w:rsidRPr="00F60CB0" w:rsidRDefault="00F60CB0" w:rsidP="00F60C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292C059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2E9C828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F60CB0" w:rsidRPr="00F60CB0" w14:paraId="11654A03" w14:textId="77777777" w:rsidTr="00F60CB0">
              <w:trPr>
                <w:trHeight w:val="123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BC5B9CE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B76002E" w14:textId="77777777" w:rsidR="00F60CB0" w:rsidRPr="00F60CB0" w:rsidRDefault="00F60CB0" w:rsidP="00F60C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8F1D793" w14:textId="77777777" w:rsidR="00F60CB0" w:rsidRPr="00F60CB0" w:rsidRDefault="00F60CB0" w:rsidP="00F60CB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</w:t>
                  </w:r>
                </w:p>
              </w:tc>
              <w:tc>
                <w:tcPr>
                  <w:tcW w:w="3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0E80DC6" w14:textId="77777777" w:rsidR="00F60CB0" w:rsidRPr="00F60CB0" w:rsidRDefault="00F60CB0" w:rsidP="00F60CB0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F60CB0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warranted</w:t>
                  </w:r>
                </w:p>
              </w:tc>
            </w:tr>
          </w:tbl>
          <w:p w14:paraId="1D4F091B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02E6576A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9"/>
        <w:gridCol w:w="4757"/>
      </w:tblGrid>
      <w:tr w:rsidR="00EB3D1B" w14:paraId="4FE67E1E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59B4412B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7334E949" w14:textId="2C368672" w:rsidR="00EB3D1B" w:rsidRDefault="00923C2E" w:rsidP="00EB3D1B">
                <w:pPr>
                  <w:pStyle w:val="Tablefont"/>
                </w:pPr>
                <w:r>
                  <w:t>No</w:t>
                </w:r>
              </w:p>
            </w:tc>
          </w:sdtContent>
        </w:sdt>
      </w:tr>
    </w:tbl>
    <w:p w14:paraId="5881349E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6588F893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FCC6491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0F3B0058" w14:textId="6187105A" w:rsidR="001B79E5" w:rsidRDefault="00923C2E" w:rsidP="001B79E5">
                <w:pPr>
                  <w:pStyle w:val="Tablefont"/>
                </w:pPr>
                <w:r w:rsidRPr="00923C2E">
                  <w:t>308.4</w:t>
                </w:r>
                <w:r>
                  <w:t>0</w:t>
                </w:r>
              </w:p>
            </w:tc>
          </w:sdtContent>
        </w:sdt>
      </w:tr>
      <w:tr w:rsidR="00A31D99" w:rsidRPr="004C23F4" w14:paraId="34911602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52B4F99D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kPa: </w:t>
            </w:r>
          </w:p>
        </w:tc>
        <w:tc>
          <w:tcPr>
            <w:tcW w:w="5165" w:type="dxa"/>
            <w:vAlign w:val="center"/>
          </w:tcPr>
          <w:p w14:paraId="03D8F08D" w14:textId="09EF7FD2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923C2E">
                  <w:t>12.6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923C2E">
                  <w:t>0.08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661389EF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3D061AD3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2E3FF129" w14:textId="111CD03B" w:rsidR="00687890" w:rsidRPr="004C23F4" w:rsidRDefault="00F405BA" w:rsidP="00717D45">
                <w:pPr>
                  <w:pStyle w:val="Tablefont"/>
                </w:pPr>
                <w:r>
                  <w:sym w:font="Wingdings" w:char="F0FC"/>
                </w:r>
              </w:p>
            </w:tc>
          </w:sdtContent>
        </w:sdt>
      </w:tr>
      <w:tr w:rsidR="00687890" w:rsidRPr="004C23F4" w14:paraId="46865168" w14:textId="77777777" w:rsidTr="00EA6243">
        <w:trPr>
          <w:cantSplit/>
        </w:trPr>
        <w:tc>
          <w:tcPr>
            <w:tcW w:w="4077" w:type="dxa"/>
            <w:vAlign w:val="center"/>
          </w:tcPr>
          <w:p w14:paraId="169F8013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001221D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661231F8" w14:textId="77777777" w:rsidTr="00EA6243">
        <w:trPr>
          <w:cantSplit/>
        </w:trPr>
        <w:tc>
          <w:tcPr>
            <w:tcW w:w="4077" w:type="dxa"/>
            <w:vAlign w:val="center"/>
          </w:tcPr>
          <w:p w14:paraId="29EDD654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24442A29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3855A754" w14:textId="77777777" w:rsidTr="00EA6243">
        <w:trPr>
          <w:cantSplit/>
        </w:trPr>
        <w:tc>
          <w:tcPr>
            <w:tcW w:w="4077" w:type="dxa"/>
            <w:vAlign w:val="center"/>
          </w:tcPr>
          <w:p w14:paraId="6313F772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1008B007" w14:textId="1B08FDE3" w:rsidR="00E06F40" w:rsidRPr="00A006A0" w:rsidRDefault="00DD39D5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405BA">
                  <w:sym w:font="Wingdings" w:char="F0FC"/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4901107D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12596EFB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48E2767C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32E83C2E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36AECDBD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0C03447D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746736D0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6B178F05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01D697F9" w14:textId="69893689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224AFA4A" w14:textId="484D6C20" w:rsidR="00923C2E" w:rsidRDefault="00923C2E" w:rsidP="00923C2E">
      <w:r>
        <w:t xml:space="preserve">European Chemicals Agency (ECHA) (2019) </w:t>
      </w:r>
      <w:r w:rsidRPr="00923C2E">
        <w:t xml:space="preserve">Fensulfothion </w:t>
      </w:r>
      <w:r>
        <w:t>– REACH assessment.</w:t>
      </w:r>
    </w:p>
    <w:p w14:paraId="686D93D2" w14:textId="77777777" w:rsidR="001C39FA" w:rsidRPr="00351FE0" w:rsidRDefault="001C39FA" w:rsidP="001C39FA">
      <w:r w:rsidRPr="00E461B8">
        <w:rPr>
          <w:color w:val="000000"/>
        </w:rPr>
        <w:t>Tenth Adaptation to Technical Progress Commission Regulation (EU Annex) No 2017/776 amending, for the purposes of its adaptation to technical and scientific progress, Regulation (EC) No 1272/2008 of the European Parliament and of the Council on classification, labelling and packaging of substances and mixtures (the CLP Regulation).</w:t>
      </w:r>
    </w:p>
    <w:p w14:paraId="35A72E1F" w14:textId="3FDA05E9" w:rsidR="00F405BA" w:rsidRDefault="00F405BA" w:rsidP="00923C2E">
      <w:r w:rsidRPr="00F405BA">
        <w:t>National Industrial Chemicals Notification and Assessment Scheme (NICNAS) (</w:t>
      </w:r>
      <w:r>
        <w:t>2018</w:t>
      </w:r>
      <w:r w:rsidRPr="00F405BA">
        <w:t xml:space="preserve">) </w:t>
      </w:r>
      <w:proofErr w:type="spellStart"/>
      <w:r w:rsidRPr="00F405BA">
        <w:t>Phosphorothioic</w:t>
      </w:r>
      <w:proofErr w:type="spellEnd"/>
      <w:r w:rsidRPr="00F405BA">
        <w:t xml:space="preserve"> acid, O</w:t>
      </w:r>
      <w:proofErr w:type="gramStart"/>
      <w:r w:rsidRPr="00F405BA">
        <w:t>,O</w:t>
      </w:r>
      <w:proofErr w:type="gramEnd"/>
      <w:r w:rsidRPr="00F405BA">
        <w:t>-diethyl O-[4-(</w:t>
      </w:r>
      <w:proofErr w:type="spellStart"/>
      <w:r w:rsidRPr="00F405BA">
        <w:t>methylsulfinyl</w:t>
      </w:r>
      <w:proofErr w:type="spellEnd"/>
      <w:r w:rsidRPr="00F405BA">
        <w:t>)phenyl] ester: Human health tier I assessment – IMAP report.</w:t>
      </w:r>
    </w:p>
    <w:p w14:paraId="7C5CFEB4" w14:textId="77777777" w:rsidR="001C39FA" w:rsidRPr="00351FE0" w:rsidRDefault="001C39FA"/>
    <w:sectPr w:rsidR="001C39FA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CC17A" w14:textId="77777777" w:rsidR="004729E2" w:rsidRDefault="004729E2" w:rsidP="00F43AD5">
      <w:pPr>
        <w:spacing w:after="0" w:line="240" w:lineRule="auto"/>
      </w:pPr>
      <w:r>
        <w:separator/>
      </w:r>
    </w:p>
  </w:endnote>
  <w:endnote w:type="continuationSeparator" w:id="0">
    <w:p w14:paraId="53A5DEAF" w14:textId="77777777" w:rsidR="004729E2" w:rsidRDefault="004729E2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133CE" w14:textId="77777777" w:rsidR="00255942" w:rsidRDefault="00255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091CC0D" w14:textId="79552A18" w:rsidR="00DB2AFB" w:rsidRDefault="00DB2AFB" w:rsidP="0034744C">
        <w:pPr>
          <w:pStyle w:val="Footer"/>
          <w:rPr>
            <w:sz w:val="18"/>
            <w:szCs w:val="18"/>
          </w:rPr>
        </w:pPr>
        <w:r w:rsidRPr="00BC5C3C">
          <w:rPr>
            <w:b/>
            <w:sz w:val="18"/>
            <w:szCs w:val="18"/>
          </w:rPr>
          <w:t>Fensulfothion</w:t>
        </w:r>
        <w:r>
          <w:rPr>
            <w:b/>
            <w:sz w:val="18"/>
            <w:szCs w:val="18"/>
          </w:rPr>
          <w:t xml:space="preserve"> (</w:t>
        </w:r>
        <w:r w:rsidRPr="00BC5C3C">
          <w:rPr>
            <w:b/>
            <w:sz w:val="18"/>
            <w:szCs w:val="18"/>
          </w:rPr>
          <w:t>115-90-2</w:t>
        </w:r>
        <w:r>
          <w:rPr>
            <w:b/>
            <w:sz w:val="18"/>
            <w:szCs w:val="18"/>
          </w:rPr>
          <w:t>)</w:t>
        </w:r>
        <w:r w:rsidRPr="00F43AD5">
          <w:rPr>
            <w:sz w:val="18"/>
            <w:szCs w:val="18"/>
          </w:rPr>
          <w:br/>
          <w:t xml:space="preserve">Safe Work Australia </w:t>
        </w:r>
        <w:r w:rsidRPr="00F43AD5">
          <w:rPr>
            <w:rFonts w:ascii="Courier New" w:hAnsi="Courier New" w:cs="Courier New"/>
            <w:sz w:val="18"/>
            <w:szCs w:val="18"/>
          </w:rPr>
          <w:t>—</w:t>
        </w:r>
        <w:r w:rsidRPr="00F43AD5">
          <w:rPr>
            <w:sz w:val="18"/>
            <w:szCs w:val="18"/>
          </w:rPr>
          <w:t xml:space="preserve"> 201</w:t>
        </w:r>
        <w:r>
          <w:rPr>
            <w:sz w:val="18"/>
            <w:szCs w:val="18"/>
          </w:rPr>
          <w:t>9</w:t>
        </w:r>
      </w:p>
      <w:p w14:paraId="044DFB99" w14:textId="7FE6C03D" w:rsidR="00DB2AFB" w:rsidRPr="00F43AD5" w:rsidRDefault="00DB2AFB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DD39D5">
          <w:rPr>
            <w:noProof/>
            <w:sz w:val="18"/>
            <w:szCs w:val="18"/>
          </w:rPr>
          <w:t>4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5119" w14:textId="77777777" w:rsidR="00255942" w:rsidRDefault="00255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045E9" w14:textId="77777777" w:rsidR="004729E2" w:rsidRDefault="004729E2" w:rsidP="00F43AD5">
      <w:pPr>
        <w:spacing w:after="0" w:line="240" w:lineRule="auto"/>
      </w:pPr>
      <w:r>
        <w:separator/>
      </w:r>
    </w:p>
  </w:footnote>
  <w:footnote w:type="continuationSeparator" w:id="0">
    <w:p w14:paraId="4B4DE3D3" w14:textId="77777777" w:rsidR="004729E2" w:rsidRDefault="004729E2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283B" w14:textId="48D2A1EC" w:rsidR="00255942" w:rsidRDefault="00DD39D5">
    <w:pPr>
      <w:pStyle w:val="Header"/>
    </w:pPr>
    <w:r>
      <w:rPr>
        <w:noProof/>
      </w:rPr>
      <w:pict w14:anchorId="3AB4E5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82157" o:spid="_x0000_s6146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5A2B" w14:textId="445D1182" w:rsidR="00DB2AFB" w:rsidRDefault="00DD39D5" w:rsidP="00F43AD5">
    <w:pPr>
      <w:pStyle w:val="Header"/>
      <w:jc w:val="right"/>
    </w:pPr>
    <w:r>
      <w:rPr>
        <w:noProof/>
      </w:rPr>
      <w:pict w14:anchorId="65F35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82158" o:spid="_x0000_s6147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DB2AFB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B8383" w14:textId="308D9548" w:rsidR="00255942" w:rsidRDefault="00DD39D5">
    <w:pPr>
      <w:pStyle w:val="Header"/>
    </w:pPr>
    <w:r>
      <w:rPr>
        <w:noProof/>
      </w:rPr>
      <w:pict w14:anchorId="28250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82156" o:spid="_x0000_s6145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C9AE" w14:textId="7F18068B" w:rsidR="00255942" w:rsidRDefault="00DD39D5">
    <w:pPr>
      <w:pStyle w:val="Header"/>
    </w:pPr>
    <w:r>
      <w:rPr>
        <w:noProof/>
      </w:rPr>
      <w:pict w14:anchorId="517135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82160" o:spid="_x0000_s6149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3A03" w14:textId="6326585B" w:rsidR="00DB2AFB" w:rsidRDefault="00DD39D5" w:rsidP="00F43AD5">
    <w:pPr>
      <w:pStyle w:val="Header"/>
      <w:jc w:val="right"/>
    </w:pPr>
    <w:r>
      <w:rPr>
        <w:noProof/>
      </w:rPr>
      <w:pict w14:anchorId="3B1D03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82161" o:spid="_x0000_s6150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145F" w14:textId="09CCF0AF" w:rsidR="00255942" w:rsidRDefault="00DD39D5">
    <w:pPr>
      <w:pStyle w:val="Header"/>
    </w:pPr>
    <w:r>
      <w:rPr>
        <w:noProof/>
      </w:rPr>
      <w:pict w14:anchorId="6276F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82159" o:spid="_x0000_s6148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7FC"/>
    <w:multiLevelType w:val="hybridMultilevel"/>
    <w:tmpl w:val="82FEDAE6"/>
    <w:lvl w:ilvl="0" w:tplc="41585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6B70"/>
    <w:multiLevelType w:val="hybridMultilevel"/>
    <w:tmpl w:val="913C1468"/>
    <w:lvl w:ilvl="0" w:tplc="A7364F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80A5F"/>
    <w:multiLevelType w:val="hybridMultilevel"/>
    <w:tmpl w:val="25663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46DF5"/>
    <w:rsid w:val="00052060"/>
    <w:rsid w:val="0005574A"/>
    <w:rsid w:val="00055FE1"/>
    <w:rsid w:val="00056EC2"/>
    <w:rsid w:val="00060B48"/>
    <w:rsid w:val="000656FA"/>
    <w:rsid w:val="00066E59"/>
    <w:rsid w:val="00067F32"/>
    <w:rsid w:val="00071807"/>
    <w:rsid w:val="000803E1"/>
    <w:rsid w:val="00084513"/>
    <w:rsid w:val="00084859"/>
    <w:rsid w:val="00092D94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10461E"/>
    <w:rsid w:val="00106FAA"/>
    <w:rsid w:val="00113443"/>
    <w:rsid w:val="001269A7"/>
    <w:rsid w:val="00131092"/>
    <w:rsid w:val="00140E6A"/>
    <w:rsid w:val="00146545"/>
    <w:rsid w:val="00146B75"/>
    <w:rsid w:val="0015266D"/>
    <w:rsid w:val="0015288A"/>
    <w:rsid w:val="00160F47"/>
    <w:rsid w:val="00177CA1"/>
    <w:rsid w:val="00183823"/>
    <w:rsid w:val="00183942"/>
    <w:rsid w:val="001A009E"/>
    <w:rsid w:val="001A1287"/>
    <w:rsid w:val="001A3859"/>
    <w:rsid w:val="001A3C9D"/>
    <w:rsid w:val="001A43F8"/>
    <w:rsid w:val="001B79E5"/>
    <w:rsid w:val="001C39FA"/>
    <w:rsid w:val="001D56F0"/>
    <w:rsid w:val="001D663B"/>
    <w:rsid w:val="001D7B41"/>
    <w:rsid w:val="001E46DA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4186"/>
    <w:rsid w:val="00255942"/>
    <w:rsid w:val="0025734A"/>
    <w:rsid w:val="00263255"/>
    <w:rsid w:val="00276494"/>
    <w:rsid w:val="00277B0C"/>
    <w:rsid w:val="00286D54"/>
    <w:rsid w:val="002A25F1"/>
    <w:rsid w:val="002B1A2C"/>
    <w:rsid w:val="002C34F2"/>
    <w:rsid w:val="002C58FF"/>
    <w:rsid w:val="002C7AFE"/>
    <w:rsid w:val="002D05D2"/>
    <w:rsid w:val="002D456C"/>
    <w:rsid w:val="002E0D61"/>
    <w:rsid w:val="002E4C7B"/>
    <w:rsid w:val="0030740C"/>
    <w:rsid w:val="00313635"/>
    <w:rsid w:val="00315833"/>
    <w:rsid w:val="003215EE"/>
    <w:rsid w:val="003224BF"/>
    <w:rsid w:val="003241A8"/>
    <w:rsid w:val="003253F0"/>
    <w:rsid w:val="003337DA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62895"/>
    <w:rsid w:val="00370DBF"/>
    <w:rsid w:val="00386093"/>
    <w:rsid w:val="003904A4"/>
    <w:rsid w:val="00391841"/>
    <w:rsid w:val="00391B6D"/>
    <w:rsid w:val="00394922"/>
    <w:rsid w:val="003A0E32"/>
    <w:rsid w:val="003A2B94"/>
    <w:rsid w:val="003B387D"/>
    <w:rsid w:val="003C0D58"/>
    <w:rsid w:val="003D4FA3"/>
    <w:rsid w:val="003D58DD"/>
    <w:rsid w:val="003E0807"/>
    <w:rsid w:val="003E51FB"/>
    <w:rsid w:val="003E6B39"/>
    <w:rsid w:val="003F07E1"/>
    <w:rsid w:val="003F4A96"/>
    <w:rsid w:val="004030BC"/>
    <w:rsid w:val="00403F7D"/>
    <w:rsid w:val="00406785"/>
    <w:rsid w:val="004079B4"/>
    <w:rsid w:val="0041607C"/>
    <w:rsid w:val="00417A56"/>
    <w:rsid w:val="00420957"/>
    <w:rsid w:val="0042156E"/>
    <w:rsid w:val="00422A10"/>
    <w:rsid w:val="00430179"/>
    <w:rsid w:val="004414B5"/>
    <w:rsid w:val="00444482"/>
    <w:rsid w:val="00444B42"/>
    <w:rsid w:val="00445E44"/>
    <w:rsid w:val="004509E2"/>
    <w:rsid w:val="004515EE"/>
    <w:rsid w:val="004529F0"/>
    <w:rsid w:val="00460A03"/>
    <w:rsid w:val="004729E2"/>
    <w:rsid w:val="00472A11"/>
    <w:rsid w:val="00472AAD"/>
    <w:rsid w:val="00474E33"/>
    <w:rsid w:val="00476803"/>
    <w:rsid w:val="0048476F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27FF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378DB"/>
    <w:rsid w:val="005446A2"/>
    <w:rsid w:val="00544D2F"/>
    <w:rsid w:val="00551BD8"/>
    <w:rsid w:val="00581055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E6979"/>
    <w:rsid w:val="005E75CB"/>
    <w:rsid w:val="006013C1"/>
    <w:rsid w:val="0060669E"/>
    <w:rsid w:val="00610F2E"/>
    <w:rsid w:val="00611399"/>
    <w:rsid w:val="00624C4E"/>
    <w:rsid w:val="00625200"/>
    <w:rsid w:val="006363A8"/>
    <w:rsid w:val="00636DB7"/>
    <w:rsid w:val="00650905"/>
    <w:rsid w:val="006532ED"/>
    <w:rsid w:val="006549F2"/>
    <w:rsid w:val="006567B7"/>
    <w:rsid w:val="00657BFB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B160A"/>
    <w:rsid w:val="006B4E6C"/>
    <w:rsid w:val="006B50B6"/>
    <w:rsid w:val="006D79EA"/>
    <w:rsid w:val="006E5D05"/>
    <w:rsid w:val="00701053"/>
    <w:rsid w:val="00701507"/>
    <w:rsid w:val="00714021"/>
    <w:rsid w:val="00716A0F"/>
    <w:rsid w:val="00717D45"/>
    <w:rsid w:val="007208F7"/>
    <w:rsid w:val="007218AF"/>
    <w:rsid w:val="007365D1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C30EB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10C6D"/>
    <w:rsid w:val="00812887"/>
    <w:rsid w:val="00826F21"/>
    <w:rsid w:val="00834CC8"/>
    <w:rsid w:val="00835E00"/>
    <w:rsid w:val="00837113"/>
    <w:rsid w:val="008414E4"/>
    <w:rsid w:val="00843E21"/>
    <w:rsid w:val="0084508E"/>
    <w:rsid w:val="00857A8A"/>
    <w:rsid w:val="008630EE"/>
    <w:rsid w:val="00864D13"/>
    <w:rsid w:val="00871CD5"/>
    <w:rsid w:val="00873465"/>
    <w:rsid w:val="008745A2"/>
    <w:rsid w:val="008768A8"/>
    <w:rsid w:val="0088798F"/>
    <w:rsid w:val="00887E4B"/>
    <w:rsid w:val="008915C8"/>
    <w:rsid w:val="008A36CF"/>
    <w:rsid w:val="008A3BC4"/>
    <w:rsid w:val="008B403C"/>
    <w:rsid w:val="008B7983"/>
    <w:rsid w:val="008C2511"/>
    <w:rsid w:val="008D026D"/>
    <w:rsid w:val="008D23AB"/>
    <w:rsid w:val="008D4B8B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23C2E"/>
    <w:rsid w:val="00925E98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1124"/>
    <w:rsid w:val="009621B6"/>
    <w:rsid w:val="00974F2D"/>
    <w:rsid w:val="00977524"/>
    <w:rsid w:val="00977E88"/>
    <w:rsid w:val="00984920"/>
    <w:rsid w:val="0099303A"/>
    <w:rsid w:val="009971C2"/>
    <w:rsid w:val="009A1254"/>
    <w:rsid w:val="009B2FF2"/>
    <w:rsid w:val="009B380C"/>
    <w:rsid w:val="009B4843"/>
    <w:rsid w:val="009B59DD"/>
    <w:rsid w:val="009B6543"/>
    <w:rsid w:val="009C199D"/>
    <w:rsid w:val="009C278F"/>
    <w:rsid w:val="009C2B94"/>
    <w:rsid w:val="009C5874"/>
    <w:rsid w:val="009D3B5A"/>
    <w:rsid w:val="009D6974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73D"/>
    <w:rsid w:val="00A20751"/>
    <w:rsid w:val="00A27E2D"/>
    <w:rsid w:val="00A31D99"/>
    <w:rsid w:val="00A357BA"/>
    <w:rsid w:val="00A35ADC"/>
    <w:rsid w:val="00A402A3"/>
    <w:rsid w:val="00A53681"/>
    <w:rsid w:val="00A633D4"/>
    <w:rsid w:val="00A6461A"/>
    <w:rsid w:val="00A84504"/>
    <w:rsid w:val="00A8672F"/>
    <w:rsid w:val="00A93057"/>
    <w:rsid w:val="00A968B0"/>
    <w:rsid w:val="00AB2672"/>
    <w:rsid w:val="00AB2817"/>
    <w:rsid w:val="00AB43C4"/>
    <w:rsid w:val="00AB6F5D"/>
    <w:rsid w:val="00AC32E7"/>
    <w:rsid w:val="00AC3A9F"/>
    <w:rsid w:val="00AC6D2F"/>
    <w:rsid w:val="00AD59F9"/>
    <w:rsid w:val="00AE2745"/>
    <w:rsid w:val="00AE2F64"/>
    <w:rsid w:val="00AF42CB"/>
    <w:rsid w:val="00AF483F"/>
    <w:rsid w:val="00AF5E07"/>
    <w:rsid w:val="00AF5F06"/>
    <w:rsid w:val="00B00A25"/>
    <w:rsid w:val="00B05F31"/>
    <w:rsid w:val="00B1422A"/>
    <w:rsid w:val="00B1765C"/>
    <w:rsid w:val="00B213C4"/>
    <w:rsid w:val="00B40C60"/>
    <w:rsid w:val="00B479A9"/>
    <w:rsid w:val="00B52EDF"/>
    <w:rsid w:val="00B71188"/>
    <w:rsid w:val="00B76A41"/>
    <w:rsid w:val="00B87D4C"/>
    <w:rsid w:val="00B93646"/>
    <w:rsid w:val="00BA0B38"/>
    <w:rsid w:val="00BA1DBB"/>
    <w:rsid w:val="00BA40CF"/>
    <w:rsid w:val="00BA4510"/>
    <w:rsid w:val="00BA529A"/>
    <w:rsid w:val="00BB612A"/>
    <w:rsid w:val="00BC5C3C"/>
    <w:rsid w:val="00BD499F"/>
    <w:rsid w:val="00BD56DE"/>
    <w:rsid w:val="00BF2406"/>
    <w:rsid w:val="00C06E43"/>
    <w:rsid w:val="00C16315"/>
    <w:rsid w:val="00C3091E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50A0"/>
    <w:rsid w:val="00C85A86"/>
    <w:rsid w:val="00C978F0"/>
    <w:rsid w:val="00CA58FE"/>
    <w:rsid w:val="00CB1CB1"/>
    <w:rsid w:val="00CB6BC1"/>
    <w:rsid w:val="00CB6CB8"/>
    <w:rsid w:val="00CC1A68"/>
    <w:rsid w:val="00CC2123"/>
    <w:rsid w:val="00CD2BFD"/>
    <w:rsid w:val="00CE5AD6"/>
    <w:rsid w:val="00CE617F"/>
    <w:rsid w:val="00CE78EF"/>
    <w:rsid w:val="00D048F7"/>
    <w:rsid w:val="00D0517E"/>
    <w:rsid w:val="00D140FC"/>
    <w:rsid w:val="00D21D8C"/>
    <w:rsid w:val="00D31357"/>
    <w:rsid w:val="00D33220"/>
    <w:rsid w:val="00D334D1"/>
    <w:rsid w:val="00D44C89"/>
    <w:rsid w:val="00D516CD"/>
    <w:rsid w:val="00D668E6"/>
    <w:rsid w:val="00D70670"/>
    <w:rsid w:val="00D74D80"/>
    <w:rsid w:val="00D76624"/>
    <w:rsid w:val="00D87570"/>
    <w:rsid w:val="00D91CB9"/>
    <w:rsid w:val="00D93391"/>
    <w:rsid w:val="00D97989"/>
    <w:rsid w:val="00D97D8D"/>
    <w:rsid w:val="00DA0C62"/>
    <w:rsid w:val="00DA352E"/>
    <w:rsid w:val="00DA4666"/>
    <w:rsid w:val="00DA47AA"/>
    <w:rsid w:val="00DB2AFB"/>
    <w:rsid w:val="00DC7694"/>
    <w:rsid w:val="00DD1BF6"/>
    <w:rsid w:val="00DD2F9B"/>
    <w:rsid w:val="00DD39D5"/>
    <w:rsid w:val="00DE2513"/>
    <w:rsid w:val="00DE26E8"/>
    <w:rsid w:val="00DF6F36"/>
    <w:rsid w:val="00E0084C"/>
    <w:rsid w:val="00E025AB"/>
    <w:rsid w:val="00E02B23"/>
    <w:rsid w:val="00E06F40"/>
    <w:rsid w:val="00E07CE8"/>
    <w:rsid w:val="00E121EF"/>
    <w:rsid w:val="00E26A07"/>
    <w:rsid w:val="00E32595"/>
    <w:rsid w:val="00E37CFD"/>
    <w:rsid w:val="00E41A26"/>
    <w:rsid w:val="00E46BCB"/>
    <w:rsid w:val="00E51CAF"/>
    <w:rsid w:val="00E602E9"/>
    <w:rsid w:val="00E60F04"/>
    <w:rsid w:val="00E62AAC"/>
    <w:rsid w:val="00E67C2F"/>
    <w:rsid w:val="00E67EF5"/>
    <w:rsid w:val="00E804EA"/>
    <w:rsid w:val="00E80A71"/>
    <w:rsid w:val="00E82337"/>
    <w:rsid w:val="00E92499"/>
    <w:rsid w:val="00E949AF"/>
    <w:rsid w:val="00E96077"/>
    <w:rsid w:val="00EA0A06"/>
    <w:rsid w:val="00EA6243"/>
    <w:rsid w:val="00EA74AB"/>
    <w:rsid w:val="00EB3D1B"/>
    <w:rsid w:val="00ED1D89"/>
    <w:rsid w:val="00ED66BC"/>
    <w:rsid w:val="00EE1BC6"/>
    <w:rsid w:val="00EF233A"/>
    <w:rsid w:val="00EF303E"/>
    <w:rsid w:val="00EF3A40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26519"/>
    <w:rsid w:val="00F405BA"/>
    <w:rsid w:val="00F43AD5"/>
    <w:rsid w:val="00F4402E"/>
    <w:rsid w:val="00F56DD0"/>
    <w:rsid w:val="00F60CB0"/>
    <w:rsid w:val="00F6491C"/>
    <w:rsid w:val="00F67BBB"/>
    <w:rsid w:val="00F87D92"/>
    <w:rsid w:val="00F90AA7"/>
    <w:rsid w:val="00F92498"/>
    <w:rsid w:val="00F9496B"/>
    <w:rsid w:val="00F970C9"/>
    <w:rsid w:val="00FA06A8"/>
    <w:rsid w:val="00FA3DF5"/>
    <w:rsid w:val="00FA741F"/>
    <w:rsid w:val="00FB4E07"/>
    <w:rsid w:val="00FB755A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."/>
  <w:listSeparator w:val=","/>
  <w14:docId w14:val="090CACBD"/>
  <w15:docId w15:val="{17D0BA17-3D0C-497E-8DB9-33D804C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3D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8D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8D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F67B925D9EA44900910AAD7FA827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5A00-06D5-465C-8435-6CDFD93EA143}"/>
      </w:docPartPr>
      <w:docPartBody>
        <w:p w:rsidR="00864475" w:rsidRDefault="00394C9E" w:rsidP="00394C9E">
          <w:pPr>
            <w:pStyle w:val="F67B925D9EA44900910AAD7FA8275461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04599E"/>
    <w:rsid w:val="00394C9E"/>
    <w:rsid w:val="005C0836"/>
    <w:rsid w:val="00864475"/>
    <w:rsid w:val="00D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475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F67B925D9EA44900910AAD7FA8275461">
    <w:name w:val="F67B925D9EA44900910AAD7FA8275461"/>
    <w:rsid w:val="00394C9E"/>
  </w:style>
  <w:style w:type="paragraph" w:customStyle="1" w:styleId="114E74F2BBD74ED0B928B03E82AD79AB">
    <w:name w:val="114E74F2BBD74ED0B928B03E82AD79AB"/>
    <w:rsid w:val="00864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CEA3-BFD8-440A-ADA9-E13F4206F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CD600-6411-4068-834B-23583BEF8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FD3B4-E5FF-44D0-A85D-1656AEB7AF7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54d604-3e62-4e70-ba33-9e9084b96a66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17665E-F304-4171-8E6A-BC252B44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453BA7A6.dotm</Template>
  <TotalTime>125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HEARD,Jonathan</dc:creator>
  <cp:lastModifiedBy>ZAFAR,Anjum</cp:lastModifiedBy>
  <cp:revision>14</cp:revision>
  <cp:lastPrinted>2018-10-22T22:41:00Z</cp:lastPrinted>
  <dcterms:created xsi:type="dcterms:W3CDTF">2019-09-30T06:49:00Z</dcterms:created>
  <dcterms:modified xsi:type="dcterms:W3CDTF">2019-12-03T04:34:00Z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