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3316EA8CFD9E447C978E2200F005A8CC"/>
        </w:placeholder>
        <w:text/>
      </w:sdtPr>
      <w:sdtEndPr/>
      <w:sdtContent>
        <w:p w14:paraId="4A94505E" w14:textId="77777777" w:rsidR="00BD499F" w:rsidRPr="004C23F4" w:rsidRDefault="008A2826" w:rsidP="00B40C60">
          <w:pPr>
            <w:pStyle w:val="Heading1"/>
            <w:jc w:val="center"/>
            <w:rPr>
              <w:rFonts w:ascii="Arial" w:hAnsi="Arial" w:cs="Arial"/>
            </w:rPr>
          </w:pPr>
          <w:r w:rsidDel="0023749B">
            <w:rPr>
              <w:rFonts w:ascii="Arial" w:hAnsi="Arial" w:cs="Arial"/>
            </w:rPr>
            <w:t>Formaldehyde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9"/>
        <w:gridCol w:w="5037"/>
      </w:tblGrid>
      <w:tr w:rsidR="00F43AD5" w:rsidRPr="004C23F4" w14:paraId="7414BC2E" w14:textId="77777777" w:rsidTr="00B76A41">
        <w:trPr>
          <w:cantSplit/>
          <w:tblHeader/>
        </w:trPr>
        <w:tc>
          <w:tcPr>
            <w:tcW w:w="4077" w:type="dxa"/>
          </w:tcPr>
          <w:p w14:paraId="36DC12B8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33C6FE40" w14:textId="77777777" w:rsidR="00F43AD5" w:rsidRPr="00717D45" w:rsidRDefault="008A2826" w:rsidP="00B76A41">
            <w:pPr>
              <w:pStyle w:val="Tablefont"/>
            </w:pPr>
            <w:r>
              <w:t>50-00-0</w:t>
            </w:r>
          </w:p>
        </w:tc>
      </w:tr>
      <w:tr w:rsidR="00F43AD5" w:rsidRPr="004C23F4" w14:paraId="25DED495" w14:textId="77777777" w:rsidTr="00B76A41">
        <w:trPr>
          <w:cantSplit/>
        </w:trPr>
        <w:tc>
          <w:tcPr>
            <w:tcW w:w="4077" w:type="dxa"/>
          </w:tcPr>
          <w:p w14:paraId="5A84363B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1D2169A6" w14:textId="77777777" w:rsidR="00F43AD5" w:rsidRPr="00717D45" w:rsidRDefault="00AA402D" w:rsidP="00B76A41">
            <w:pPr>
              <w:pStyle w:val="Tablefont"/>
            </w:pPr>
            <w:r>
              <w:t xml:space="preserve">Methanal; </w:t>
            </w:r>
            <w:r w:rsidR="00492857">
              <w:t>methyl aldehyde</w:t>
            </w:r>
          </w:p>
        </w:tc>
      </w:tr>
      <w:tr w:rsidR="00F43AD5" w:rsidRPr="004C23F4" w14:paraId="085352BD" w14:textId="77777777" w:rsidTr="00B76A41">
        <w:trPr>
          <w:cantSplit/>
        </w:trPr>
        <w:tc>
          <w:tcPr>
            <w:tcW w:w="4077" w:type="dxa"/>
          </w:tcPr>
          <w:p w14:paraId="708E1258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1562BF58" w14:textId="77777777" w:rsidR="00F43AD5" w:rsidRPr="00717D45" w:rsidRDefault="00AA402D" w:rsidP="004F4ACC">
            <w:pPr>
              <w:pStyle w:val="Tablefont"/>
            </w:pPr>
            <w:r>
              <w:t>H</w:t>
            </w:r>
            <w:r w:rsidRPr="00AA402D">
              <w:rPr>
                <w:vertAlign w:val="subscript"/>
              </w:rPr>
              <w:t>2</w:t>
            </w:r>
            <w:r>
              <w:t>CO</w:t>
            </w:r>
          </w:p>
        </w:tc>
      </w:tr>
      <w:tr w:rsidR="00F43AD5" w:rsidRPr="004C23F4" w14:paraId="13B00D29" w14:textId="77777777" w:rsidTr="00B76A41">
        <w:trPr>
          <w:cantSplit/>
        </w:trPr>
        <w:tc>
          <w:tcPr>
            <w:tcW w:w="4077" w:type="dxa"/>
          </w:tcPr>
          <w:p w14:paraId="7F99BFDF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4862DC73" w14:textId="77777777" w:rsidR="00F43AD5" w:rsidRPr="00B40C60" w:rsidRDefault="00AA402D" w:rsidP="00B76A41">
            <w:pPr>
              <w:pStyle w:val="Tablerowheading"/>
              <w:rPr>
                <w:b w:val="0"/>
              </w:rPr>
            </w:pPr>
            <w:r>
              <w:rPr>
                <w:b w:val="0"/>
              </w:rPr>
              <w:t>HCOH</w:t>
            </w:r>
          </w:p>
        </w:tc>
      </w:tr>
    </w:tbl>
    <w:p w14:paraId="63F58827" w14:textId="67CE65B3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56F63A9E9E5845ABA22E7A5A9A27E608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DE754F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532DC184" w14:textId="77777777" w:rsidTr="0093419A">
        <w:trPr>
          <w:cantSplit/>
          <w:tblHeader/>
        </w:trPr>
        <w:tc>
          <w:tcPr>
            <w:tcW w:w="4077" w:type="dxa"/>
            <w:vAlign w:val="center"/>
          </w:tcPr>
          <w:p w14:paraId="5D752B17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165" w:type="dxa"/>
          </w:tcPr>
          <w:p w14:paraId="7302F2E9" w14:textId="77777777" w:rsidR="002C7AFE" w:rsidRPr="00944E00" w:rsidRDefault="00944E00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0.1 ppm (0.12 mg/m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7A948169" w14:textId="77777777" w:rsidTr="00921DE7">
        <w:trPr>
          <w:cantSplit/>
        </w:trPr>
        <w:tc>
          <w:tcPr>
            <w:tcW w:w="4077" w:type="dxa"/>
            <w:vAlign w:val="center"/>
          </w:tcPr>
          <w:p w14:paraId="1D65BBF3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165" w:type="dxa"/>
          </w:tcPr>
          <w:p w14:paraId="62E80855" w14:textId="77777777" w:rsidR="002C7AFE" w:rsidRPr="007C5B16" w:rsidRDefault="007C5B16" w:rsidP="00017C82">
            <w:pPr>
              <w:pStyle w:val="Tablefont"/>
              <w:rPr>
                <w:b/>
              </w:rPr>
            </w:pPr>
            <w:r w:rsidRPr="007C5B16">
              <w:rPr>
                <w:b/>
              </w:rPr>
              <w:t>0.3 ppm (0.37 mg/m</w:t>
            </w:r>
            <w:r w:rsidRPr="007C5B16">
              <w:rPr>
                <w:b/>
                <w:vertAlign w:val="superscript"/>
              </w:rPr>
              <w:t>3</w:t>
            </w:r>
            <w:r w:rsidRPr="007C5B16">
              <w:rPr>
                <w:b/>
              </w:rPr>
              <w:t>)</w:t>
            </w:r>
          </w:p>
        </w:tc>
      </w:tr>
      <w:tr w:rsidR="002C7AFE" w:rsidRPr="004C23F4" w14:paraId="467C7C3C" w14:textId="77777777" w:rsidTr="00921DE7">
        <w:trPr>
          <w:cantSplit/>
        </w:trPr>
        <w:tc>
          <w:tcPr>
            <w:tcW w:w="4077" w:type="dxa"/>
            <w:vAlign w:val="center"/>
          </w:tcPr>
          <w:p w14:paraId="2E35A5DC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165" w:type="dxa"/>
          </w:tcPr>
          <w:p w14:paraId="5B28C78E" w14:textId="6CB011E6" w:rsidR="002C7AFE" w:rsidRPr="00EB3D1B" w:rsidRDefault="00AB0F6B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1D0D9C84" w14:textId="77777777" w:rsidTr="00A2073D">
        <w:trPr>
          <w:cantSplit/>
        </w:trPr>
        <w:tc>
          <w:tcPr>
            <w:tcW w:w="4077" w:type="dxa"/>
          </w:tcPr>
          <w:p w14:paraId="30B6E7FC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sdt>
          <w:sdtPr>
            <w:rPr>
              <w:b/>
            </w:rPr>
            <w:alias w:val="Notations"/>
            <w:tag w:val="Notations"/>
            <w:id w:val="-1619137395"/>
            <w:placeholder>
              <w:docPart w:val="84992ACB0DCE48A499A8642A0EDA3C11"/>
            </w:placeholder>
          </w:sdtPr>
          <w:sdtEndPr/>
          <w:sdtContent>
            <w:tc>
              <w:tcPr>
                <w:tcW w:w="5165" w:type="dxa"/>
              </w:tcPr>
              <w:p w14:paraId="73EE6E62" w14:textId="77777777" w:rsidR="002C7AFE" w:rsidRPr="00EB3D1B" w:rsidRDefault="007C5B16" w:rsidP="00017C82">
                <w:pPr>
                  <w:pStyle w:val="Tablefont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Carc</w:t>
                </w:r>
                <w:proofErr w:type="spellEnd"/>
                <w:r>
                  <w:rPr>
                    <w:b/>
                  </w:rPr>
                  <w:t xml:space="preserve">. </w:t>
                </w:r>
                <w:r w:rsidR="0024369A">
                  <w:rPr>
                    <w:b/>
                  </w:rPr>
                  <w:t>1A</w:t>
                </w:r>
                <w:r>
                  <w:rPr>
                    <w:b/>
                  </w:rPr>
                  <w:t>; DSEN</w:t>
                </w:r>
              </w:p>
            </w:tc>
          </w:sdtContent>
        </w:sdt>
      </w:tr>
      <w:tr w:rsidR="002C7AFE" w:rsidRPr="004C23F4" w14:paraId="3713F95F" w14:textId="77777777" w:rsidTr="00921DE7">
        <w:trPr>
          <w:cantSplit/>
        </w:trPr>
        <w:tc>
          <w:tcPr>
            <w:tcW w:w="4077" w:type="dxa"/>
            <w:vAlign w:val="center"/>
          </w:tcPr>
          <w:p w14:paraId="2E3A319F" w14:textId="77777777" w:rsidR="002C7AFE" w:rsidRPr="002C58FF" w:rsidRDefault="00921DE7" w:rsidP="00921DE7">
            <w:pPr>
              <w:pStyle w:val="Tablerowright"/>
            </w:pPr>
            <w:r>
              <w:t>IDLH:</w:t>
            </w:r>
          </w:p>
        </w:tc>
        <w:tc>
          <w:tcPr>
            <w:tcW w:w="5165" w:type="dxa"/>
          </w:tcPr>
          <w:p w14:paraId="098E670C" w14:textId="77777777" w:rsidR="002C7AFE" w:rsidRPr="00EB3D1B" w:rsidRDefault="00B17B9A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20 ppm</w:t>
            </w:r>
          </w:p>
        </w:tc>
      </w:tr>
    </w:tbl>
    <w:p w14:paraId="14528C54" w14:textId="77777777" w:rsidR="00CB6573" w:rsidRPr="003365A5" w:rsidRDefault="00CB6573" w:rsidP="00CB6573">
      <w:pPr>
        <w:pStyle w:val="Heading2"/>
      </w:pPr>
      <w:r>
        <w:t>Recommendation and basis for workplace exposure standard</w:t>
      </w:r>
    </w:p>
    <w:p w14:paraId="3DDE2BB0" w14:textId="72A6870E" w:rsidR="00C02F3D" w:rsidRDefault="003E27A9" w:rsidP="003E2ED5">
      <w:pPr>
        <w:pStyle w:val="Heading2"/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</w:pP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A TWA of 0.1 ppm (0.12 mg/m</w:t>
      </w:r>
      <w:r>
        <w:rPr>
          <w:rFonts w:eastAsiaTheme="minorHAnsi"/>
          <w:b w:val="0"/>
          <w:bCs w:val="0"/>
          <w:iCs w:val="0"/>
          <w:color w:val="auto"/>
          <w:sz w:val="20"/>
          <w:szCs w:val="22"/>
          <w:vertAlign w:val="superscript"/>
          <w:lang w:eastAsia="en-US"/>
        </w:rPr>
        <w:t>3</w:t>
      </w: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)</w:t>
      </w:r>
      <w:r w:rsidRPr="00A31F90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 is recommended to protect </w:t>
      </w:r>
      <w:r w:rsidR="0079010D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for </w:t>
      </w: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irritation of the eyes and upper respiratory tract and subsequently nasal cancer in </w:t>
      </w:r>
      <w:r w:rsidR="00AB0F6B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exposed </w:t>
      </w: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workers</w:t>
      </w:r>
      <w:r w:rsidR="00AB0F6B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.</w:t>
      </w:r>
      <w:r w:rsidR="003E2ED5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 </w:t>
      </w:r>
    </w:p>
    <w:p w14:paraId="0F3EC91F" w14:textId="77777777" w:rsidR="003E27A9" w:rsidRDefault="003E2ED5" w:rsidP="003E2ED5">
      <w:pPr>
        <w:pStyle w:val="Heading2"/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</w:pP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A STEL of 0.3 ppm (0.37 mg/m</w:t>
      </w:r>
      <w:r w:rsidRPr="00A10BD5">
        <w:rPr>
          <w:rFonts w:eastAsiaTheme="minorHAnsi"/>
          <w:b w:val="0"/>
          <w:bCs w:val="0"/>
          <w:iCs w:val="0"/>
          <w:color w:val="auto"/>
          <w:sz w:val="20"/>
          <w:szCs w:val="22"/>
          <w:vertAlign w:val="superscript"/>
          <w:lang w:eastAsia="en-US"/>
        </w:rPr>
        <w:t>3</w:t>
      </w:r>
      <w:r w:rsidR="00041F64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)</w:t>
      </w:r>
      <w:r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 xml:space="preserve"> is recommended to avoid significant sensory irritation and subsequent nasal </w:t>
      </w:r>
      <w:r w:rsidR="00213784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pathologies</w:t>
      </w:r>
      <w:r w:rsidR="00041F64">
        <w:rPr>
          <w:rFonts w:eastAsiaTheme="minorHAnsi"/>
          <w:b w:val="0"/>
          <w:bCs w:val="0"/>
          <w:iCs w:val="0"/>
          <w:color w:val="auto"/>
          <w:sz w:val="20"/>
          <w:szCs w:val="22"/>
          <w:lang w:eastAsia="en-US"/>
        </w:rPr>
        <w:t>.</w:t>
      </w:r>
    </w:p>
    <w:p w14:paraId="76B656FE" w14:textId="77777777" w:rsidR="00CB6573" w:rsidRDefault="00CB6573" w:rsidP="00CB6573">
      <w:pPr>
        <w:pStyle w:val="Heading2"/>
      </w:pPr>
      <w:r>
        <w:t xml:space="preserve">Discussion and conclusions </w:t>
      </w:r>
    </w:p>
    <w:p w14:paraId="4C3438F9" w14:textId="5064FD09" w:rsidR="006639B4" w:rsidRDefault="003E27A9" w:rsidP="006639B4">
      <w:r>
        <w:rPr>
          <w:rFonts w:cs="Arial"/>
        </w:rPr>
        <w:t xml:space="preserve">Effects from </w:t>
      </w:r>
      <w:r w:rsidR="00495730">
        <w:rPr>
          <w:rFonts w:cs="Arial"/>
        </w:rPr>
        <w:t xml:space="preserve">inhalation </w:t>
      </w:r>
      <w:r>
        <w:rPr>
          <w:rFonts w:cs="Arial"/>
        </w:rPr>
        <w:t xml:space="preserve">exposure to formaldehyde are </w:t>
      </w:r>
      <w:r w:rsidR="004375E7">
        <w:rPr>
          <w:rFonts w:cs="Arial"/>
        </w:rPr>
        <w:t>primarily</w:t>
      </w:r>
      <w:r>
        <w:rPr>
          <w:rFonts w:cs="Arial"/>
        </w:rPr>
        <w:t xml:space="preserve"> local</w:t>
      </w:r>
      <w:r w:rsidR="004375E7">
        <w:rPr>
          <w:rFonts w:cs="Arial"/>
        </w:rPr>
        <w:t xml:space="preserve">ised, manifesting </w:t>
      </w:r>
      <w:r w:rsidR="000D3A3F">
        <w:rPr>
          <w:rFonts w:cs="Arial"/>
        </w:rPr>
        <w:t>as</w:t>
      </w:r>
      <w:r>
        <w:rPr>
          <w:rFonts w:cs="Arial"/>
        </w:rPr>
        <w:t xml:space="preserve"> </w:t>
      </w:r>
      <w:r w:rsidR="004375E7">
        <w:rPr>
          <w:rFonts w:cs="Arial"/>
        </w:rPr>
        <w:t xml:space="preserve">sensory </w:t>
      </w:r>
      <w:r>
        <w:rPr>
          <w:rFonts w:cs="Arial"/>
        </w:rPr>
        <w:t xml:space="preserve">irritation and cellular changes </w:t>
      </w:r>
      <w:r w:rsidR="00495730">
        <w:rPr>
          <w:rFonts w:cs="Arial"/>
        </w:rPr>
        <w:t>that may lead</w:t>
      </w:r>
      <w:r>
        <w:rPr>
          <w:rFonts w:cs="Arial"/>
        </w:rPr>
        <w:t xml:space="preserve"> to cancer. </w:t>
      </w:r>
      <w:r w:rsidR="00495730">
        <w:rPr>
          <w:rFonts w:cs="Arial"/>
        </w:rPr>
        <w:t>The</w:t>
      </w:r>
      <w:r>
        <w:rPr>
          <w:rFonts w:cs="Arial"/>
        </w:rPr>
        <w:t xml:space="preserve"> </w:t>
      </w:r>
      <w:r w:rsidR="00BA54B9">
        <w:rPr>
          <w:rFonts w:cs="Arial"/>
        </w:rPr>
        <w:t xml:space="preserve">LOAEL </w:t>
      </w:r>
      <w:r w:rsidR="00DD361A">
        <w:rPr>
          <w:rFonts w:cs="Arial"/>
        </w:rPr>
        <w:t>for irritation</w:t>
      </w:r>
      <w:r w:rsidR="001F7EB9">
        <w:rPr>
          <w:rFonts w:cs="Arial"/>
        </w:rPr>
        <w:t xml:space="preserve"> following inhalation identified</w:t>
      </w:r>
      <w:r w:rsidR="00DD361A">
        <w:rPr>
          <w:rFonts w:cs="Arial"/>
        </w:rPr>
        <w:t xml:space="preserve"> in humans </w:t>
      </w:r>
      <w:r w:rsidR="00495730">
        <w:rPr>
          <w:rFonts w:cs="Arial"/>
        </w:rPr>
        <w:t>are</w:t>
      </w:r>
      <w:r w:rsidR="00DD361A">
        <w:rPr>
          <w:rFonts w:cs="Arial"/>
        </w:rPr>
        <w:t xml:space="preserve"> reported at 0.25 and 0.3 ppm</w:t>
      </w:r>
      <w:r w:rsidR="000A6A72">
        <w:rPr>
          <w:rFonts w:cs="Arial"/>
        </w:rPr>
        <w:t xml:space="preserve"> </w:t>
      </w:r>
      <w:r w:rsidR="00DD361A">
        <w:rPr>
          <w:rFonts w:cs="Arial"/>
        </w:rPr>
        <w:t>(ACGIH</w:t>
      </w:r>
      <w:r w:rsidR="005F29E2">
        <w:rPr>
          <w:rFonts w:cs="Arial"/>
        </w:rPr>
        <w:t>, 2018; HCOTN, 2003)</w:t>
      </w:r>
      <w:r w:rsidR="000D3A3F">
        <w:rPr>
          <w:rFonts w:cs="Arial"/>
        </w:rPr>
        <w:t>. Evidence in humans</w:t>
      </w:r>
      <w:r w:rsidR="000470B3">
        <w:rPr>
          <w:rFonts w:cs="Arial"/>
        </w:rPr>
        <w:t xml:space="preserve"> </w:t>
      </w:r>
      <w:r w:rsidR="001F7EB9">
        <w:rPr>
          <w:rFonts w:cs="Arial"/>
        </w:rPr>
        <w:t>suggests</w:t>
      </w:r>
      <w:r w:rsidR="000D3A3F">
        <w:rPr>
          <w:rFonts w:cs="Arial"/>
        </w:rPr>
        <w:t xml:space="preserve"> that the prevention of irritation effects will protect against </w:t>
      </w:r>
      <w:r w:rsidR="007C1044">
        <w:rPr>
          <w:rFonts w:cs="Arial"/>
        </w:rPr>
        <w:t xml:space="preserve">nasal cancers with </w:t>
      </w:r>
      <w:r w:rsidR="000470B3">
        <w:rPr>
          <w:rFonts w:cs="Arial"/>
        </w:rPr>
        <w:t>results of a 40 y</w:t>
      </w:r>
      <w:r w:rsidR="00AB0F6B">
        <w:rPr>
          <w:rFonts w:cs="Arial"/>
        </w:rPr>
        <w:t>ear</w:t>
      </w:r>
      <w:r w:rsidR="000470B3">
        <w:rPr>
          <w:rFonts w:cs="Arial"/>
        </w:rPr>
        <w:t xml:space="preserve"> study</w:t>
      </w:r>
      <w:r w:rsidR="007C1044">
        <w:rPr>
          <w:rFonts w:cs="Arial"/>
        </w:rPr>
        <w:t xml:space="preserve"> indicating that exposure to 0.3 ppm </w:t>
      </w:r>
      <w:r w:rsidR="007C1044" w:rsidRPr="00DE754F">
        <w:rPr>
          <w:rFonts w:cs="Arial"/>
        </w:rPr>
        <w:t>formaldehyde</w:t>
      </w:r>
      <w:r w:rsidR="007C1044">
        <w:rPr>
          <w:rFonts w:cs="Arial"/>
        </w:rPr>
        <w:t xml:space="preserve"> for 40 </w:t>
      </w:r>
      <w:r w:rsidR="00B06F1C">
        <w:rPr>
          <w:rFonts w:cs="Arial"/>
        </w:rPr>
        <w:t>y</w:t>
      </w:r>
      <w:r w:rsidR="00AB0F6B">
        <w:rPr>
          <w:rFonts w:cs="Arial"/>
        </w:rPr>
        <w:t>ea</w:t>
      </w:r>
      <w:r w:rsidR="00B06F1C">
        <w:rPr>
          <w:rFonts w:cs="Arial"/>
        </w:rPr>
        <w:t>r</w:t>
      </w:r>
      <w:r w:rsidR="00AB0F6B">
        <w:rPr>
          <w:rFonts w:cs="Arial"/>
        </w:rPr>
        <w:t>s</w:t>
      </w:r>
      <w:r w:rsidR="00B06F1C">
        <w:rPr>
          <w:rFonts w:cs="Arial"/>
        </w:rPr>
        <w:t xml:space="preserve"> </w:t>
      </w:r>
      <w:r w:rsidR="007C1044">
        <w:rPr>
          <w:rFonts w:cs="Arial"/>
        </w:rPr>
        <w:t xml:space="preserve">produces very low additional cancer risks (DFG, 2000). This is supported by evidence in animals with a NOAEL for nasal cancer in rats reported at 2 ppm and </w:t>
      </w:r>
      <w:r w:rsidR="007C1044">
        <w:t>1 ppm</w:t>
      </w:r>
      <w:r w:rsidR="00033F47">
        <w:t xml:space="preserve"> </w:t>
      </w:r>
      <w:r w:rsidR="001F7EB9">
        <w:rPr>
          <w:rFonts w:cs="Arial"/>
        </w:rPr>
        <w:t xml:space="preserve">for nasal effects </w:t>
      </w:r>
      <w:r w:rsidR="001F7EB9">
        <w:t>in rats and monkeys</w:t>
      </w:r>
      <w:r w:rsidR="00B06F1C">
        <w:t>, respectively</w:t>
      </w:r>
      <w:r w:rsidR="001F7EB9">
        <w:t xml:space="preserve"> </w:t>
      </w:r>
      <w:r w:rsidR="00033F47">
        <w:t>(ACGIH 2018; SCOEL, 2017)</w:t>
      </w:r>
      <w:r w:rsidR="007C1044">
        <w:t xml:space="preserve">. </w:t>
      </w:r>
      <w:r w:rsidR="00DE754F">
        <w:t>Consequently</w:t>
      </w:r>
      <w:r w:rsidR="00177701">
        <w:t xml:space="preserve">, the recommended TWA of 0.1 ppm is considered </w:t>
      </w:r>
      <w:r w:rsidR="00122D73">
        <w:t>sufficient</w:t>
      </w:r>
      <w:r w:rsidR="00177701">
        <w:t xml:space="preserve"> to protect against sensory irritation and therefore nasal cancer in all workers.</w:t>
      </w:r>
    </w:p>
    <w:p w14:paraId="0A7A751D" w14:textId="24BCB128" w:rsidR="007C5B16" w:rsidRDefault="007C5B16" w:rsidP="007C5B16">
      <w:r>
        <w:t>D</w:t>
      </w:r>
      <w:r w:rsidRPr="007C5B16">
        <w:t xml:space="preserve">ata from human studies indicate short term exposure to concentrations </w:t>
      </w:r>
      <w:r w:rsidR="00AA402D">
        <w:t xml:space="preserve">of </w:t>
      </w:r>
      <w:r w:rsidR="00FC219E">
        <w:t xml:space="preserve">approximately </w:t>
      </w:r>
      <w:r w:rsidR="00AA402D" w:rsidRPr="00AA402D">
        <w:t>1</w:t>
      </w:r>
      <w:r w:rsidR="00213784">
        <w:t xml:space="preserve"> </w:t>
      </w:r>
      <w:r w:rsidR="00AA402D" w:rsidRPr="00AA402D">
        <w:t xml:space="preserve">ppm </w:t>
      </w:r>
      <w:r w:rsidRPr="007C5B16">
        <w:t xml:space="preserve">results in slight </w:t>
      </w:r>
      <w:r w:rsidR="00AA402D">
        <w:t xml:space="preserve">eye </w:t>
      </w:r>
      <w:r w:rsidRPr="007C5B16">
        <w:t xml:space="preserve">irritation </w:t>
      </w:r>
      <w:r>
        <w:t>(ACGIH, 2018; HCOTN, 2003). Therefore, t</w:t>
      </w:r>
      <w:r w:rsidR="00835345">
        <w:t xml:space="preserve">he recommended STEL of 0.3 ppm </w:t>
      </w:r>
      <w:r>
        <w:t xml:space="preserve">is considered </w:t>
      </w:r>
      <w:r w:rsidR="00092720">
        <w:t>protective</w:t>
      </w:r>
      <w:r w:rsidR="003E2ED5">
        <w:t>.</w:t>
      </w:r>
    </w:p>
    <w:p w14:paraId="16EB860C" w14:textId="77777777" w:rsidR="005E6979" w:rsidRDefault="00CB6573" w:rsidP="00CB6573">
      <w:pPr>
        <w:pStyle w:val="Heading2"/>
      </w:pPr>
      <w:r>
        <w:t>Recommendation for notations</w:t>
      </w:r>
    </w:p>
    <w:p w14:paraId="648229C9" w14:textId="77777777" w:rsidR="0079010D" w:rsidRDefault="0079010D" w:rsidP="0079010D">
      <w:pPr>
        <w:rPr>
          <w:rFonts w:cs="Arial"/>
        </w:rPr>
      </w:pPr>
      <w:r>
        <w:rPr>
          <w:rFonts w:cs="Arial"/>
        </w:rPr>
        <w:t>C</w:t>
      </w:r>
      <w:r w:rsidRPr="003A677E">
        <w:rPr>
          <w:rFonts w:cs="Arial"/>
        </w:rPr>
        <w:t>lassified as a carcinogen</w:t>
      </w:r>
      <w:r>
        <w:rPr>
          <w:rFonts w:cs="Arial"/>
        </w:rPr>
        <w:t xml:space="preserve"> </w:t>
      </w:r>
      <w:r w:rsidRPr="003A677E">
        <w:rPr>
          <w:rFonts w:cs="Arial"/>
        </w:rPr>
        <w:t>according to the Globally Harmonized System of Classification and Labelling of Chemicals (GHS)</w:t>
      </w:r>
      <w:r>
        <w:rPr>
          <w:rFonts w:cs="Arial"/>
        </w:rPr>
        <w:t xml:space="preserve">. Recent re-classifications by ACGIH and IARC </w:t>
      </w:r>
      <w:r w:rsidR="00041F64">
        <w:rPr>
          <w:rFonts w:cs="Arial"/>
        </w:rPr>
        <w:t>suppor</w:t>
      </w:r>
      <w:r>
        <w:rPr>
          <w:rFonts w:cs="Arial"/>
        </w:rPr>
        <w:t xml:space="preserve">t a change to the carcinogenicity notation to the equivalent of 1A. </w:t>
      </w:r>
      <w:r w:rsidR="00041F64">
        <w:rPr>
          <w:rFonts w:cs="Arial"/>
        </w:rPr>
        <w:t>It is therefore recommended that a review of the GHS classification for this endpoint is undertaken.</w:t>
      </w:r>
    </w:p>
    <w:p w14:paraId="708A0365" w14:textId="2755F872" w:rsidR="0079010D" w:rsidRDefault="0079010D" w:rsidP="0079010D">
      <w:pPr>
        <w:rPr>
          <w:rFonts w:cs="Arial"/>
        </w:rPr>
      </w:pPr>
      <w:r>
        <w:rPr>
          <w:rFonts w:cs="Arial"/>
        </w:rPr>
        <w:lastRenderedPageBreak/>
        <w:t>C</w:t>
      </w:r>
      <w:r w:rsidRPr="003A677E">
        <w:rPr>
          <w:rFonts w:cs="Arial"/>
        </w:rPr>
        <w:t xml:space="preserve">lassified as a </w:t>
      </w:r>
      <w:r>
        <w:rPr>
          <w:rFonts w:cs="Arial"/>
        </w:rPr>
        <w:t>skin sensitiser</w:t>
      </w:r>
      <w:r w:rsidRPr="003A677E">
        <w:rPr>
          <w:rFonts w:cs="Arial"/>
        </w:rPr>
        <w:t xml:space="preserve"> </w:t>
      </w:r>
      <w:r>
        <w:rPr>
          <w:rFonts w:cs="Arial"/>
        </w:rPr>
        <w:t xml:space="preserve">and not a </w:t>
      </w:r>
      <w:r w:rsidRPr="003A677E">
        <w:rPr>
          <w:rFonts w:cs="Arial"/>
        </w:rPr>
        <w:t xml:space="preserve">respiratory sensitiser according to the </w:t>
      </w:r>
      <w:r>
        <w:rPr>
          <w:rFonts w:cs="Arial"/>
        </w:rPr>
        <w:t>GHS.</w:t>
      </w:r>
      <w:r w:rsidR="003E2ED5">
        <w:rPr>
          <w:rFonts w:cs="Arial"/>
        </w:rPr>
        <w:t xml:space="preserve"> </w:t>
      </w:r>
      <w:r w:rsidR="00DE754F">
        <w:rPr>
          <w:rFonts w:cs="Arial"/>
        </w:rPr>
        <w:t xml:space="preserve">However, the available evidence in humans is limited. </w:t>
      </w:r>
      <w:r w:rsidR="003A24DA">
        <w:rPr>
          <w:rFonts w:cs="Arial"/>
        </w:rPr>
        <w:t xml:space="preserve">Some investigation reports </w:t>
      </w:r>
      <w:r w:rsidR="003E2ED5">
        <w:rPr>
          <w:rFonts w:cs="Arial"/>
        </w:rPr>
        <w:t>indicate the potential for formaldehyde to cause occupational asthma</w:t>
      </w:r>
      <w:r w:rsidR="00092720">
        <w:rPr>
          <w:rFonts w:cs="Arial"/>
        </w:rPr>
        <w:t xml:space="preserve"> and ACGIH consider</w:t>
      </w:r>
      <w:r w:rsidR="003A24DA">
        <w:rPr>
          <w:rFonts w:cs="Arial"/>
        </w:rPr>
        <w:t>s</w:t>
      </w:r>
      <w:r w:rsidR="00092720">
        <w:rPr>
          <w:rFonts w:cs="Arial"/>
        </w:rPr>
        <w:t xml:space="preserve"> formaldehyde a respiratory sensitiser</w:t>
      </w:r>
      <w:r w:rsidR="00A81907">
        <w:rPr>
          <w:rFonts w:cs="Arial"/>
        </w:rPr>
        <w:t xml:space="preserve"> (RSEN)</w:t>
      </w:r>
      <w:r w:rsidR="00092720">
        <w:rPr>
          <w:rFonts w:cs="Arial"/>
        </w:rPr>
        <w:t xml:space="preserve">. </w:t>
      </w:r>
      <w:r w:rsidR="00833AD9">
        <w:rPr>
          <w:rFonts w:cs="Arial"/>
        </w:rPr>
        <w:t>A</w:t>
      </w:r>
      <w:r w:rsidR="00EC097C">
        <w:rPr>
          <w:rFonts w:cs="Arial"/>
        </w:rPr>
        <w:t xml:space="preserve"> </w:t>
      </w:r>
      <w:r w:rsidR="006206F0">
        <w:rPr>
          <w:rFonts w:cs="Arial"/>
        </w:rPr>
        <w:t xml:space="preserve">further </w:t>
      </w:r>
      <w:r w:rsidR="00EC097C">
        <w:rPr>
          <w:rFonts w:cs="Arial"/>
        </w:rPr>
        <w:t xml:space="preserve">review of the literature is recommended to </w:t>
      </w:r>
      <w:r w:rsidR="006206F0">
        <w:rPr>
          <w:rFonts w:cs="Arial"/>
        </w:rPr>
        <w:t>establish</w:t>
      </w:r>
      <w:r w:rsidR="00A81907">
        <w:rPr>
          <w:rFonts w:cs="Arial"/>
        </w:rPr>
        <w:t xml:space="preserve"> a</w:t>
      </w:r>
      <w:r w:rsidR="006206F0">
        <w:rPr>
          <w:rFonts w:cs="Arial"/>
        </w:rPr>
        <w:t xml:space="preserve"> RSEN</w:t>
      </w:r>
      <w:r w:rsidR="00EC097C">
        <w:rPr>
          <w:rFonts w:cs="Arial"/>
        </w:rPr>
        <w:t xml:space="preserve"> notation.</w:t>
      </w:r>
    </w:p>
    <w:p w14:paraId="79B131CC" w14:textId="513E3B9B" w:rsidR="00CB6573" w:rsidRDefault="00E146D0" w:rsidP="00CB6573">
      <w:pPr>
        <w:rPr>
          <w:rFonts w:cs="Arial"/>
        </w:rPr>
      </w:pPr>
      <w:r>
        <w:rPr>
          <w:rFonts w:cs="Arial"/>
        </w:rPr>
        <w:t xml:space="preserve">Local effects predominate in human studies and limited animal data was presented </w:t>
      </w:r>
      <w:r w:rsidR="00A81907">
        <w:rPr>
          <w:rFonts w:cs="Arial"/>
        </w:rPr>
        <w:t>regarding</w:t>
      </w:r>
      <w:r>
        <w:rPr>
          <w:rFonts w:cs="Arial"/>
        </w:rPr>
        <w:t xml:space="preserve"> dermal absorption and systemic </w:t>
      </w:r>
      <w:r w:rsidR="00041F64">
        <w:rPr>
          <w:rFonts w:cs="Arial"/>
        </w:rPr>
        <w:t>effects.</w:t>
      </w:r>
      <w:r w:rsidR="00213784">
        <w:rPr>
          <w:rFonts w:cs="Arial"/>
        </w:rPr>
        <w:t xml:space="preserve"> </w:t>
      </w:r>
      <w:r w:rsidR="003A24DA">
        <w:rPr>
          <w:rFonts w:cs="Arial"/>
        </w:rPr>
        <w:t>Overall,</w:t>
      </w:r>
      <w:r>
        <w:rPr>
          <w:rFonts w:cs="Arial"/>
        </w:rPr>
        <w:t xml:space="preserve"> there </w:t>
      </w:r>
      <w:r w:rsidR="003A24DA">
        <w:rPr>
          <w:rFonts w:cs="Arial"/>
        </w:rPr>
        <w:t xml:space="preserve">are </w:t>
      </w:r>
      <w:r>
        <w:rPr>
          <w:rFonts w:cs="Arial"/>
        </w:rPr>
        <w:t>insufficient data to recommend a skin notation</w:t>
      </w:r>
      <w:r w:rsidR="007C5B16">
        <w:rPr>
          <w:rFonts w:cs="Arial"/>
        </w:rPr>
        <w:t>.</w:t>
      </w:r>
    </w:p>
    <w:p w14:paraId="1DD065E8" w14:textId="77777777" w:rsidR="007C5B16" w:rsidRPr="004C23F4" w:rsidRDefault="007C5B16" w:rsidP="00CB6573">
      <w:pPr>
        <w:rPr>
          <w:rFonts w:cs="Arial"/>
        </w:rPr>
      </w:pPr>
    </w:p>
    <w:p w14:paraId="5EE2466D" w14:textId="77777777" w:rsidR="00CB6573" w:rsidRDefault="00CB6573">
      <w:pPr>
        <w:rPr>
          <w:rFonts w:cs="Arial"/>
        </w:rPr>
      </w:pPr>
    </w:p>
    <w:p w14:paraId="29B4B8F0" w14:textId="77777777" w:rsidR="00CB6573" w:rsidRPr="00CB6573" w:rsidRDefault="00CB6573" w:rsidP="00CB6573">
      <w:pPr>
        <w:rPr>
          <w:rFonts w:cs="Arial"/>
        </w:rPr>
      </w:pPr>
    </w:p>
    <w:p w14:paraId="152793E6" w14:textId="77777777" w:rsidR="00CB6573" w:rsidRDefault="00CB6573" w:rsidP="00CB6573">
      <w:pPr>
        <w:ind w:firstLine="720"/>
        <w:rPr>
          <w:rFonts w:cs="Arial"/>
        </w:rPr>
      </w:pPr>
    </w:p>
    <w:p w14:paraId="2A61A7B0" w14:textId="77777777" w:rsidR="00CB6573" w:rsidRDefault="00CB6573" w:rsidP="00CB6573">
      <w:pPr>
        <w:rPr>
          <w:rFonts w:cs="Arial"/>
        </w:rPr>
      </w:pPr>
    </w:p>
    <w:p w14:paraId="7F6AC933" w14:textId="77777777" w:rsidR="00CB6573" w:rsidRPr="00CB6573" w:rsidRDefault="00CB6573" w:rsidP="00CB6573">
      <w:pPr>
        <w:rPr>
          <w:rFonts w:cs="Arial"/>
        </w:rPr>
        <w:sectPr w:rsidR="00CB6573" w:rsidRPr="00CB6573" w:rsidSect="00B479A9">
          <w:headerReference w:type="default" r:id="rId11"/>
          <w:footerReference w:type="default" r:id="rId12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42BC5CE6" w14:textId="77777777" w:rsidR="00835345" w:rsidRDefault="005E6979" w:rsidP="00835345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59E9E081" w14:textId="636F5FD5" w:rsidR="008D026D" w:rsidRPr="003365A5" w:rsidRDefault="00B479A9" w:rsidP="00835345">
      <w:pPr>
        <w:pStyle w:val="Heading1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225C6228" w14:textId="77777777" w:rsidTr="00D17E46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7C56A09B" w14:textId="77777777" w:rsidR="00C978F0" w:rsidRPr="00DA352E" w:rsidRDefault="00C978F0" w:rsidP="00FE35F9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05F86574" w14:textId="77777777" w:rsidTr="00D17E4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D2E5825" w14:textId="77777777" w:rsidR="00DE26E8" w:rsidRPr="003365A5" w:rsidRDefault="00DE26E8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C64C8160D28E492092663118BBBFA778"/>
                </w:placeholder>
                <w:text/>
              </w:sdtPr>
              <w:sdtEndPr/>
              <w:sdtContent>
                <w:r w:rsidR="00771780" w:rsidDel="0023749B">
                  <w:t>1986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6E0B184664EF4E6B8A8D69AF8A40CA4A"/>
                </w:placeholder>
              </w:sdtPr>
              <w:sdtEndPr/>
              <w:sdtContent>
                <w:r w:rsidR="007E4BE0">
                  <w:t>TWA</w:t>
                </w:r>
                <w:r w:rsidR="00E5199D">
                  <w:t>:</w:t>
                </w:r>
                <w:r w:rsidR="007E4BE0">
                  <w:t xml:space="preserve"> 1 ppm</w:t>
                </w:r>
                <w:r w:rsidR="00771780">
                  <w:t xml:space="preserve"> (1.2 mg/m</w:t>
                </w:r>
                <w:r w:rsidR="00771780">
                  <w:rPr>
                    <w:vertAlign w:val="superscript"/>
                  </w:rPr>
                  <w:t>3</w:t>
                </w:r>
                <w:r w:rsidR="00771780">
                  <w:t>)</w:t>
                </w:r>
                <w:r w:rsidR="007E4BE0">
                  <w:t>; STEL</w:t>
                </w:r>
                <w:r w:rsidR="00E5199D">
                  <w:t>:</w:t>
                </w:r>
                <w:r w:rsidR="007E4BE0">
                  <w:t xml:space="preserve"> 2 ppm</w:t>
                </w:r>
                <w:r w:rsidR="00771780">
                  <w:t xml:space="preserve"> (2.5 mg/m</w:t>
                </w:r>
                <w:r w:rsidR="00771780">
                  <w:rPr>
                    <w:vertAlign w:val="superscript"/>
                  </w:rPr>
                  <w:t>3</w:t>
                </w:r>
                <w:r w:rsidR="00771780">
                  <w:t>)</w:t>
                </w:r>
              </w:sdtContent>
            </w:sdt>
          </w:p>
        </w:tc>
      </w:tr>
      <w:tr w:rsidR="00C978F0" w:rsidRPr="00DA352E" w14:paraId="5767087C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2558B6BC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4D1C21B3" w14:textId="77777777" w:rsidTr="00D17E4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6BD741C" w14:textId="77777777" w:rsidR="00C978F0" w:rsidRPr="00DA352E" w:rsidRDefault="00DA352E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4418F4A59E1F46BDBAD68838DC417A8C"/>
                </w:placeholder>
                <w:text/>
              </w:sdtPr>
              <w:sdtEndPr/>
              <w:sdtContent>
                <w:r w:rsidR="00AC4B5E" w:rsidDel="0023749B">
                  <w:t>2017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FA39E3C2EB3542C094C97E77398DE59F"/>
                </w:placeholder>
              </w:sdtPr>
              <w:sdtEndPr/>
              <w:sdtContent>
                <w:r w:rsidR="00402334">
                  <w:t xml:space="preserve">TLV-TWA: </w:t>
                </w:r>
                <w:r w:rsidR="00AC4B5E">
                  <w:t>0.</w:t>
                </w:r>
                <w:r w:rsidR="00402334">
                  <w:t>1 ppm (0.12 mg/m</w:t>
                </w:r>
                <w:r w:rsidR="00402334">
                  <w:rPr>
                    <w:vertAlign w:val="superscript"/>
                  </w:rPr>
                  <w:t>3</w:t>
                </w:r>
                <w:r w:rsidR="00402334">
                  <w:t xml:space="preserve">); </w:t>
                </w:r>
                <w:r w:rsidR="007E4BE0">
                  <w:t>TLV-C: 0.3 ppm (0.37</w:t>
                </w:r>
                <w:r w:rsidR="004F4ACC">
                  <w:t xml:space="preserve"> mg/m³)</w:t>
                </w:r>
              </w:sdtContent>
            </w:sdt>
          </w:p>
        </w:tc>
      </w:tr>
      <w:tr w:rsidR="00C978F0" w:rsidRPr="00DA352E" w14:paraId="63C7D20C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4B45AD76" w14:textId="4032C497" w:rsidR="007E4BE0" w:rsidRDefault="007E4BE0" w:rsidP="006B0F06">
            <w:pPr>
              <w:pStyle w:val="Tablefont"/>
            </w:pPr>
            <w:r>
              <w:t>TLV</w:t>
            </w:r>
            <w:r w:rsidR="00835345">
              <w:t>-TWA TLV-C recommended to protect</w:t>
            </w:r>
            <w:r>
              <w:t xml:space="preserve"> for sensory irritation (eye and upper respiratory tract).</w:t>
            </w:r>
          </w:p>
          <w:p w14:paraId="4B1C751D" w14:textId="77777777" w:rsidR="006B0F06" w:rsidRDefault="006B0F06" w:rsidP="006B0F06">
            <w:pPr>
              <w:pStyle w:val="Tablefont"/>
            </w:pPr>
            <w:r>
              <w:t>Summary of data:</w:t>
            </w:r>
          </w:p>
          <w:p w14:paraId="1DC5ACEF" w14:textId="77777777" w:rsidR="00671A06" w:rsidRDefault="00380AA4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Highly irritating to </w:t>
            </w:r>
            <w:r w:rsidR="00314202">
              <w:t xml:space="preserve">both </w:t>
            </w:r>
            <w:r>
              <w:t>humans and animals</w:t>
            </w:r>
            <w:r w:rsidR="00671A06">
              <w:t xml:space="preserve"> </w:t>
            </w:r>
          </w:p>
          <w:p w14:paraId="438806AB" w14:textId="77777777" w:rsidR="006060AB" w:rsidRDefault="006060AB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Immunologic effects (allergic reactions and sensitisation) noted in human studies</w:t>
            </w:r>
          </w:p>
          <w:p w14:paraId="5474B0A7" w14:textId="77777777" w:rsidR="006060AB" w:rsidRDefault="006060AB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Hepatotoxicity reported in sub</w:t>
            </w:r>
            <w:r w:rsidR="00092720">
              <w:t xml:space="preserve"> </w:t>
            </w:r>
            <w:r>
              <w:t>chronic studies in humans and animals</w:t>
            </w:r>
            <w:r w:rsidR="00041F64">
              <w:t>.</w:t>
            </w:r>
          </w:p>
          <w:p w14:paraId="1BA9CB0A" w14:textId="77777777" w:rsidR="00314202" w:rsidRDefault="00314202" w:rsidP="00AA402D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BDF0656" w14:textId="77777777" w:rsidR="00314202" w:rsidRDefault="00314202" w:rsidP="00AA402D">
            <w:pPr>
              <w:pStyle w:val="ListBullet"/>
              <w:numPr>
                <w:ilvl w:val="0"/>
                <w:numId w:val="0"/>
              </w:numPr>
            </w:pPr>
            <w:r>
              <w:t>Human data:</w:t>
            </w:r>
          </w:p>
          <w:p w14:paraId="16030AEE" w14:textId="3BBB1CD2" w:rsidR="003245AA" w:rsidRDefault="00AA402D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E</w:t>
            </w:r>
            <w:r w:rsidR="00380AA4">
              <w:t>ye, nose</w:t>
            </w:r>
            <w:r w:rsidR="00041F64">
              <w:t>,</w:t>
            </w:r>
            <w:r w:rsidR="00380AA4">
              <w:t xml:space="preserve"> throat </w:t>
            </w:r>
            <w:r w:rsidR="00671A06">
              <w:t>and lung irritation reported at &lt;</w:t>
            </w:r>
            <w:r w:rsidR="00380AA4">
              <w:t>1</w:t>
            </w:r>
            <w:r w:rsidR="00AB0F6B">
              <w:t>–</w:t>
            </w:r>
            <w:r w:rsidR="00671A06">
              <w:t xml:space="preserve">3 </w:t>
            </w:r>
            <w:r w:rsidR="003245AA">
              <w:t>ppm</w:t>
            </w:r>
          </w:p>
          <w:p w14:paraId="0DC6FF57" w14:textId="593623FA" w:rsidR="003245AA" w:rsidRDefault="00AA402D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In</w:t>
            </w:r>
            <w:r w:rsidR="003245AA">
              <w:t>tolera</w:t>
            </w:r>
            <w:r>
              <w:t>nce</w:t>
            </w:r>
            <w:r w:rsidR="003245AA">
              <w:t xml:space="preserve"> </w:t>
            </w:r>
            <w:r w:rsidR="00495730">
              <w:t xml:space="preserve">for </w:t>
            </w:r>
            <w:r w:rsidR="003245AA">
              <w:t>prolonged exposure at 4</w:t>
            </w:r>
            <w:r w:rsidR="00AB0F6B">
              <w:t>–</w:t>
            </w:r>
            <w:r w:rsidR="003245AA">
              <w:t>5 ppm</w:t>
            </w:r>
          </w:p>
          <w:p w14:paraId="263E6CE5" w14:textId="59A8328A" w:rsidR="00671A06" w:rsidRDefault="00AA402D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S</w:t>
            </w:r>
            <w:r w:rsidR="003245AA">
              <w:t>evere symptoms such as difficulty breathing at 10</w:t>
            </w:r>
            <w:r w:rsidR="00AB0F6B">
              <w:t>–</w:t>
            </w:r>
            <w:r w:rsidR="003245AA">
              <w:t>20 ppm</w:t>
            </w:r>
          </w:p>
          <w:p w14:paraId="43E46130" w14:textId="7864363A" w:rsidR="003245AA" w:rsidRDefault="00AA402D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R</w:t>
            </w:r>
            <w:r w:rsidR="003245AA">
              <w:t xml:space="preserve">espiratory tract injury </w:t>
            </w:r>
            <w:r w:rsidR="00041F64">
              <w:t xml:space="preserve">at </w:t>
            </w:r>
            <w:r w:rsidR="003245AA">
              <w:t>&gt;50 ppm</w:t>
            </w:r>
          </w:p>
          <w:p w14:paraId="2B7139AB" w14:textId="77777777" w:rsidR="009F5E02" w:rsidRDefault="00314202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C</w:t>
            </w:r>
            <w:r w:rsidR="009F5E02">
              <w:t xml:space="preserve">hamber study </w:t>
            </w:r>
            <w:r w:rsidR="00495730">
              <w:t>(</w:t>
            </w:r>
            <w:r w:rsidR="009F5E02">
              <w:t xml:space="preserve">volunteers exposed for 4 </w:t>
            </w:r>
            <w:r w:rsidR="00495730">
              <w:t>h/d, 5 d/</w:t>
            </w:r>
            <w:proofErr w:type="spellStart"/>
            <w:r w:rsidR="009F5E02">
              <w:t>w</w:t>
            </w:r>
            <w:r w:rsidR="00495730">
              <w:t>k</w:t>
            </w:r>
            <w:proofErr w:type="spellEnd"/>
            <w:r w:rsidR="00495730">
              <w:t xml:space="preserve"> for 10 </w:t>
            </w:r>
            <w:proofErr w:type="spellStart"/>
            <w:r w:rsidR="00495730">
              <w:t>wk</w:t>
            </w:r>
            <w:proofErr w:type="spellEnd"/>
            <w:r w:rsidR="00495730">
              <w:t>)</w:t>
            </w:r>
            <w:r w:rsidR="009F5E02">
              <w:t xml:space="preserve"> reported:</w:t>
            </w:r>
          </w:p>
          <w:p w14:paraId="31BE16AF" w14:textId="77777777" w:rsidR="00402334" w:rsidRDefault="00DD361A" w:rsidP="00D17E46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</w:pPr>
            <w:r>
              <w:t>LOAEL</w:t>
            </w:r>
            <w:r w:rsidR="00402334">
              <w:t xml:space="preserve"> for eye irritation at 0.5 ppm (short-term peaks 1.0 ppm) </w:t>
            </w:r>
          </w:p>
          <w:p w14:paraId="64790EF0" w14:textId="77777777" w:rsidR="009F5E02" w:rsidRDefault="009F5E02" w:rsidP="00D17E46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</w:pPr>
            <w:r>
              <w:t>LOAEL for eye and nose irritation at 0.3 ppm</w:t>
            </w:r>
          </w:p>
          <w:p w14:paraId="133F0573" w14:textId="77777777" w:rsidR="00935A5B" w:rsidRDefault="00BC422D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Worker </w:t>
            </w:r>
            <w:r w:rsidR="009F5E02">
              <w:t xml:space="preserve">cross sectional study reported eye </w:t>
            </w:r>
            <w:r w:rsidR="009F5E02" w:rsidRPr="00E50956">
              <w:t>and respiratory tract irritation at</w:t>
            </w:r>
            <w:r w:rsidR="009F5E02">
              <w:t xml:space="preserve"> 0.3</w:t>
            </w:r>
            <w:r w:rsidR="00314202">
              <w:t xml:space="preserve"> </w:t>
            </w:r>
            <w:r w:rsidR="009F5E02">
              <w:t xml:space="preserve">ppm </w:t>
            </w:r>
            <w:r w:rsidR="00041F64">
              <w:br/>
            </w:r>
            <w:r w:rsidR="009F5E02">
              <w:t>(</w:t>
            </w:r>
            <w:r w:rsidR="00041F64">
              <w:t xml:space="preserve">as </w:t>
            </w:r>
            <w:r w:rsidR="009F5E02">
              <w:t xml:space="preserve">8 </w:t>
            </w:r>
            <w:r w:rsidR="00495730">
              <w:t>h</w:t>
            </w:r>
            <w:r w:rsidR="009F5E02">
              <w:t xml:space="preserve"> TWA)</w:t>
            </w:r>
            <w:r w:rsidR="00935A5B">
              <w:t xml:space="preserve"> </w:t>
            </w:r>
          </w:p>
          <w:p w14:paraId="73C0D4B5" w14:textId="2F185095" w:rsidR="00935A5B" w:rsidRDefault="00935A5B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Study of exposed pathologists observed an increase in M1dG adducts only at levels </w:t>
            </w:r>
            <w:r w:rsidR="00041F64">
              <w:br/>
            </w:r>
            <w:r w:rsidR="00561651">
              <w:t>&gt;</w:t>
            </w:r>
            <w:r>
              <w:t>0.53 ppm (no duration provided)</w:t>
            </w:r>
          </w:p>
          <w:p w14:paraId="47AD0BFB" w14:textId="77777777" w:rsidR="00771780" w:rsidRDefault="00771780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Confirmed human carcinogen (A1) notation recommended based on:</w:t>
            </w:r>
          </w:p>
          <w:p w14:paraId="54B16922" w14:textId="0A5E58EE" w:rsidR="00771780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e</w:t>
            </w:r>
            <w:r w:rsidR="00AC4B5E">
              <w:t>levated risk of nasopharyngeal cancer from epidemiologic studies</w:t>
            </w:r>
          </w:p>
          <w:p w14:paraId="351B2C19" w14:textId="2AAA640C" w:rsidR="00AC4B5E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proofErr w:type="spellStart"/>
            <w:r>
              <w:t>t</w:t>
            </w:r>
            <w:r w:rsidR="00AC4B5E">
              <w:t>umourigenic</w:t>
            </w:r>
            <w:proofErr w:type="spellEnd"/>
            <w:r w:rsidR="00AC4B5E">
              <w:t xml:space="preserve"> responses in short and long term inhalation studies on rats</w:t>
            </w:r>
          </w:p>
          <w:p w14:paraId="6E778063" w14:textId="735A790F" w:rsidR="00AC4B5E" w:rsidRPr="00277553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c</w:t>
            </w:r>
            <w:r w:rsidR="00AC4B5E" w:rsidRPr="00277553">
              <w:t xml:space="preserve">onsistency </w:t>
            </w:r>
            <w:r w:rsidR="00277553" w:rsidRPr="00277553">
              <w:t xml:space="preserve">in </w:t>
            </w:r>
            <w:r w:rsidR="00AC4B5E" w:rsidRPr="00277553">
              <w:t>site and cell type in animal experimental studies of nasopharyngeal cancer</w:t>
            </w:r>
            <w:r w:rsidR="00277553" w:rsidRPr="00277553">
              <w:t xml:space="preserve"> and human epidemiology observations</w:t>
            </w:r>
          </w:p>
          <w:p w14:paraId="798556D7" w14:textId="1450A580" w:rsidR="00AC4B5E" w:rsidRDefault="00AC4B5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significant increase in cell proliferation in nasal epithelium of rats and rhesus monkeys</w:t>
            </w:r>
          </w:p>
          <w:p w14:paraId="0B616022" w14:textId="488EE2F8" w:rsidR="00AC4B5E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e</w:t>
            </w:r>
            <w:r w:rsidR="00AC4B5E">
              <w:t xml:space="preserve">vidence of </w:t>
            </w:r>
            <w:proofErr w:type="spellStart"/>
            <w:r w:rsidR="00AC4B5E">
              <w:t>genotoxicity</w:t>
            </w:r>
            <w:proofErr w:type="spellEnd"/>
            <w:r w:rsidR="00AC4B5E">
              <w:t xml:space="preserve"> in rats, rhesus monkeys and humans exposed to formaldehyde</w:t>
            </w:r>
          </w:p>
          <w:p w14:paraId="31B1ACBA" w14:textId="3C23F3CB" w:rsidR="00AC4B5E" w:rsidRDefault="00AC4B5E" w:rsidP="00D17E46">
            <w:pPr>
              <w:pStyle w:val="ListBullet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</w:pPr>
            <w:r>
              <w:t xml:space="preserve">Significant increases in deaths from nasopharyngeal cancer in workers exposed to an average of </w:t>
            </w:r>
            <w:r w:rsidR="00BC422D">
              <w:t>&gt;</w:t>
            </w:r>
            <w:r>
              <w:t>1 ppm</w:t>
            </w:r>
          </w:p>
          <w:p w14:paraId="083C3424" w14:textId="519EE067" w:rsidR="006206F0" w:rsidRDefault="00BE09CA" w:rsidP="00D17E46">
            <w:pPr>
              <w:pStyle w:val="ListBullet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</w:pPr>
            <w:r>
              <w:t>Occupational registry study rep</w:t>
            </w:r>
            <w:r w:rsidR="00AB0F6B">
              <w:t>orted 12/</w:t>
            </w:r>
            <w:r>
              <w:t xml:space="preserve">230 patients sensitised (respiratory) </w:t>
            </w:r>
          </w:p>
          <w:p w14:paraId="08A8F105" w14:textId="7F8A233E" w:rsidR="00BE09CA" w:rsidRDefault="00BE09CA" w:rsidP="00D17E46">
            <w:pPr>
              <w:pStyle w:val="ListBullet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</w:pPr>
            <w:r>
              <w:t>Reported that respiratory sensitisation is rare</w:t>
            </w:r>
          </w:p>
          <w:p w14:paraId="5432F92C" w14:textId="77777777" w:rsidR="00BE09CA" w:rsidRDefault="00BE09CA" w:rsidP="00D17E46">
            <w:pPr>
              <w:pStyle w:val="ListBullet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</w:pPr>
            <w:r>
              <w:t>0.2 ppm may increase susceptibility to respiratory hypersensitivity via activation the immune system.</w:t>
            </w:r>
          </w:p>
          <w:p w14:paraId="428DFB34" w14:textId="77777777" w:rsidR="0049465C" w:rsidRDefault="0049465C" w:rsidP="00AA402D">
            <w:pPr>
              <w:pStyle w:val="ListBullet"/>
              <w:numPr>
                <w:ilvl w:val="0"/>
                <w:numId w:val="0"/>
              </w:numPr>
            </w:pPr>
          </w:p>
          <w:p w14:paraId="5BEADB25" w14:textId="77777777" w:rsidR="0049465C" w:rsidRDefault="0049465C" w:rsidP="00AA402D">
            <w:pPr>
              <w:pStyle w:val="ListBullet"/>
              <w:numPr>
                <w:ilvl w:val="0"/>
                <w:numId w:val="0"/>
              </w:numPr>
            </w:pPr>
            <w:r>
              <w:t>Animal data:</w:t>
            </w:r>
          </w:p>
          <w:p w14:paraId="5BE611CD" w14:textId="77777777" w:rsidR="000D3A3F" w:rsidRDefault="000D3A3F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A rat exposure study of up to 14 d noted significant inhibition of </w:t>
            </w:r>
            <w:proofErr w:type="spellStart"/>
            <w:r>
              <w:t>mucociliary</w:t>
            </w:r>
            <w:proofErr w:type="spellEnd"/>
            <w:r>
              <w:t xml:space="preserve"> activity at </w:t>
            </w:r>
            <w:r w:rsidR="00041F64">
              <w:t>15 </w:t>
            </w:r>
            <w:r>
              <w:t>ppm and no effects at 0.5 ppm</w:t>
            </w:r>
          </w:p>
          <w:p w14:paraId="2445CCE0" w14:textId="77777777" w:rsidR="00AC4B5E" w:rsidRDefault="00AC4B5E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lastRenderedPageBreak/>
              <w:t>N</w:t>
            </w:r>
            <w:r w:rsidR="00DD361A">
              <w:t>OAEL</w:t>
            </w:r>
            <w:r>
              <w:t xml:space="preserve"> </w:t>
            </w:r>
            <w:r w:rsidR="00041F64">
              <w:t xml:space="preserve">of 2 ppm </w:t>
            </w:r>
            <w:r>
              <w:t>for squamous cell nasal cancer in rat inhalation study</w:t>
            </w:r>
          </w:p>
          <w:p w14:paraId="37D05591" w14:textId="77777777" w:rsidR="0016397A" w:rsidRDefault="00380AA4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 w:rsidRPr="00380AA4">
              <w:rPr>
                <w:i/>
              </w:rPr>
              <w:t>In vitro</w:t>
            </w:r>
            <w:r>
              <w:t xml:space="preserve"> studies suggest</w:t>
            </w:r>
            <w:r w:rsidR="00875501">
              <w:t xml:space="preserve"> formaldehyde is a relatively weak mutagen</w:t>
            </w:r>
            <w:r>
              <w:t xml:space="preserve">: </w:t>
            </w:r>
          </w:p>
          <w:p w14:paraId="23586D82" w14:textId="3F71372B" w:rsidR="0016397A" w:rsidRDefault="00380AA4" w:rsidP="00D17E46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</w:pPr>
            <w:r>
              <w:t>genetic alterations (</w:t>
            </w:r>
            <w:r w:rsidR="00092720" w:rsidRPr="00FE35F9">
              <w:t>Drosophila</w:t>
            </w:r>
            <w:r>
              <w:t xml:space="preserve"> larvae, </w:t>
            </w:r>
            <w:r w:rsidR="00092720">
              <w:t>fungi</w:t>
            </w:r>
            <w:r w:rsidR="00AB0F6B">
              <w:t>, bacteria)</w:t>
            </w:r>
          </w:p>
          <w:p w14:paraId="24D17A54" w14:textId="4E6F6A93" w:rsidR="00875501" w:rsidRDefault="00380AA4" w:rsidP="00D17E46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</w:pPr>
            <w:r>
              <w:t>negative and positive results in dominant lethal tests</w:t>
            </w:r>
          </w:p>
          <w:p w14:paraId="134EB0E6" w14:textId="0CD7FE17" w:rsidR="00875501" w:rsidRDefault="00875501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Studies evaluating DNA adducts in rats and macaques (6 </w:t>
            </w:r>
            <w:r w:rsidR="000D3A3F">
              <w:t>h/d for 1 and 2 d</w:t>
            </w:r>
            <w:r>
              <w:t xml:space="preserve">) noted formation of endogenous DNA </w:t>
            </w:r>
            <w:r w:rsidR="00FE35F9">
              <w:t>was higher in macaques.</w:t>
            </w:r>
          </w:p>
          <w:p w14:paraId="4CE52CDD" w14:textId="3475B389" w:rsidR="00AC4B5E" w:rsidRDefault="00AC4B5E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Lethality reported at 700 ppm </w:t>
            </w:r>
            <w:r w:rsidR="000D3A3F">
              <w:t>i</w:t>
            </w:r>
            <w:r w:rsidR="00AB0F6B">
              <w:t>n cats and mice (8 and 2 h); 15–</w:t>
            </w:r>
            <w:r w:rsidR="000D3A3F">
              <w:t xml:space="preserve">16 ppm in mice and rabbits </w:t>
            </w:r>
            <w:r w:rsidR="006060AB">
              <w:t>(&gt;</w:t>
            </w:r>
            <w:r w:rsidR="000D3A3F">
              <w:t>10 h)</w:t>
            </w:r>
          </w:p>
          <w:p w14:paraId="0EF6F4CD" w14:textId="77777777" w:rsidR="00AC4B5E" w:rsidRDefault="00AC4B5E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LC</w:t>
            </w:r>
            <w:r w:rsidRPr="007E4BE0">
              <w:rPr>
                <w:vertAlign w:val="subscript"/>
              </w:rPr>
              <w:t>50</w:t>
            </w:r>
            <w:r>
              <w:t>: 81 ppm (rats; total exposure not provided)</w:t>
            </w:r>
          </w:p>
          <w:p w14:paraId="331A2022" w14:textId="77777777" w:rsidR="00534B50" w:rsidRDefault="00534B50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No </w:t>
            </w:r>
            <w:r>
              <w:rPr>
                <w:i/>
              </w:rPr>
              <w:t xml:space="preserve">in </w:t>
            </w:r>
            <w:r w:rsidR="00E146D0">
              <w:rPr>
                <w:i/>
              </w:rPr>
              <w:t xml:space="preserve">vitro </w:t>
            </w:r>
            <w:r w:rsidR="00E146D0">
              <w:t>or</w:t>
            </w:r>
            <w:r>
              <w:t xml:space="preserve"> animal data on dermal absorption</w:t>
            </w:r>
          </w:p>
          <w:p w14:paraId="604AF28C" w14:textId="77777777" w:rsidR="006B0F06" w:rsidRDefault="006C2531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Not teratogenic to animals; insufficient data about reproductive and developmental toxicity</w:t>
            </w:r>
            <w:r w:rsidR="003F60A4">
              <w:t>.</w:t>
            </w:r>
          </w:p>
          <w:p w14:paraId="0C4F9305" w14:textId="5C2A5D52" w:rsidR="00AB0F6B" w:rsidRPr="00DA352E" w:rsidRDefault="00AB0F6B" w:rsidP="00AB0F6B">
            <w:pPr>
              <w:pStyle w:val="ListBullet"/>
              <w:numPr>
                <w:ilvl w:val="0"/>
                <w:numId w:val="0"/>
              </w:numPr>
              <w:ind w:left="731"/>
            </w:pPr>
          </w:p>
        </w:tc>
      </w:tr>
      <w:tr w:rsidR="00C978F0" w:rsidRPr="00DA352E" w14:paraId="2C9BD0CA" w14:textId="77777777" w:rsidTr="00D17E4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3D20F26" w14:textId="5B05FFD9" w:rsidR="00C978F0" w:rsidRPr="00DA352E" w:rsidRDefault="00DA352E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209895C246FE4D35A8253F9EFE1F409D"/>
                </w:placeholder>
                <w:text/>
              </w:sdtPr>
              <w:sdtEndPr/>
              <w:sdtContent>
                <w:r w:rsidR="00257D0B" w:rsidDel="0023749B">
                  <w:t xml:space="preserve">2000 &amp; </w:t>
                </w:r>
                <w:r w:rsidR="005D70FA" w:rsidDel="0023749B">
                  <w:t>2014</w:t>
                </w:r>
              </w:sdtContent>
            </w:sdt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925C4AEC8DB542BCBAADCCABD74A5D05"/>
                </w:placeholder>
              </w:sdtPr>
              <w:sdtEndPr/>
              <w:sdtContent>
                <w:r w:rsidR="005D70FA">
                  <w:t>MAK: 0.3 ppm</w:t>
                </w:r>
                <w:r w:rsidR="00272D18">
                  <w:t xml:space="preserve"> (0.37 mg/m</w:t>
                </w:r>
                <w:r w:rsidR="00272D18">
                  <w:rPr>
                    <w:vertAlign w:val="superscript"/>
                  </w:rPr>
                  <w:t>3</w:t>
                </w:r>
                <w:r w:rsidR="00272D18">
                  <w:t>)</w:t>
                </w:r>
                <w:r w:rsidR="005D70FA">
                  <w:t xml:space="preserve">; </w:t>
                </w:r>
                <w:proofErr w:type="spellStart"/>
                <w:r w:rsidR="005D70FA">
                  <w:t>MomV</w:t>
                </w:r>
                <w:proofErr w:type="spellEnd"/>
                <w:r w:rsidR="005D70FA">
                  <w:t>: 1 ppm</w:t>
                </w:r>
                <w:r w:rsidR="00272D18">
                  <w:t xml:space="preserve"> (1.42 mg/m</w:t>
                </w:r>
                <w:r w:rsidR="00272D18">
                  <w:rPr>
                    <w:vertAlign w:val="superscript"/>
                  </w:rPr>
                  <w:t>3</w:t>
                </w:r>
                <w:r w:rsidR="00272D18">
                  <w:t>)</w:t>
                </w:r>
              </w:sdtContent>
            </w:sdt>
          </w:p>
        </w:tc>
      </w:tr>
      <w:tr w:rsidR="00C978F0" w:rsidRPr="00DA352E" w14:paraId="749C40AD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70A5A0C2" w14:textId="365F1C3F" w:rsidR="00257D0B" w:rsidRDefault="00AB0F6B" w:rsidP="00257D0B">
            <w:pPr>
              <w:pStyle w:val="Tablefont"/>
            </w:pPr>
            <w:r>
              <w:t>MAK r</w:t>
            </w:r>
            <w:r w:rsidR="00257D0B">
              <w:t>ecommend</w:t>
            </w:r>
            <w:r>
              <w:t xml:space="preserve">ed to protect for </w:t>
            </w:r>
            <w:r w:rsidR="00257D0B">
              <w:t>irritant effects on the eye</w:t>
            </w:r>
            <w:r w:rsidR="00020C99">
              <w:t>.</w:t>
            </w:r>
          </w:p>
          <w:p w14:paraId="1D152857" w14:textId="77777777" w:rsidR="00C978F0" w:rsidRDefault="005D70FA" w:rsidP="00257D0B">
            <w:pPr>
              <w:pStyle w:val="Tablefont"/>
            </w:pPr>
            <w:r>
              <w:t>Summary of additional data:</w:t>
            </w:r>
          </w:p>
          <w:p w14:paraId="4FB960CE" w14:textId="6D719775" w:rsidR="002132F0" w:rsidRDefault="002132F0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In the low dose range, which does not lead to an increase in cell proliferation, it</w:t>
            </w:r>
            <w:r w:rsidR="001E4DE3">
              <w:t xml:space="preserve"> is</w:t>
            </w:r>
            <w:r>
              <w:t xml:space="preserve"> considered that </w:t>
            </w:r>
            <w:r w:rsidR="006060AB">
              <w:t xml:space="preserve">formaldehyde </w:t>
            </w:r>
            <w:proofErr w:type="spellStart"/>
            <w:r>
              <w:t>genotoxicity</w:t>
            </w:r>
            <w:proofErr w:type="spellEnd"/>
            <w:r>
              <w:t xml:space="preserve"> plays a minor part in carcinogenic potential</w:t>
            </w:r>
            <w:r w:rsidR="004F34C4">
              <w:t>:</w:t>
            </w:r>
            <w:r>
              <w:t xml:space="preserve"> </w:t>
            </w:r>
          </w:p>
          <w:p w14:paraId="15C39874" w14:textId="5AC8C305" w:rsidR="002132F0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s</w:t>
            </w:r>
            <w:r w:rsidR="002132F0" w:rsidRPr="002132F0">
              <w:t xml:space="preserve">upported by the results of a risk assessment which, for </w:t>
            </w:r>
            <w:r w:rsidR="006060AB">
              <w:t>workers</w:t>
            </w:r>
            <w:r w:rsidR="006060AB" w:rsidRPr="002132F0">
              <w:t xml:space="preserve"> </w:t>
            </w:r>
            <w:r w:rsidR="002132F0" w:rsidRPr="002132F0">
              <w:t xml:space="preserve">exposed to concentrations of 0.3 </w:t>
            </w:r>
            <w:r w:rsidR="002132F0">
              <w:t>ppm</w:t>
            </w:r>
            <w:r w:rsidR="002132F0" w:rsidRPr="002132F0">
              <w:t xml:space="preserve"> for 40 </w:t>
            </w:r>
            <w:proofErr w:type="spellStart"/>
            <w:r w:rsidR="00AB7185">
              <w:t>yr</w:t>
            </w:r>
            <w:proofErr w:type="spellEnd"/>
            <w:r w:rsidR="002132F0" w:rsidRPr="002132F0">
              <w:t>, yielded a very low additional cancer risk</w:t>
            </w:r>
            <w:r w:rsidR="002132F0">
              <w:t xml:space="preserve"> for smokers and non-smokers</w:t>
            </w:r>
          </w:p>
          <w:p w14:paraId="0BBC56E9" w14:textId="07BB76C2" w:rsidR="002132F0" w:rsidRDefault="005D70FA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Skin sensitisation confirmed through</w:t>
            </w:r>
            <w:r w:rsidR="00561651">
              <w:t xml:space="preserve"> case reports and patch testing. </w:t>
            </w:r>
            <w:r>
              <w:t>0.025</w:t>
            </w:r>
            <w:r w:rsidR="00AB0F6B">
              <w:t>–</w:t>
            </w:r>
            <w:r>
              <w:t xml:space="preserve">0.05% considered </w:t>
            </w:r>
            <w:r w:rsidR="006060AB">
              <w:t xml:space="preserve">the </w:t>
            </w:r>
            <w:r>
              <w:t xml:space="preserve">threshold for eliciting a patch test </w:t>
            </w:r>
            <w:r w:rsidR="002132F0">
              <w:t>reaction</w:t>
            </w:r>
            <w:r w:rsidR="004F34C4">
              <w:t>:</w:t>
            </w:r>
          </w:p>
          <w:p w14:paraId="535EE808" w14:textId="466D9252" w:rsidR="005D70FA" w:rsidRDefault="00FC219E" w:rsidP="00D17E46">
            <w:pPr>
              <w:pStyle w:val="ListBullet"/>
              <w:numPr>
                <w:ilvl w:val="0"/>
                <w:numId w:val="8"/>
              </w:numPr>
              <w:spacing w:before="60" w:after="60"/>
              <w:ind w:left="1094" w:hanging="357"/>
              <w:contextualSpacing w:val="0"/>
            </w:pPr>
            <w:r>
              <w:t>s</w:t>
            </w:r>
            <w:r w:rsidR="005D70FA">
              <w:t>upported in animal study outcomes (guinea pigs and mice)</w:t>
            </w:r>
          </w:p>
          <w:p w14:paraId="7AF86E5E" w14:textId="77777777" w:rsidR="005D70FA" w:rsidRDefault="005D70FA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Respiratory sensitisation reported in</w:t>
            </w:r>
            <w:r w:rsidR="002132F0">
              <w:t xml:space="preserve"> several</w:t>
            </w:r>
            <w:r>
              <w:t xml:space="preserve"> human case reports</w:t>
            </w:r>
          </w:p>
          <w:p w14:paraId="27AF08D5" w14:textId="77777777" w:rsidR="005D70FA" w:rsidRDefault="005D70FA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Systemic reactions including anaphyla</w:t>
            </w:r>
            <w:r w:rsidR="00534B50">
              <w:t>xis reported after skin contact</w:t>
            </w:r>
          </w:p>
          <w:p w14:paraId="0C081C60" w14:textId="77777777" w:rsidR="00534B50" w:rsidRDefault="00534B50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No </w:t>
            </w:r>
            <w:r>
              <w:rPr>
                <w:i/>
              </w:rPr>
              <w:t xml:space="preserve">in vitro </w:t>
            </w:r>
            <w:r>
              <w:t>or animal data on dermal absorption</w:t>
            </w:r>
            <w:r w:rsidR="006060AB">
              <w:t>.</w:t>
            </w:r>
          </w:p>
          <w:p w14:paraId="00F29073" w14:textId="599D8BC6" w:rsidR="00AB0F6B" w:rsidRPr="00DA352E" w:rsidRDefault="00AB0F6B" w:rsidP="00AB0F6B">
            <w:pPr>
              <w:pStyle w:val="ListBullet"/>
              <w:numPr>
                <w:ilvl w:val="0"/>
                <w:numId w:val="0"/>
              </w:numPr>
              <w:ind w:left="731"/>
            </w:pPr>
          </w:p>
        </w:tc>
      </w:tr>
      <w:tr w:rsidR="00C978F0" w:rsidRPr="00DA352E" w14:paraId="64EE1B72" w14:textId="77777777" w:rsidTr="00D17E4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296A0FD5" w14:textId="77777777" w:rsidR="00C978F0" w:rsidRPr="00DA352E" w:rsidRDefault="00DA352E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spacing w:before="0"/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642EA273CF6D4654B227549DB23F7D6C"/>
                </w:placeholder>
                <w:text/>
              </w:sdtPr>
              <w:sdtEndPr/>
              <w:sdtContent>
                <w:r w:rsidR="005D70FA" w:rsidDel="0023749B">
                  <w:t>2016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27125E45408340AD8BC4E30D4576578D"/>
                </w:placeholder>
              </w:sdtPr>
              <w:sdtEndPr/>
              <w:sdtContent>
                <w:r w:rsidR="005D70FA">
                  <w:t>TWA: 0.3 ppm</w:t>
                </w:r>
                <w:r w:rsidR="004F0F10">
                  <w:t xml:space="preserve"> (0.369 mg/m</w:t>
                </w:r>
                <w:r w:rsidR="004F0F10">
                  <w:rPr>
                    <w:vertAlign w:val="superscript"/>
                  </w:rPr>
                  <w:t>3</w:t>
                </w:r>
                <w:r w:rsidR="004F0F10">
                  <w:t>);</w:t>
                </w:r>
                <w:r w:rsidR="005D70FA">
                  <w:t xml:space="preserve"> STEL 0.6 ppm</w:t>
                </w:r>
                <w:r w:rsidR="004F0F10">
                  <w:t xml:space="preserve"> (0.738 mg/m</w:t>
                </w:r>
                <w:r w:rsidR="004F0F10">
                  <w:rPr>
                    <w:vertAlign w:val="superscript"/>
                  </w:rPr>
                  <w:t>3</w:t>
                </w:r>
                <w:r w:rsidR="004F0F10">
                  <w:t>)</w:t>
                </w:r>
              </w:sdtContent>
            </w:sdt>
          </w:p>
        </w:tc>
      </w:tr>
      <w:tr w:rsidR="00C978F0" w:rsidRPr="00DA352E" w14:paraId="763C61C4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1D9FBFAE" w14:textId="0C3C357B" w:rsidR="00860E98" w:rsidRDefault="00AB0F6B" w:rsidP="003365A5">
            <w:pPr>
              <w:pStyle w:val="Tabletextprimarysource"/>
            </w:pPr>
            <w:r>
              <w:t>TWA r</w:t>
            </w:r>
            <w:r w:rsidR="00561651">
              <w:t>ecommended to protect for</w:t>
            </w:r>
            <w:r w:rsidR="00860E98">
              <w:t xml:space="preserve"> sensory irritation and therefore, nasal cancer.</w:t>
            </w:r>
          </w:p>
          <w:p w14:paraId="148932D5" w14:textId="77777777" w:rsidR="00C978F0" w:rsidRDefault="005D70FA" w:rsidP="003365A5">
            <w:pPr>
              <w:pStyle w:val="Tabletextprimarysource"/>
            </w:pPr>
            <w:r>
              <w:t>Summary of additional data:</w:t>
            </w:r>
          </w:p>
          <w:p w14:paraId="6E6FC6D4" w14:textId="54D4E7E5" w:rsidR="005D70FA" w:rsidRDefault="005B138E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Genotoxic carcinogen with identified threshold</w:t>
            </w:r>
            <w:r w:rsidR="00860E98">
              <w:t xml:space="preserve">; </w:t>
            </w:r>
            <w:proofErr w:type="spellStart"/>
            <w:r w:rsidR="00860E98">
              <w:t>genotoxicity</w:t>
            </w:r>
            <w:proofErr w:type="spellEnd"/>
            <w:r w:rsidR="00860E98">
              <w:t xml:space="preserve"> plays minor role in carcinogenic effects at low concentrations (0.7 ppm lowest dose tested</w:t>
            </w:r>
            <w:r w:rsidR="0012514A">
              <w:t xml:space="preserve"> in monkey</w:t>
            </w:r>
            <w:r w:rsidR="001E4DE3">
              <w:t>s</w:t>
            </w:r>
            <w:r w:rsidR="00860E98">
              <w:t>)</w:t>
            </w:r>
          </w:p>
          <w:p w14:paraId="512BAEB9" w14:textId="614EDA9E" w:rsidR="00272D18" w:rsidRDefault="00DD361A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NOAEC</w:t>
            </w:r>
            <w:r w:rsidR="00272D18">
              <w:t xml:space="preserve"> of</w:t>
            </w:r>
            <w:r w:rsidR="00860E98">
              <w:t xml:space="preserve"> </w:t>
            </w:r>
            <w:r w:rsidR="00272D18">
              <w:t xml:space="preserve">1 ppm in </w:t>
            </w:r>
            <w:r w:rsidR="00860E98">
              <w:t>rats and monkeys</w:t>
            </w:r>
            <w:r w:rsidR="00272D18">
              <w:t xml:space="preserve"> for nasal effects (6 to 22 h</w:t>
            </w:r>
            <w:r w:rsidR="000D3A3F">
              <w:t>/d</w:t>
            </w:r>
            <w:r w:rsidR="00272D18">
              <w:t>)</w:t>
            </w:r>
          </w:p>
          <w:p w14:paraId="13DAC4DA" w14:textId="77777777" w:rsidR="00860E98" w:rsidRDefault="00272D18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LOAEL from four long term of 6 ppm for rats (</w:t>
            </w:r>
            <w:r w:rsidR="00860E98">
              <w:t>nasal cancer)</w:t>
            </w:r>
            <w:r>
              <w:t xml:space="preserve"> (no further information)</w:t>
            </w:r>
          </w:p>
          <w:p w14:paraId="4ABEAA46" w14:textId="77777777" w:rsidR="0012514A" w:rsidRDefault="0012514A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Local carcinogenicity effects (inhalational studies in animals) relevant to humans</w:t>
            </w:r>
          </w:p>
          <w:p w14:paraId="0F97196C" w14:textId="6F7D528F" w:rsidR="00860E98" w:rsidRDefault="00860E98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 xml:space="preserve">Prevention of irritation will prevent nasal cancer </w:t>
            </w:r>
            <w:r w:rsidR="00AB0F6B">
              <w:t>at low concentrations (&lt;</w:t>
            </w:r>
            <w:r w:rsidR="00534B50">
              <w:t>1 ppm)</w:t>
            </w:r>
          </w:p>
          <w:p w14:paraId="32B6FD7B" w14:textId="77777777" w:rsidR="00860E98" w:rsidRDefault="00860E98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Skin notation not assign</w:t>
            </w:r>
            <w:r w:rsidR="00534B50">
              <w:t>ed as local effects predominate</w:t>
            </w:r>
          </w:p>
          <w:p w14:paraId="312728D5" w14:textId="77777777" w:rsidR="00255125" w:rsidRDefault="00860E98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Dermal sensitisation notation assigned</w:t>
            </w:r>
            <w:r w:rsidR="00255125">
              <w:t xml:space="preserve"> based on </w:t>
            </w:r>
            <w:r w:rsidR="006060AB">
              <w:t xml:space="preserve">human </w:t>
            </w:r>
            <w:r w:rsidR="00255125">
              <w:t>results</w:t>
            </w:r>
          </w:p>
          <w:p w14:paraId="317035A7" w14:textId="77777777" w:rsidR="00B51015" w:rsidRDefault="00255125" w:rsidP="00D17E46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</w:pPr>
            <w:r>
              <w:t>R</w:t>
            </w:r>
            <w:r w:rsidR="00B51015">
              <w:t>espiratory sensitisation notation not wa</w:t>
            </w:r>
            <w:r w:rsidR="00534B50">
              <w:t>rranted as only rarely reported</w:t>
            </w:r>
            <w:r w:rsidR="006060AB">
              <w:t>.</w:t>
            </w:r>
          </w:p>
          <w:p w14:paraId="4656425A" w14:textId="61FFE7E5" w:rsidR="00AB0F6B" w:rsidRPr="00DA352E" w:rsidRDefault="00AB0F6B" w:rsidP="00AB0F6B">
            <w:pPr>
              <w:pStyle w:val="ListBullet"/>
              <w:numPr>
                <w:ilvl w:val="0"/>
                <w:numId w:val="0"/>
              </w:numPr>
              <w:ind w:left="731"/>
            </w:pPr>
          </w:p>
        </w:tc>
      </w:tr>
      <w:tr w:rsidR="00DA352E" w:rsidRPr="00DA352E" w14:paraId="091F104C" w14:textId="77777777" w:rsidTr="00D17E4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57F8BB3" w14:textId="77777777" w:rsidR="00DA352E" w:rsidRPr="00DA352E" w:rsidRDefault="00DA352E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D563810E59884E14A40C29C98B85E1A2"/>
                </w:placeholder>
                <w:text/>
              </w:sdtPr>
              <w:sdtEndPr/>
              <w:sdtContent>
                <w:r w:rsidR="004F4ACC" w:rsidDel="0023749B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4E753499141043D696F9A91BF9E06257"/>
                </w:placeholder>
              </w:sdtPr>
              <w:sdtEndPr/>
              <w:sdtContent>
                <w:proofErr w:type="spellStart"/>
                <w:r w:rsidR="004F4ACC">
                  <w:t>NA</w:t>
                </w:r>
                <w:proofErr w:type="spellEnd"/>
              </w:sdtContent>
            </w:sdt>
          </w:p>
        </w:tc>
      </w:tr>
      <w:tr w:rsidR="00DA352E" w:rsidRPr="00DA352E" w14:paraId="0E1AAC6B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07C0E4EA" w14:textId="6EE7CA2D" w:rsidR="00DA352E" w:rsidRPr="00DA352E" w:rsidRDefault="004F4ACC" w:rsidP="003365A5">
            <w:pPr>
              <w:pStyle w:val="Tabletextprimarysource"/>
            </w:pPr>
            <w:r w:rsidRPr="004F4ACC">
              <w:t>No report</w:t>
            </w:r>
            <w:r w:rsidR="004F34C4">
              <w:t>.</w:t>
            </w:r>
          </w:p>
        </w:tc>
      </w:tr>
      <w:tr w:rsidR="00DA352E" w:rsidRPr="00DA352E" w14:paraId="50F7D926" w14:textId="77777777" w:rsidTr="00D17E4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30553C52" w14:textId="77777777" w:rsidR="00DA352E" w:rsidRPr="00DA352E" w:rsidRDefault="00DA352E" w:rsidP="0075667B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09734DF49742E8BEE740346116DED4"/>
                </w:placeholder>
                <w:text/>
              </w:sdtPr>
              <w:sdtEndPr/>
              <w:sdtContent>
                <w:r w:rsidR="00B51015" w:rsidDel="0023749B">
                  <w:t>2003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101A12C0B3AC4AE7B0377A0287AF9CE8"/>
                </w:placeholder>
              </w:sdtPr>
              <w:sdtEndPr/>
              <w:sdtContent>
                <w:r w:rsidR="00B51015">
                  <w:t>TWA: 0.12 ppm</w:t>
                </w:r>
                <w:r w:rsidR="00255125">
                  <w:t xml:space="preserve"> (0.15 mg/m</w:t>
                </w:r>
                <w:r w:rsidR="00255125">
                  <w:rPr>
                    <w:vertAlign w:val="superscript"/>
                  </w:rPr>
                  <w:t>3</w:t>
                </w:r>
                <w:r w:rsidR="00255125">
                  <w:t>)</w:t>
                </w:r>
                <w:r w:rsidR="00B51015">
                  <w:t>, STEL</w:t>
                </w:r>
                <w:r w:rsidR="002132F0">
                  <w:t>:</w:t>
                </w:r>
                <w:r w:rsidR="00B51015">
                  <w:t xml:space="preserve"> 0.42 ppm</w:t>
                </w:r>
                <w:r w:rsidR="00255125">
                  <w:t xml:space="preserve"> (0.5 mg/m</w:t>
                </w:r>
                <w:r w:rsidR="00255125">
                  <w:rPr>
                    <w:vertAlign w:val="superscript"/>
                  </w:rPr>
                  <w:t>3</w:t>
                </w:r>
                <w:r w:rsidR="00255125">
                  <w:t>)</w:t>
                </w:r>
              </w:sdtContent>
            </w:sdt>
          </w:p>
        </w:tc>
      </w:tr>
      <w:tr w:rsidR="00DA352E" w:rsidRPr="00DA352E" w14:paraId="10D2F679" w14:textId="77777777" w:rsidTr="00D17E46">
        <w:trPr>
          <w:gridAfter w:val="1"/>
          <w:wAfter w:w="8" w:type="pct"/>
        </w:trPr>
        <w:tc>
          <w:tcPr>
            <w:tcW w:w="4992" w:type="pct"/>
          </w:tcPr>
          <w:p w14:paraId="4F526BF5" w14:textId="77777777" w:rsidR="00B51015" w:rsidRDefault="00B51015" w:rsidP="003365A5">
            <w:pPr>
              <w:pStyle w:val="Tabletextprimarysource"/>
            </w:pPr>
            <w:r>
              <w:t>TWA assigned to protect for sensory irritation and cellular changes in the nose that lead to nasal cancer.</w:t>
            </w:r>
          </w:p>
          <w:p w14:paraId="28047816" w14:textId="77777777" w:rsidR="00DA352E" w:rsidRDefault="00B51015" w:rsidP="003365A5">
            <w:pPr>
              <w:pStyle w:val="Tabletextprimarysource"/>
            </w:pPr>
            <w:r>
              <w:t>Summary of additional data:</w:t>
            </w:r>
          </w:p>
          <w:p w14:paraId="4E7FB4EA" w14:textId="77777777" w:rsidR="00A012C3" w:rsidRDefault="00A012C3" w:rsidP="00B94391">
            <w:pPr>
              <w:pStyle w:val="ListBullet"/>
              <w:tabs>
                <w:tab w:val="clear" w:pos="360"/>
              </w:tabs>
              <w:ind w:left="731"/>
            </w:pPr>
            <w:r>
              <w:t xml:space="preserve">TWA is based on a LOAEL of 0.25 ppm (sensory irritation) with a factor of 2 applied to compensate for extrapolation to a </w:t>
            </w:r>
            <w:r w:rsidR="00B22237">
              <w:t>NOAEL</w:t>
            </w:r>
          </w:p>
          <w:p w14:paraId="144C5572" w14:textId="3EC81E66" w:rsidR="00A012C3" w:rsidRDefault="00A012C3" w:rsidP="00B94391">
            <w:pPr>
              <w:pStyle w:val="ListBullet"/>
              <w:tabs>
                <w:tab w:val="clear" w:pos="360"/>
              </w:tabs>
              <w:ind w:left="731"/>
            </w:pPr>
            <w:r>
              <w:t xml:space="preserve">TWA </w:t>
            </w:r>
            <w:r w:rsidR="00561651">
              <w:t>sufficient</w:t>
            </w:r>
            <w:r>
              <w:t xml:space="preserve"> to protect workers against cytotoxicity-induced </w:t>
            </w:r>
            <w:proofErr w:type="spellStart"/>
            <w:r>
              <w:t>hyperproliferation</w:t>
            </w:r>
            <w:proofErr w:type="spellEnd"/>
            <w:r>
              <w:t xml:space="preserve"> of the nasal respiratory epithelium and consequently the risk of nasal cancer </w:t>
            </w:r>
          </w:p>
          <w:p w14:paraId="4F76A11F" w14:textId="77777777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RD</w:t>
            </w:r>
            <w:r w:rsidRPr="00B51015">
              <w:rPr>
                <w:vertAlign w:val="subscript"/>
              </w:rPr>
              <w:t>50</w:t>
            </w:r>
            <w:r w:rsidR="006F3B61">
              <w:t xml:space="preserve">: </w:t>
            </w:r>
            <w:r>
              <w:t>3 ppm</w:t>
            </w:r>
            <w:r w:rsidR="00C66032">
              <w:t xml:space="preserve"> </w:t>
            </w:r>
            <w:r w:rsidR="006F3B61">
              <w:t>(</w:t>
            </w:r>
            <w:r w:rsidR="00C66032">
              <w:t>mice</w:t>
            </w:r>
            <w:r w:rsidR="006F3B61">
              <w:t>, 10 min)</w:t>
            </w:r>
          </w:p>
          <w:p w14:paraId="151010A2" w14:textId="77777777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No convincing evidence of respiratory sensitisation</w:t>
            </w:r>
          </w:p>
          <w:p w14:paraId="245ADFAF" w14:textId="0F78AE78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Skin</w:t>
            </w:r>
            <w:r w:rsidR="00561651">
              <w:t xml:space="preserve"> sensitiser at concentrations &gt;</w:t>
            </w:r>
            <w:r>
              <w:t>2%</w:t>
            </w:r>
          </w:p>
          <w:p w14:paraId="4D440554" w14:textId="3BB98B88" w:rsidR="00B51015" w:rsidRDefault="00E03C97" w:rsidP="00B94391">
            <w:pPr>
              <w:pStyle w:val="ListBullet"/>
              <w:tabs>
                <w:tab w:val="clear" w:pos="360"/>
              </w:tabs>
              <w:ind w:left="731"/>
            </w:pPr>
            <w:r>
              <w:t>High incidence of n</w:t>
            </w:r>
            <w:r w:rsidR="00B51015">
              <w:t xml:space="preserve">asal cancer reported in </w:t>
            </w:r>
            <w:r>
              <w:t>rats</w:t>
            </w:r>
            <w:r w:rsidR="00561651">
              <w:t xml:space="preserve"> at &gt;</w:t>
            </w:r>
            <w:r w:rsidR="00B51015">
              <w:t>10 ppm</w:t>
            </w:r>
            <w:r w:rsidR="00055DCA">
              <w:t xml:space="preserve"> (no further details)</w:t>
            </w:r>
          </w:p>
          <w:p w14:paraId="458D4FAA" w14:textId="1479845C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Long term chronic inhalational studies in animals report non-neoplastic adverse effects at &gt;2 ppm</w:t>
            </w:r>
            <w:r w:rsidR="00055DCA">
              <w:t xml:space="preserve"> (no further details)</w:t>
            </w:r>
          </w:p>
          <w:p w14:paraId="59361907" w14:textId="77777777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Positive genotoxic results in variety of experimental systems</w:t>
            </w:r>
          </w:p>
          <w:p w14:paraId="0B6B0D71" w14:textId="77777777" w:rsidR="00055DCA" w:rsidRDefault="00055DCA" w:rsidP="00B94391">
            <w:pPr>
              <w:pStyle w:val="ListBullet"/>
              <w:tabs>
                <w:tab w:val="clear" w:pos="360"/>
              </w:tabs>
              <w:ind w:left="731"/>
            </w:pPr>
            <w:r>
              <w:t>Reported a steep non-linear dose-response curve for nasal tumours</w:t>
            </w:r>
          </w:p>
          <w:p w14:paraId="5B1F4047" w14:textId="77777777" w:rsidR="00B51015" w:rsidRDefault="00B51015" w:rsidP="00B94391">
            <w:pPr>
              <w:pStyle w:val="ListBullet"/>
              <w:tabs>
                <w:tab w:val="clear" w:pos="360"/>
              </w:tabs>
              <w:ind w:left="731"/>
            </w:pPr>
            <w:r>
              <w:t>Not found to affect reproduction in animal inhalational studies</w:t>
            </w:r>
            <w:r w:rsidR="003F60A4">
              <w:t>.</w:t>
            </w:r>
          </w:p>
          <w:p w14:paraId="24EF711C" w14:textId="2000D605" w:rsidR="00AB0F6B" w:rsidRPr="00DA352E" w:rsidRDefault="00AB0F6B" w:rsidP="00AB0F6B">
            <w:pPr>
              <w:pStyle w:val="ListBullet"/>
              <w:numPr>
                <w:ilvl w:val="0"/>
                <w:numId w:val="0"/>
              </w:numPr>
              <w:ind w:left="731"/>
            </w:pPr>
          </w:p>
        </w:tc>
      </w:tr>
    </w:tbl>
    <w:p w14:paraId="08463562" w14:textId="77777777" w:rsidR="00CB6573" w:rsidRPr="004C23F4" w:rsidRDefault="00CB6573" w:rsidP="00CB6573">
      <w:pPr>
        <w:pStyle w:val="Heading3"/>
      </w:pPr>
      <w:bookmarkStart w:id="0" w:name="SecondSource"/>
      <w:r w:rsidRPr="004C23F4">
        <w:t xml:space="preserve">Secondary </w:t>
      </w:r>
      <w:r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5"/>
        <w:gridCol w:w="422"/>
        <w:gridCol w:w="661"/>
        <w:gridCol w:w="6448"/>
      </w:tblGrid>
      <w:tr w:rsidR="004966BF" w:rsidRPr="00263255" w14:paraId="12F3E256" w14:textId="77777777" w:rsidTr="006F3B61">
        <w:trPr>
          <w:cantSplit/>
          <w:trHeight w:val="393"/>
          <w:tblHeader/>
        </w:trPr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87AB7A3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66E3A32E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45F81A0A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8" w:type="dxa"/>
            <w:shd w:val="clear" w:color="auto" w:fill="BFBFBF" w:themeFill="background1" w:themeFillShade="BF"/>
            <w:vAlign w:val="center"/>
          </w:tcPr>
          <w:p w14:paraId="5A0BD4E9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102D67F0" w14:textId="77777777" w:rsidTr="006F3B61">
        <w:trPr>
          <w:cantSplit/>
        </w:trPr>
        <w:tc>
          <w:tcPr>
            <w:tcW w:w="1495" w:type="dxa"/>
          </w:tcPr>
          <w:p w14:paraId="313EC21A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2" w:type="dxa"/>
          </w:tcPr>
          <w:p w14:paraId="4FA93683" w14:textId="77777777" w:rsidR="004966BF" w:rsidRPr="00CE617F" w:rsidRDefault="0093419A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8B0DF1B68C0546918688DEBB9579C092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E9157B" w:rsidDel="0023749B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299D1BFA" w14:textId="77777777" w:rsidR="004966BF" w:rsidRPr="004C23F4" w:rsidRDefault="00BB747E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2006</w:t>
            </w:r>
          </w:p>
        </w:tc>
        <w:tc>
          <w:tcPr>
            <w:tcW w:w="6448" w:type="dxa"/>
          </w:tcPr>
          <w:p w14:paraId="0B471E3D" w14:textId="77777777" w:rsidR="004966BF" w:rsidRDefault="0015444F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 xml:space="preserve">A </w:t>
            </w:r>
            <w:r w:rsidR="00935A5B">
              <w:rPr>
                <w:rStyle w:val="checkbox"/>
                <w:rFonts w:ascii="Arial" w:hAnsi="Arial" w:cs="Arial"/>
              </w:rPr>
              <w:t>LOEL</w:t>
            </w:r>
            <w:r>
              <w:rPr>
                <w:rStyle w:val="checkbox"/>
                <w:rFonts w:ascii="Arial" w:hAnsi="Arial" w:cs="Arial"/>
              </w:rPr>
              <w:t xml:space="preserve"> of 0.5 ppm reported for sensory irritation in humans</w:t>
            </w:r>
          </w:p>
          <w:p w14:paraId="425FCA86" w14:textId="77777777" w:rsidR="00A82013" w:rsidRDefault="00A82013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LD</w:t>
            </w:r>
            <w:r w:rsidR="003F60A4">
              <w:rPr>
                <w:rStyle w:val="checkbox"/>
                <w:rFonts w:ascii="Arial" w:hAnsi="Arial" w:cs="Arial"/>
                <w:vertAlign w:val="subscript"/>
              </w:rPr>
              <w:t>50</w:t>
            </w:r>
            <w:r w:rsidR="003F60A4" w:rsidRPr="003F60A4">
              <w:rPr>
                <w:rStyle w:val="checkbox"/>
                <w:rFonts w:ascii="Arial" w:hAnsi="Arial" w:cs="Arial"/>
              </w:rPr>
              <w:t>:</w:t>
            </w:r>
            <w:r w:rsidR="003F60A4">
              <w:rPr>
                <w:rStyle w:val="checkbox"/>
                <w:rFonts w:ascii="Arial" w:hAnsi="Arial" w:cs="Arial"/>
              </w:rPr>
              <w:t xml:space="preserve"> </w:t>
            </w:r>
            <w:r>
              <w:rPr>
                <w:rStyle w:val="checkbox"/>
                <w:rFonts w:ascii="Arial" w:hAnsi="Arial" w:cs="Arial"/>
              </w:rPr>
              <w:t xml:space="preserve">270 mg/kg </w:t>
            </w:r>
            <w:r w:rsidR="003F60A4">
              <w:rPr>
                <w:rStyle w:val="checkbox"/>
                <w:rFonts w:ascii="Arial" w:hAnsi="Arial" w:cs="Arial"/>
              </w:rPr>
              <w:t>(</w:t>
            </w:r>
            <w:r>
              <w:rPr>
                <w:rStyle w:val="checkbox"/>
                <w:rFonts w:ascii="Arial" w:hAnsi="Arial" w:cs="Arial"/>
              </w:rPr>
              <w:t>rabbits</w:t>
            </w:r>
            <w:r w:rsidR="003F60A4">
              <w:rPr>
                <w:rStyle w:val="checkbox"/>
                <w:rFonts w:ascii="Arial" w:hAnsi="Arial" w:cs="Arial"/>
              </w:rPr>
              <w:t>, dermal)</w:t>
            </w:r>
          </w:p>
          <w:p w14:paraId="6FE951A4" w14:textId="21FAA6F1" w:rsidR="00E146D0" w:rsidRDefault="00E146D0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LC</w:t>
            </w:r>
            <w:r>
              <w:rPr>
                <w:rStyle w:val="checkbox"/>
                <w:rFonts w:ascii="Arial" w:hAnsi="Arial" w:cs="Arial"/>
                <w:vertAlign w:val="subscript"/>
              </w:rPr>
              <w:t>50</w:t>
            </w:r>
            <w:r w:rsidR="003F60A4">
              <w:rPr>
                <w:rStyle w:val="checkbox"/>
                <w:rFonts w:ascii="Arial" w:hAnsi="Arial" w:cs="Arial"/>
              </w:rPr>
              <w:t xml:space="preserve">: </w:t>
            </w:r>
            <w:r>
              <w:rPr>
                <w:rStyle w:val="checkbox"/>
                <w:rFonts w:ascii="Arial" w:hAnsi="Arial" w:cs="Arial"/>
              </w:rPr>
              <w:t>414 ppm (497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>
              <w:rPr>
                <w:rStyle w:val="checkbox"/>
                <w:rFonts w:ascii="Arial" w:hAnsi="Arial" w:cs="Arial"/>
              </w:rPr>
              <w:t xml:space="preserve">) </w:t>
            </w:r>
            <w:r w:rsidR="003F60A4">
              <w:rPr>
                <w:rStyle w:val="checkbox"/>
                <w:rFonts w:ascii="Arial" w:hAnsi="Arial" w:cs="Arial"/>
              </w:rPr>
              <w:t>(</w:t>
            </w:r>
            <w:r>
              <w:rPr>
                <w:rStyle w:val="checkbox"/>
                <w:rFonts w:ascii="Arial" w:hAnsi="Arial" w:cs="Arial"/>
              </w:rPr>
              <w:t>mice</w:t>
            </w:r>
            <w:r w:rsidR="003F60A4">
              <w:rPr>
                <w:rStyle w:val="checkbox"/>
                <w:rFonts w:ascii="Arial" w:hAnsi="Arial" w:cs="Arial"/>
              </w:rPr>
              <w:t>,</w:t>
            </w:r>
            <w:r>
              <w:rPr>
                <w:rStyle w:val="checkbox"/>
                <w:rFonts w:ascii="Arial" w:hAnsi="Arial" w:cs="Arial"/>
              </w:rPr>
              <w:t xml:space="preserve"> 4 </w:t>
            </w:r>
            <w:r w:rsidR="003F60A4">
              <w:rPr>
                <w:rStyle w:val="checkbox"/>
                <w:rFonts w:ascii="Arial" w:hAnsi="Arial" w:cs="Arial"/>
              </w:rPr>
              <w:t>h)</w:t>
            </w:r>
          </w:p>
          <w:p w14:paraId="64EDEE0C" w14:textId="77777777" w:rsidR="00BB747E" w:rsidRDefault="00BB747E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Strong skin sensitiser</w:t>
            </w:r>
          </w:p>
          <w:p w14:paraId="16D22ABD" w14:textId="77777777" w:rsidR="00BE09CA" w:rsidRDefault="00BE09CA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BE09CA">
              <w:rPr>
                <w:rFonts w:cs="Arial"/>
                <w:lang w:val="en-US"/>
              </w:rPr>
              <w:t xml:space="preserve">The available human and animal data indicate gaseous formaldehyde is unlikely to induce respiratory </w:t>
            </w:r>
            <w:proofErr w:type="spellStart"/>
            <w:r w:rsidRPr="00BE09CA">
              <w:rPr>
                <w:rFonts w:cs="Arial"/>
                <w:lang w:val="en-US"/>
              </w:rPr>
              <w:t>sensitisation</w:t>
            </w:r>
            <w:proofErr w:type="spellEnd"/>
          </w:p>
          <w:p w14:paraId="17BE491D" w14:textId="77777777" w:rsidR="00A82013" w:rsidRDefault="00A82013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t>No</w:t>
            </w:r>
            <w:r>
              <w:rPr>
                <w:spacing w:val="53"/>
              </w:rPr>
              <w:t xml:space="preserve"> </w:t>
            </w:r>
            <w:r>
              <w:t>s</w:t>
            </w:r>
            <w:r>
              <w:rPr>
                <w:spacing w:val="1"/>
              </w:rPr>
              <w:t>y</w:t>
            </w:r>
            <w:r>
              <w:t>ste</w:t>
            </w:r>
            <w:r>
              <w:rPr>
                <w:spacing w:val="-2"/>
              </w:rPr>
              <w:t>m</w:t>
            </w:r>
            <w:r>
              <w:t>ic</w:t>
            </w:r>
            <w:r>
              <w:rPr>
                <w:spacing w:val="54"/>
              </w:rPr>
              <w:t xml:space="preserve"> </w:t>
            </w:r>
            <w:r>
              <w:t>toxici</w:t>
            </w:r>
            <w:r>
              <w:rPr>
                <w:spacing w:val="-1"/>
              </w:rPr>
              <w:t>t</w:t>
            </w:r>
            <w:r>
              <w:t>y w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54"/>
              </w:rPr>
              <w:t xml:space="preserve"> </w:t>
            </w:r>
            <w:r>
              <w:t>observed</w:t>
            </w:r>
            <w:r>
              <w:rPr>
                <w:spacing w:val="53"/>
              </w:rPr>
              <w:t xml:space="preserve"> </w:t>
            </w:r>
            <w:r>
              <w:t>follow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54"/>
              </w:rPr>
              <w:t xml:space="preserve"> </w:t>
            </w:r>
            <w:r>
              <w:t>re</w:t>
            </w:r>
            <w:r>
              <w:rPr>
                <w:spacing w:val="-1"/>
              </w:rPr>
              <w:t>p</w:t>
            </w:r>
            <w:r>
              <w:t>eated</w:t>
            </w:r>
            <w:r>
              <w:rPr>
                <w:spacing w:val="54"/>
              </w:rPr>
              <w:t xml:space="preserve"> </w:t>
            </w:r>
            <w:r>
              <w:t>exposure</w:t>
            </w:r>
            <w:r>
              <w:rPr>
                <w:spacing w:val="53"/>
              </w:rPr>
              <w:t xml:space="preserve"> </w:t>
            </w:r>
            <w:r>
              <w:t>to</w:t>
            </w:r>
            <w:r>
              <w:rPr>
                <w:spacing w:val="5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>m</w:t>
            </w:r>
            <w:r>
              <w:t>alde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y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in</w:t>
            </w:r>
            <w:r>
              <w:rPr>
                <w:w w:val="99"/>
              </w:rPr>
              <w:t xml:space="preserve"> </w:t>
            </w:r>
            <w:r>
              <w:t>an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m</w:t>
            </w:r>
            <w:r>
              <w:t>als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hu</w:t>
            </w:r>
            <w:r>
              <w:rPr>
                <w:spacing w:val="-2"/>
              </w:rPr>
              <w:t>m</w:t>
            </w:r>
            <w:r>
              <w:t>ans</w:t>
            </w:r>
          </w:p>
          <w:p w14:paraId="7A0796B4" w14:textId="6C6B85E4" w:rsidR="00BB747E" w:rsidRPr="004C23F4" w:rsidRDefault="00D0233F" w:rsidP="00D17E46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 xml:space="preserve">Recommends that the current Australian workplace exposure standard be set at TWA </w:t>
            </w:r>
            <w:r w:rsidR="00DD361A">
              <w:rPr>
                <w:rStyle w:val="checkbox"/>
                <w:rFonts w:ascii="Arial" w:hAnsi="Arial" w:cs="Arial"/>
              </w:rPr>
              <w:t xml:space="preserve">of </w:t>
            </w:r>
            <w:r w:rsidR="00BB747E">
              <w:rPr>
                <w:rStyle w:val="checkbox"/>
                <w:rFonts w:ascii="Arial" w:hAnsi="Arial" w:cs="Arial"/>
              </w:rPr>
              <w:t>0.3 ppm</w:t>
            </w:r>
            <w:r>
              <w:rPr>
                <w:rStyle w:val="checkbox"/>
                <w:rFonts w:ascii="Arial" w:hAnsi="Arial" w:cs="Arial"/>
              </w:rPr>
              <w:t xml:space="preserve"> and</w:t>
            </w:r>
            <w:r w:rsidR="00BB747E">
              <w:rPr>
                <w:rStyle w:val="checkbox"/>
                <w:rFonts w:ascii="Arial" w:hAnsi="Arial" w:cs="Arial"/>
              </w:rPr>
              <w:t xml:space="preserve"> STEL</w:t>
            </w:r>
            <w:r w:rsidR="00DD361A">
              <w:rPr>
                <w:rStyle w:val="checkbox"/>
                <w:rFonts w:ascii="Arial" w:hAnsi="Arial" w:cs="Arial"/>
              </w:rPr>
              <w:t xml:space="preserve"> of </w:t>
            </w:r>
            <w:r w:rsidR="00BB747E">
              <w:rPr>
                <w:rStyle w:val="checkbox"/>
                <w:rFonts w:ascii="Arial" w:hAnsi="Arial" w:cs="Arial"/>
              </w:rPr>
              <w:t xml:space="preserve">0.6 ppm </w:t>
            </w:r>
            <w:r>
              <w:rPr>
                <w:rStyle w:val="checkbox"/>
                <w:rFonts w:ascii="Arial" w:hAnsi="Arial" w:cs="Arial"/>
              </w:rPr>
              <w:t>(no evidence to support)</w:t>
            </w:r>
            <w:r w:rsidR="003F60A4">
              <w:rPr>
                <w:rStyle w:val="checkbox"/>
                <w:rFonts w:ascii="Arial" w:hAnsi="Arial" w:cs="Arial"/>
              </w:rPr>
              <w:t>.</w:t>
            </w:r>
          </w:p>
        </w:tc>
      </w:tr>
    </w:tbl>
    <w:bookmarkEnd w:id="0"/>
    <w:p w14:paraId="45C3F7CF" w14:textId="77777777" w:rsidR="006F3B61" w:rsidRDefault="006F3B61" w:rsidP="006F3B61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9"/>
        <w:gridCol w:w="2417"/>
      </w:tblGrid>
      <w:tr w:rsidR="006F3B61" w14:paraId="0E5C5C05" w14:textId="77777777" w:rsidTr="009F055E">
        <w:trPr>
          <w:trHeight w:val="454"/>
          <w:tblHeader/>
        </w:trPr>
        <w:tc>
          <w:tcPr>
            <w:tcW w:w="6609" w:type="dxa"/>
            <w:vAlign w:val="center"/>
          </w:tcPr>
          <w:p w14:paraId="0A06AAFA" w14:textId="77777777" w:rsidR="006F3B61" w:rsidRDefault="006F3B61" w:rsidP="009F055E">
            <w:pPr>
              <w:pStyle w:val="Tablefont"/>
              <w:keepNext/>
              <w:keepLines/>
              <w:spacing w:before="40" w:after="40"/>
            </w:pPr>
            <w:r>
              <w:t>Is the chemical mutagenic?</w:t>
            </w:r>
          </w:p>
        </w:tc>
        <w:sdt>
          <w:sdtPr>
            <w:id w:val="319705052"/>
            <w:placeholder>
              <w:docPart w:val="033E4D179AA64C35AECD4A7592ACE1A6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17" w:type="dxa"/>
                <w:vAlign w:val="center"/>
              </w:tcPr>
              <w:p w14:paraId="3CD9E614" w14:textId="77777777" w:rsidR="006F3B61" w:rsidRDefault="006F3B61" w:rsidP="009F055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</w:tbl>
    <w:p w14:paraId="07F03842" w14:textId="77777777" w:rsidR="00485BFD" w:rsidRDefault="00B479A9" w:rsidP="006F3B61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Notations"/>
        <w:tblDescription w:val="This table has a summary of the sources and their notations. This inclues SWA, HCIS, NICNAS, EU Annex, ECHA, ACGIH, DFG, SCOEL, HcoTN, IARC, US NIOSH"/>
      </w:tblPr>
      <w:tblGrid>
        <w:gridCol w:w="3153"/>
        <w:gridCol w:w="5873"/>
      </w:tblGrid>
      <w:tr w:rsidR="006F3B61" w:rsidRPr="004C23F4" w14:paraId="18DA8EDA" w14:textId="77777777" w:rsidTr="006F3B61">
        <w:trPr>
          <w:cantSplit/>
          <w:tblHeader/>
        </w:trPr>
        <w:tc>
          <w:tcPr>
            <w:tcW w:w="3153" w:type="dxa"/>
            <w:shd w:val="clear" w:color="auto" w:fill="BFBFBF" w:themeFill="background1" w:themeFillShade="BF"/>
            <w:vAlign w:val="center"/>
          </w:tcPr>
          <w:p w14:paraId="25AAF91F" w14:textId="77777777" w:rsidR="006F3B61" w:rsidRPr="004C23F4" w:rsidRDefault="006F3B61" w:rsidP="009F055E">
            <w:pPr>
              <w:pStyle w:val="Tableheader"/>
            </w:pPr>
            <w:r w:rsidRPr="004C23F4">
              <w:t>Source</w:t>
            </w:r>
          </w:p>
        </w:tc>
        <w:tc>
          <w:tcPr>
            <w:tcW w:w="5873" w:type="dxa"/>
            <w:shd w:val="clear" w:color="auto" w:fill="BFBFBF" w:themeFill="background1" w:themeFillShade="BF"/>
            <w:vAlign w:val="center"/>
          </w:tcPr>
          <w:p w14:paraId="2B23D622" w14:textId="77777777" w:rsidR="006F3B61" w:rsidRPr="004C23F4" w:rsidRDefault="006F3B61" w:rsidP="009F055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>
              <w:tab/>
            </w:r>
          </w:p>
        </w:tc>
      </w:tr>
      <w:tr w:rsidR="006F3B61" w:rsidRPr="00DD2F9B" w14:paraId="74D48A53" w14:textId="77777777" w:rsidTr="006F3B61">
        <w:trPr>
          <w:cantSplit/>
        </w:trPr>
        <w:tc>
          <w:tcPr>
            <w:tcW w:w="3153" w:type="dxa"/>
          </w:tcPr>
          <w:p w14:paraId="13A6F307" w14:textId="77777777" w:rsidR="006F3B61" w:rsidRPr="004C23F4" w:rsidRDefault="006F3B61" w:rsidP="009F055E">
            <w:pPr>
              <w:pStyle w:val="Tablefont"/>
            </w:pPr>
            <w:r w:rsidRPr="004C23F4">
              <w:t>SWA</w:t>
            </w:r>
          </w:p>
        </w:tc>
        <w:tc>
          <w:tcPr>
            <w:tcW w:w="5873" w:type="dxa"/>
          </w:tcPr>
          <w:p w14:paraId="06C5FF01" w14:textId="77777777" w:rsidR="006F3B61" w:rsidRPr="00DD2F9B" w:rsidRDefault="006F3B61" w:rsidP="009F055E">
            <w:pPr>
              <w:pStyle w:val="Tablefont"/>
            </w:pPr>
            <w:proofErr w:type="spellStart"/>
            <w:r>
              <w:t>Carc</w:t>
            </w:r>
            <w:proofErr w:type="spellEnd"/>
            <w:r>
              <w:t xml:space="preserve">. 2; </w:t>
            </w:r>
            <w:r w:rsidR="004D2B96">
              <w:t>SK:SEN</w:t>
            </w:r>
          </w:p>
        </w:tc>
      </w:tr>
      <w:tr w:rsidR="006F3B61" w:rsidRPr="00DD2F9B" w14:paraId="6ABEC809" w14:textId="77777777" w:rsidTr="006F3B61">
        <w:trPr>
          <w:cantSplit/>
        </w:trPr>
        <w:tc>
          <w:tcPr>
            <w:tcW w:w="3153" w:type="dxa"/>
          </w:tcPr>
          <w:p w14:paraId="18CB7E80" w14:textId="77777777" w:rsidR="006F3B61" w:rsidRPr="004C23F4" w:rsidRDefault="006F3B61" w:rsidP="009F055E">
            <w:pPr>
              <w:pStyle w:val="Tablefont"/>
            </w:pPr>
            <w:r>
              <w:t>HCIS</w:t>
            </w:r>
          </w:p>
        </w:tc>
        <w:tc>
          <w:tcPr>
            <w:tcW w:w="5873" w:type="dxa"/>
          </w:tcPr>
          <w:p w14:paraId="51C0C127" w14:textId="77777777" w:rsidR="006F3B61" w:rsidRPr="00DD2F9B" w:rsidRDefault="006F3B61" w:rsidP="009F055E">
            <w:pPr>
              <w:pStyle w:val="Tablefont"/>
            </w:pPr>
            <w:r w:rsidRPr="00C372C7">
              <w:t>Carcinogenicity – category 1B</w:t>
            </w:r>
            <w:r>
              <w:t xml:space="preserve">; </w:t>
            </w:r>
            <w:r w:rsidRPr="001C15E5">
              <w:t>Skin sensitisation – category 1</w:t>
            </w:r>
          </w:p>
        </w:tc>
      </w:tr>
      <w:tr w:rsidR="006F3B61" w:rsidRPr="00DD2F9B" w14:paraId="018DB3C9" w14:textId="77777777" w:rsidTr="006F3B61">
        <w:trPr>
          <w:cantSplit/>
        </w:trPr>
        <w:tc>
          <w:tcPr>
            <w:tcW w:w="3153" w:type="dxa"/>
          </w:tcPr>
          <w:p w14:paraId="340CFD6D" w14:textId="77777777" w:rsidR="006F3B61" w:rsidRPr="00FF2703" w:rsidRDefault="006F3B61" w:rsidP="009F055E">
            <w:pPr>
              <w:pStyle w:val="Tablefont"/>
            </w:pPr>
            <w:r w:rsidRPr="00FF2703">
              <w:t>NICNAS</w:t>
            </w:r>
          </w:p>
        </w:tc>
        <w:tc>
          <w:tcPr>
            <w:tcW w:w="5873" w:type="dxa"/>
          </w:tcPr>
          <w:p w14:paraId="7163179C" w14:textId="77777777" w:rsidR="006F3B61" w:rsidRPr="00DD2F9B" w:rsidRDefault="0025483C" w:rsidP="009F055E">
            <w:pPr>
              <w:pStyle w:val="Tablefont"/>
            </w:pPr>
            <w:r>
              <w:t xml:space="preserve">Carcinogen – category 2 </w:t>
            </w:r>
          </w:p>
        </w:tc>
      </w:tr>
      <w:tr w:rsidR="006F3B61" w:rsidRPr="00DD2F9B" w14:paraId="7C6D8677" w14:textId="77777777" w:rsidTr="006F3B61">
        <w:trPr>
          <w:cantSplit/>
        </w:trPr>
        <w:tc>
          <w:tcPr>
            <w:tcW w:w="3153" w:type="dxa"/>
          </w:tcPr>
          <w:p w14:paraId="3436E017" w14:textId="77777777" w:rsidR="006F3B61" w:rsidRPr="00FF2703" w:rsidRDefault="006F3B61" w:rsidP="009F055E">
            <w:pPr>
              <w:pStyle w:val="Tablefont"/>
            </w:pPr>
            <w:r w:rsidRPr="00FF2703">
              <w:t>EU Annex</w:t>
            </w:r>
          </w:p>
        </w:tc>
        <w:tc>
          <w:tcPr>
            <w:tcW w:w="5873" w:type="dxa"/>
          </w:tcPr>
          <w:p w14:paraId="383FA36E" w14:textId="77777777" w:rsidR="006F3B61" w:rsidRPr="00DD2F9B" w:rsidRDefault="00796E62" w:rsidP="009F055E">
            <w:pPr>
              <w:pStyle w:val="Tablefont"/>
            </w:pPr>
            <w:r>
              <w:t>Carcinogenicity – category 1B; Skin sensitisation – category 1</w:t>
            </w:r>
          </w:p>
        </w:tc>
      </w:tr>
      <w:tr w:rsidR="006F3B61" w:rsidRPr="00DD2F9B" w14:paraId="63BADF6A" w14:textId="77777777" w:rsidTr="006F3B61">
        <w:trPr>
          <w:cantSplit/>
        </w:trPr>
        <w:tc>
          <w:tcPr>
            <w:tcW w:w="3153" w:type="dxa"/>
          </w:tcPr>
          <w:p w14:paraId="10CC811D" w14:textId="77777777" w:rsidR="006F3B61" w:rsidRPr="00FF2703" w:rsidRDefault="006F3B61" w:rsidP="009F055E">
            <w:pPr>
              <w:pStyle w:val="Tablefont"/>
            </w:pPr>
            <w:r w:rsidRPr="00FF2703">
              <w:lastRenderedPageBreak/>
              <w:t>ECHA</w:t>
            </w:r>
          </w:p>
        </w:tc>
        <w:tc>
          <w:tcPr>
            <w:tcW w:w="5873" w:type="dxa"/>
          </w:tcPr>
          <w:p w14:paraId="1081EF02" w14:textId="77777777" w:rsidR="006F3B61" w:rsidRPr="00DD2F9B" w:rsidRDefault="004839EF" w:rsidP="009F055E">
            <w:pPr>
              <w:pStyle w:val="Tablefont"/>
            </w:pPr>
            <w:r>
              <w:t xml:space="preserve">Carcinogenicity – category 1B </w:t>
            </w:r>
          </w:p>
        </w:tc>
      </w:tr>
      <w:tr w:rsidR="006F3B61" w:rsidRPr="00DD2F9B" w14:paraId="5B470CAA" w14:textId="77777777" w:rsidTr="006F3B61">
        <w:trPr>
          <w:cantSplit/>
        </w:trPr>
        <w:tc>
          <w:tcPr>
            <w:tcW w:w="3153" w:type="dxa"/>
          </w:tcPr>
          <w:p w14:paraId="1319CE7C" w14:textId="77777777" w:rsidR="006F3B61" w:rsidRPr="001544D2" w:rsidRDefault="006F3B61" w:rsidP="009F055E">
            <w:pPr>
              <w:pStyle w:val="Tablefont"/>
            </w:pPr>
            <w:r w:rsidRPr="001544D2">
              <w:t>ACGIH</w:t>
            </w:r>
          </w:p>
        </w:tc>
        <w:tc>
          <w:tcPr>
            <w:tcW w:w="5873" w:type="dxa"/>
          </w:tcPr>
          <w:p w14:paraId="601330E1" w14:textId="77777777" w:rsidR="006F3B61" w:rsidRPr="00DD2F9B" w:rsidRDefault="006F3B61" w:rsidP="009F055E">
            <w:pPr>
              <w:pStyle w:val="Tablefont"/>
            </w:pPr>
            <w:r>
              <w:t>Carcinogen A1; DSEN; RSEN</w:t>
            </w:r>
          </w:p>
        </w:tc>
      </w:tr>
      <w:tr w:rsidR="006F3B61" w:rsidRPr="00DD2F9B" w14:paraId="3CE64180" w14:textId="77777777" w:rsidTr="006F3B61">
        <w:trPr>
          <w:cantSplit/>
        </w:trPr>
        <w:tc>
          <w:tcPr>
            <w:tcW w:w="3153" w:type="dxa"/>
          </w:tcPr>
          <w:p w14:paraId="4FBDC94C" w14:textId="77777777" w:rsidR="006F3B61" w:rsidRPr="001544D2" w:rsidRDefault="006F3B61" w:rsidP="009F055E">
            <w:pPr>
              <w:pStyle w:val="Tablefont"/>
            </w:pPr>
            <w:r w:rsidRPr="001544D2">
              <w:t>DFG</w:t>
            </w:r>
          </w:p>
        </w:tc>
        <w:tc>
          <w:tcPr>
            <w:tcW w:w="5873" w:type="dxa"/>
          </w:tcPr>
          <w:p w14:paraId="3EE045E5" w14:textId="77777777" w:rsidR="006F3B61" w:rsidRPr="00DD2F9B" w:rsidRDefault="006F3B61" w:rsidP="003012EF">
            <w:pPr>
              <w:pStyle w:val="Tablefont"/>
            </w:pPr>
            <w:r>
              <w:t>Carcinogenicity category 4</w:t>
            </w:r>
            <w:r w:rsidR="004D2B96">
              <w:t>;</w:t>
            </w:r>
            <w:r>
              <w:t xml:space="preserve"> </w:t>
            </w:r>
            <w:proofErr w:type="spellStart"/>
            <w:r w:rsidR="003012EF">
              <w:t>Sh</w:t>
            </w:r>
            <w:proofErr w:type="spellEnd"/>
          </w:p>
        </w:tc>
      </w:tr>
      <w:tr w:rsidR="006F3B61" w:rsidRPr="00DD2F9B" w14:paraId="30ED868F" w14:textId="77777777" w:rsidTr="006F3B61">
        <w:trPr>
          <w:cantSplit/>
        </w:trPr>
        <w:tc>
          <w:tcPr>
            <w:tcW w:w="3153" w:type="dxa"/>
          </w:tcPr>
          <w:p w14:paraId="686BA723" w14:textId="77777777" w:rsidR="006F3B61" w:rsidRPr="001544D2" w:rsidRDefault="006F3B61" w:rsidP="009F055E">
            <w:pPr>
              <w:pStyle w:val="Tablefont"/>
            </w:pPr>
            <w:r w:rsidRPr="001544D2">
              <w:t>SCOEL</w:t>
            </w:r>
          </w:p>
        </w:tc>
        <w:tc>
          <w:tcPr>
            <w:tcW w:w="5873" w:type="dxa"/>
          </w:tcPr>
          <w:p w14:paraId="04F7C92D" w14:textId="77777777" w:rsidR="006F3B61" w:rsidRPr="00DD2F9B" w:rsidRDefault="006F3B61" w:rsidP="009F055E">
            <w:pPr>
              <w:pStyle w:val="Tablefont"/>
            </w:pPr>
            <w:r>
              <w:t>Carcinogenicity – C; Sensitisation (Dermal)</w:t>
            </w:r>
          </w:p>
        </w:tc>
      </w:tr>
      <w:tr w:rsidR="006F3B61" w:rsidRPr="00DD2F9B" w14:paraId="5828304D" w14:textId="77777777" w:rsidTr="006F3B61">
        <w:trPr>
          <w:cantSplit/>
        </w:trPr>
        <w:tc>
          <w:tcPr>
            <w:tcW w:w="3153" w:type="dxa"/>
          </w:tcPr>
          <w:p w14:paraId="234FF32B" w14:textId="77777777" w:rsidR="006F3B61" w:rsidRPr="001544D2" w:rsidRDefault="006F3B61" w:rsidP="009F055E">
            <w:pPr>
              <w:pStyle w:val="Tablefont"/>
              <w:rPr>
                <w:highlight w:val="cyan"/>
              </w:rPr>
            </w:pPr>
            <w:r w:rsidRPr="00FF2703">
              <w:t>HCOTN</w:t>
            </w:r>
          </w:p>
        </w:tc>
        <w:tc>
          <w:tcPr>
            <w:tcW w:w="5873" w:type="dxa"/>
          </w:tcPr>
          <w:p w14:paraId="4D307C95" w14:textId="77777777" w:rsidR="006F3B61" w:rsidRPr="00DD2F9B" w:rsidRDefault="00020C99" w:rsidP="00796E62">
            <w:pPr>
              <w:pStyle w:val="Tablefont"/>
            </w:pPr>
            <w:r>
              <w:t>—</w:t>
            </w:r>
          </w:p>
        </w:tc>
      </w:tr>
      <w:tr w:rsidR="006F3B61" w:rsidRPr="00DD2F9B" w14:paraId="3A33B34A" w14:textId="77777777" w:rsidTr="006F3B61">
        <w:trPr>
          <w:cantSplit/>
        </w:trPr>
        <w:tc>
          <w:tcPr>
            <w:tcW w:w="3153" w:type="dxa"/>
          </w:tcPr>
          <w:p w14:paraId="18D1E174" w14:textId="77777777" w:rsidR="006F3B61" w:rsidRPr="00FF2703" w:rsidRDefault="006F3B61" w:rsidP="009F055E">
            <w:pPr>
              <w:pStyle w:val="Tablefont"/>
            </w:pPr>
            <w:r w:rsidRPr="00FF2703">
              <w:t>IARC</w:t>
            </w:r>
          </w:p>
        </w:tc>
        <w:tc>
          <w:tcPr>
            <w:tcW w:w="5873" w:type="dxa"/>
          </w:tcPr>
          <w:p w14:paraId="46C2CCB2" w14:textId="77777777" w:rsidR="006F3B61" w:rsidRPr="00DD2F9B" w:rsidRDefault="001544D2" w:rsidP="009F055E">
            <w:pPr>
              <w:pStyle w:val="Tablefont"/>
            </w:pPr>
            <w:r>
              <w:t>Carcinogenicity – Group 1</w:t>
            </w:r>
          </w:p>
        </w:tc>
      </w:tr>
      <w:tr w:rsidR="006F3B61" w:rsidRPr="00DD2F9B" w14:paraId="2F3D5D9E" w14:textId="77777777" w:rsidTr="006F3B61">
        <w:trPr>
          <w:cantSplit/>
        </w:trPr>
        <w:tc>
          <w:tcPr>
            <w:tcW w:w="3153" w:type="dxa"/>
          </w:tcPr>
          <w:p w14:paraId="6C71E390" w14:textId="77777777" w:rsidR="006F3B61" w:rsidRPr="00FF2703" w:rsidRDefault="006F3B61" w:rsidP="009F055E">
            <w:pPr>
              <w:pStyle w:val="Tablefont"/>
              <w:keepNext/>
            </w:pPr>
            <w:r w:rsidRPr="00FF2703">
              <w:t>US NIOSH</w:t>
            </w:r>
          </w:p>
        </w:tc>
        <w:tc>
          <w:tcPr>
            <w:tcW w:w="5873" w:type="dxa"/>
          </w:tcPr>
          <w:p w14:paraId="683408AA" w14:textId="77777777" w:rsidR="006F3B61" w:rsidRPr="00DD2F9B" w:rsidRDefault="001544D2" w:rsidP="009F055E">
            <w:pPr>
              <w:pStyle w:val="Tablefont"/>
              <w:keepNext/>
            </w:pPr>
            <w:r>
              <w:t>SK:SEN</w:t>
            </w:r>
          </w:p>
        </w:tc>
      </w:tr>
    </w:tbl>
    <w:p w14:paraId="603D338A" w14:textId="77777777" w:rsidR="006F3B61" w:rsidRDefault="006F3B61" w:rsidP="006F3B61">
      <w:pPr>
        <w:pStyle w:val="Tablefooter"/>
      </w:pPr>
      <w:r>
        <w:t>NA = not applicable (a recommendation has not been made by this Agency); — = the Agency has assessed available data for this chemical but has not recommended any notations</w:t>
      </w:r>
    </w:p>
    <w:p w14:paraId="26EF175E" w14:textId="77777777" w:rsidR="006F3B61" w:rsidRPr="006F3B61" w:rsidRDefault="006F3B61" w:rsidP="006F3B61">
      <w:pPr>
        <w:rPr>
          <w:lang w:eastAsia="en-AU"/>
        </w:rPr>
      </w:pPr>
    </w:p>
    <w:p w14:paraId="3D6029A5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5129252C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D2A7722" w14:textId="77777777" w:rsidR="00932DCE" w:rsidRPr="004C23F4" w:rsidRDefault="00932DCE" w:rsidP="00646087">
            <w:pPr>
              <w:pStyle w:val="Tableheader"/>
              <w:keepNext/>
              <w:tabs>
                <w:tab w:val="right" w:pos="8800"/>
              </w:tabs>
            </w:pPr>
            <w:bookmarkStart w:id="1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42FDA0AF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587"/>
              <w:gridCol w:w="1056"/>
              <w:gridCol w:w="1055"/>
              <w:gridCol w:w="1556"/>
              <w:gridCol w:w="1556"/>
            </w:tblGrid>
            <w:tr w:rsidR="00E146D0" w:rsidRPr="00E146D0" w14:paraId="2258F182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283F050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AA6F30D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1C6DFDD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586E639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33AD061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6CB341F4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35BAA7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2D467BE0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0B06BD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60E2347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76C317C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631CF54B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3F61AAA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369AA54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B7FF55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8CB16CD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3695C8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1E6B035B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8FB1DB4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04AF6BF8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8CDB9F2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763633C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AE2EB55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1F641251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A6C8E0F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927A51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B6B36FC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B295F48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D39043A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1CC564BF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D1F80D2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9DD880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E8762AA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AE10E7D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6F5BFA2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E146D0" w:rsidRPr="00E146D0" w14:paraId="3340EB82" w14:textId="77777777" w:rsidTr="00AB0F6B">
              <w:trPr>
                <w:trHeight w:val="342"/>
              </w:trPr>
              <w:tc>
                <w:tcPr>
                  <w:tcW w:w="20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BB6C462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D98CB02" w14:textId="77777777" w:rsidR="00E146D0" w:rsidRPr="00E146D0" w:rsidRDefault="00E146D0" w:rsidP="00E146D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9B0B251" w14:textId="77777777" w:rsidR="00E146D0" w:rsidRPr="00E146D0" w:rsidRDefault="00E146D0" w:rsidP="00E146D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176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AB595CE" w14:textId="77777777" w:rsidR="00E146D0" w:rsidRPr="00E146D0" w:rsidRDefault="00E146D0" w:rsidP="00E146D0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E146D0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consider assigning a skin notation</w:t>
                  </w:r>
                </w:p>
              </w:tc>
            </w:tr>
          </w:tbl>
          <w:p w14:paraId="5C97B4BD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1"/>
    <w:p w14:paraId="170A343E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"/>
        <w:tblDescription w:val="There is a suitable IDLH value available"/>
      </w:tblPr>
      <w:tblGrid>
        <w:gridCol w:w="4268"/>
        <w:gridCol w:w="4758"/>
      </w:tblGrid>
      <w:tr w:rsidR="00EB3D1B" w14:paraId="3E307EE7" w14:textId="77777777" w:rsidTr="0093419A">
        <w:trPr>
          <w:trHeight w:val="454"/>
          <w:tblHeader/>
        </w:trPr>
        <w:tc>
          <w:tcPr>
            <w:tcW w:w="4361" w:type="dxa"/>
            <w:vAlign w:val="center"/>
          </w:tcPr>
          <w:p w14:paraId="7D82D9C1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95DD3AC7EA994F8DBCC9397565C40828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1FE8B9E6" w14:textId="77777777" w:rsidR="00EB3D1B" w:rsidRDefault="00B17B9A" w:rsidP="0075667B">
                <w:pPr>
                  <w:pStyle w:val="Tablefont"/>
                </w:pPr>
                <w:r w:rsidDel="0023749B">
                  <w:t>Yes</w:t>
                </w:r>
              </w:p>
            </w:tc>
          </w:sdtContent>
        </w:sdt>
      </w:tr>
    </w:tbl>
    <w:p w14:paraId="65812F4B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4C508941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800461C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8A3EBC363AB04E319298A475465B4C70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2D8E6F4C" w14:textId="77777777" w:rsidR="001B79E5" w:rsidRDefault="00646087" w:rsidP="00646087">
                <w:pPr>
                  <w:pStyle w:val="Tablefont"/>
                </w:pPr>
                <w:r>
                  <w:t>92.53</w:t>
                </w:r>
              </w:p>
            </w:tc>
          </w:sdtContent>
        </w:sdt>
      </w:tr>
      <w:tr w:rsidR="00A31D99" w:rsidRPr="004C23F4" w14:paraId="7AC4D261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8AE69DD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662028A9" w14:textId="77777777" w:rsidR="00A31D99" w:rsidRDefault="00A0643F" w:rsidP="00646087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EE7505E7FD544C5D91E2D3D6B496B1F3"/>
                </w:placeholder>
              </w:sdtPr>
              <w:sdtEndPr/>
              <w:sdtContent>
                <w:r w:rsidR="00646087">
                  <w:t>3.80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CC1EF042E1C4DB19FA767D063F37E57"/>
                </w:placeholder>
              </w:sdtPr>
              <w:sdtEndPr/>
              <w:sdtContent>
                <w:r w:rsidR="00646087" w:rsidRPr="00646087">
                  <w:t>0.263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1D086499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BC7BE29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8D70C86" w14:textId="77777777" w:rsidR="00687890" w:rsidRPr="004C23F4" w:rsidRDefault="00646087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04EA9EC4" w14:textId="77777777" w:rsidTr="00EA6243">
        <w:trPr>
          <w:cantSplit/>
        </w:trPr>
        <w:tc>
          <w:tcPr>
            <w:tcW w:w="4077" w:type="dxa"/>
            <w:vAlign w:val="center"/>
          </w:tcPr>
          <w:p w14:paraId="6607F4FB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A4E3240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417C94FC" w14:textId="77777777" w:rsidTr="00EA6243">
        <w:trPr>
          <w:cantSplit/>
        </w:trPr>
        <w:tc>
          <w:tcPr>
            <w:tcW w:w="4077" w:type="dxa"/>
            <w:vAlign w:val="center"/>
          </w:tcPr>
          <w:p w14:paraId="37D96CB1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B2B9194" w14:textId="77777777" w:rsidR="00687890" w:rsidRPr="004C23F4" w:rsidRDefault="001544D2" w:rsidP="00717D45">
                <w:pPr>
                  <w:pStyle w:val="Tablefont"/>
                </w:pPr>
                <w:r>
                  <w:rPr>
                    <w:rFonts w:ascii="MS Gothic" w:eastAsia="MS Gothic" w:hAnsi="MS Gothic" w:cs="MS Gothic" w:hint="eastAsia"/>
                  </w:rPr>
                  <w:sym w:font="Wingdings" w:char="F0FC"/>
                </w:r>
              </w:p>
            </w:tc>
          </w:sdtContent>
        </w:sdt>
      </w:tr>
      <w:tr w:rsidR="00E06F40" w:rsidRPr="004C23F4" w14:paraId="3AAAA510" w14:textId="77777777" w:rsidTr="00EA6243">
        <w:trPr>
          <w:cantSplit/>
        </w:trPr>
        <w:tc>
          <w:tcPr>
            <w:tcW w:w="4077" w:type="dxa"/>
            <w:vAlign w:val="center"/>
          </w:tcPr>
          <w:p w14:paraId="636C668E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50A73BB6" w14:textId="77777777" w:rsidR="00E06F40" w:rsidRPr="00A006A0" w:rsidRDefault="0093419A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  <w:bookmarkStart w:id="2" w:name="_GoBack"/>
        <w:bookmarkEnd w:id="2"/>
      </w:tr>
    </w:tbl>
    <w:p w14:paraId="3F8B1886" w14:textId="77777777" w:rsidR="007F1005" w:rsidRPr="004C23F4" w:rsidRDefault="007F1005" w:rsidP="00EB3D1B">
      <w:pPr>
        <w:pStyle w:val="Heading2"/>
        <w:keepLines/>
      </w:pPr>
      <w:r w:rsidRPr="004C23F4">
        <w:lastRenderedPageBreak/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198FC593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5638B1FB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3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5810DA33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029BC6D3" w14:textId="77777777" w:rsidTr="00F053FA">
        <w:trPr>
          <w:tblHeader/>
        </w:trPr>
        <w:sdt>
          <w:sdtPr>
            <w:id w:val="-25557549"/>
            <w:placeholder>
              <w:docPart w:val="B7E30FEFC6A64BF0A38157E6AB0A7C61"/>
            </w:placeholder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3B9B5339" w14:textId="77777777" w:rsidR="007F1005" w:rsidRPr="004C23F4" w:rsidRDefault="00646087" w:rsidP="0075667B">
                <w:pPr>
                  <w:pStyle w:val="Tablefont"/>
                  <w:keepLines/>
                </w:pPr>
                <w:r w:rsidDel="0023749B">
                  <w:t>1991</w:t>
                </w:r>
              </w:p>
            </w:tc>
          </w:sdtContent>
        </w:sdt>
        <w:tc>
          <w:tcPr>
            <w:tcW w:w="5165" w:type="dxa"/>
            <w:vAlign w:val="center"/>
          </w:tcPr>
          <w:p w14:paraId="50D47BBC" w14:textId="77777777" w:rsidR="007F1005" w:rsidRPr="004C23F4" w:rsidRDefault="0093419A" w:rsidP="00EB3D1B">
            <w:pPr>
              <w:pStyle w:val="Tablefont"/>
              <w:keepLines/>
            </w:pPr>
            <w:sdt>
              <w:sdtPr>
                <w:alias w:val="SWA WES"/>
                <w:tag w:val="SWA WES"/>
                <w:id w:val="-325288932"/>
                <w:placeholder>
                  <w:docPart w:val="BE972455F3F347ED903F9E3E0C06386C"/>
                </w:placeholder>
              </w:sdtPr>
              <w:sdtEndPr/>
              <w:sdtContent>
                <w:r w:rsidR="00646087">
                  <w:t>Peak limitation: 1 ppm (3.8 mg/m³)</w:t>
                </w:r>
              </w:sdtContent>
            </w:sdt>
          </w:p>
        </w:tc>
      </w:tr>
    </w:tbl>
    <w:bookmarkEnd w:id="3"/>
    <w:p w14:paraId="2D2732DE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53D73A8D" w14:textId="77777777" w:rsidR="00B1765C" w:rsidRDefault="006650FE" w:rsidP="00084859">
      <w:r>
        <w:t xml:space="preserve">American Conference of Industrial Hygienists </w:t>
      </w:r>
      <w:r w:rsidRPr="000C48D2">
        <w:t>(ACGIH</w:t>
      </w:r>
      <w:r w:rsidRPr="000C48D2">
        <w:rPr>
          <w:vertAlign w:val="superscript"/>
        </w:rPr>
        <w:t>®</w:t>
      </w:r>
      <w:r w:rsidRPr="000C48D2">
        <w:t>) (201</w:t>
      </w:r>
      <w:r w:rsidR="00F67BBB" w:rsidRPr="000C48D2">
        <w:t>8</w:t>
      </w:r>
      <w:r w:rsidRPr="000C48D2">
        <w:t>)</w:t>
      </w:r>
      <w:r>
        <w:t xml:space="preserve">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3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02EE2425" w14:textId="77777777" w:rsidR="008870FA" w:rsidRDefault="008870FA" w:rsidP="00084859">
      <w:r w:rsidRPr="008870FA">
        <w:t xml:space="preserve">Deutsche </w:t>
      </w:r>
      <w:proofErr w:type="spellStart"/>
      <w:r w:rsidRPr="008870FA">
        <w:t>Fo</w:t>
      </w:r>
      <w:r>
        <w:t>rschungsgemeinschaft</w:t>
      </w:r>
      <w:proofErr w:type="spellEnd"/>
      <w:r>
        <w:t xml:space="preserve"> </w:t>
      </w:r>
      <w:r w:rsidRPr="000C48D2">
        <w:t>(DFG) (2000)</w:t>
      </w:r>
      <w:r w:rsidRPr="008870FA">
        <w:t xml:space="preserve"> </w:t>
      </w:r>
      <w:r>
        <w:t>Formaldehyde</w:t>
      </w:r>
      <w:r w:rsidRPr="008870FA">
        <w:t xml:space="preserve"> – MAK value documentation.</w:t>
      </w:r>
    </w:p>
    <w:p w14:paraId="04ED48A8" w14:textId="77777777" w:rsidR="008870FA" w:rsidRDefault="008870FA" w:rsidP="00084859">
      <w:r w:rsidRPr="008870FA">
        <w:t xml:space="preserve">Deutsche </w:t>
      </w:r>
      <w:proofErr w:type="spellStart"/>
      <w:r w:rsidRPr="008870FA">
        <w:t>Fo</w:t>
      </w:r>
      <w:r>
        <w:t>rschungsgemeinschaft</w:t>
      </w:r>
      <w:proofErr w:type="spellEnd"/>
      <w:r>
        <w:t xml:space="preserve"> (</w:t>
      </w:r>
      <w:r w:rsidRPr="000C48D2">
        <w:t>DFG) (2014)</w:t>
      </w:r>
      <w:r>
        <w:t xml:space="preserve"> Form</w:t>
      </w:r>
      <w:r w:rsidRPr="008870FA">
        <w:t>aldehyde – MAK value documentation</w:t>
      </w:r>
      <w:r>
        <w:t xml:space="preserve"> Supplement 2010</w:t>
      </w:r>
      <w:r w:rsidRPr="008870FA">
        <w:t>.</w:t>
      </w:r>
    </w:p>
    <w:p w14:paraId="1E0904C4" w14:textId="77777777" w:rsidR="008870FA" w:rsidRDefault="008870FA" w:rsidP="00084859">
      <w:r w:rsidRPr="008870FA">
        <w:t>EU Scientific Committee on Occupation</w:t>
      </w:r>
      <w:r>
        <w:t xml:space="preserve">al Exposure Limits </w:t>
      </w:r>
      <w:r w:rsidRPr="000C48D2">
        <w:t>(SCOEL) (2016)</w:t>
      </w:r>
      <w:r w:rsidRPr="008870FA">
        <w:t xml:space="preserve"> Recommendation from the Scientific Committee on Occupational Exposure Limits for </w:t>
      </w:r>
      <w:r>
        <w:t>formaldehyde. SCOEL/SUM/125</w:t>
      </w:r>
      <w:r w:rsidRPr="008870FA">
        <w:t>.</w:t>
      </w:r>
    </w:p>
    <w:p w14:paraId="5B08925B" w14:textId="77777777" w:rsidR="003F60A4" w:rsidRDefault="003F60A4" w:rsidP="003F60A4">
      <w:r>
        <w:rPr>
          <w:bCs/>
          <w:color w:val="000000"/>
        </w:rPr>
        <w:t>European Chemicals Agency (</w:t>
      </w:r>
      <w:r w:rsidRPr="000C48D2">
        <w:rPr>
          <w:bCs/>
          <w:color w:val="000000"/>
        </w:rPr>
        <w:t>ECHA - EU Annex)</w:t>
      </w:r>
      <w:r>
        <w:rPr>
          <w:bCs/>
          <w:color w:val="000000"/>
        </w:rPr>
        <w:t xml:space="preserve"> (2017) </w:t>
      </w:r>
      <w:r w:rsidRPr="00B35254">
        <w:rPr>
          <w:bCs/>
          <w:color w:val="000000"/>
        </w:rPr>
        <w:t>Tenth Adaptation to Technical Progress Commission Regulation</w:t>
      </w:r>
      <w:r>
        <w:rPr>
          <w:color w:val="000000"/>
        </w:rPr>
        <w:t xml:space="preserve"> (EU) No 2017/776 amending, for the purposes of its adaptation to technical and scientific progress, Regulation (EC) No 1272/2008 </w:t>
      </w:r>
    </w:p>
    <w:p w14:paraId="72E3A2BB" w14:textId="77777777" w:rsidR="004839EF" w:rsidRDefault="00FF2703" w:rsidP="00084859">
      <w:r>
        <w:t>Health Council of the Netherlands (</w:t>
      </w:r>
      <w:r w:rsidRPr="000C48D2">
        <w:t>HCOTN) (2003</w:t>
      </w:r>
      <w:r>
        <w:t xml:space="preserve">) Formaldehyde. Health-based recommended occupational exposure limit. </w:t>
      </w:r>
      <w:r w:rsidRPr="00FF2703">
        <w:t>The Hague: Health Council of the Netherlands, 2003; publication no. 2003/02OSH.</w:t>
      </w:r>
      <w:r w:rsidR="001544D2">
        <w:br/>
      </w:r>
      <w:r w:rsidR="004839EF" w:rsidRPr="00710012">
        <w:t>International Agency for Research on Cancer (</w:t>
      </w:r>
      <w:r w:rsidR="004839EF" w:rsidRPr="000C48D2">
        <w:t>IARC) (2012</w:t>
      </w:r>
      <w:r w:rsidR="004839EF" w:rsidRPr="00710012">
        <w:t xml:space="preserve">) </w:t>
      </w:r>
      <w:r w:rsidR="004839EF">
        <w:t>Formaldehyde)</w:t>
      </w:r>
      <w:r w:rsidR="004839EF" w:rsidRPr="00710012">
        <w:t>. IARC Monographs on the evaluation of the carcinogenic risk to humans.</w:t>
      </w:r>
      <w:r w:rsidR="004839EF">
        <w:t xml:space="preserve"> </w:t>
      </w:r>
    </w:p>
    <w:p w14:paraId="21E6D739" w14:textId="77777777" w:rsidR="00FF2703" w:rsidRDefault="0015444F" w:rsidP="00084859">
      <w:r w:rsidRPr="0015444F">
        <w:t>National Industrial Chemicals Notification and Assessment Scheme (</w:t>
      </w:r>
      <w:r w:rsidRPr="000C48D2">
        <w:t>NICNAS) (2006</w:t>
      </w:r>
      <w:r w:rsidRPr="0015444F">
        <w:t xml:space="preserve">) </w:t>
      </w:r>
      <w:r>
        <w:t>Formaldehyde</w:t>
      </w:r>
      <w:r w:rsidRPr="0015444F">
        <w:t xml:space="preserve">: </w:t>
      </w:r>
      <w:r>
        <w:t>Priority Existing Chemical Report No. 28</w:t>
      </w:r>
      <w:r w:rsidR="001544D2">
        <w:t>.</w:t>
      </w:r>
    </w:p>
    <w:p w14:paraId="2FDB5FC7" w14:textId="77777777" w:rsidR="001544D2" w:rsidRPr="00351FE0" w:rsidRDefault="001544D2" w:rsidP="001544D2">
      <w:r w:rsidRPr="00181257">
        <w:t xml:space="preserve">US </w:t>
      </w:r>
      <w:r>
        <w:t>National Institute for Occupational Safety and Health (</w:t>
      </w:r>
      <w:r w:rsidRPr="000C48D2">
        <w:t>NIOSH) (1994</w:t>
      </w:r>
      <w:r>
        <w:t xml:space="preserve">) </w:t>
      </w:r>
      <w:proofErr w:type="gramStart"/>
      <w:r>
        <w:t>Immediately</w:t>
      </w:r>
      <w:proofErr w:type="gramEnd"/>
      <w:r>
        <w:t xml:space="preserve"> dangerous to life and health concentrations – formaldehyde</w:t>
      </w:r>
      <w:r w:rsidR="004839EF">
        <w:t xml:space="preserve"> and formalin</w:t>
      </w:r>
      <w:r>
        <w:t xml:space="preserve">. </w:t>
      </w:r>
    </w:p>
    <w:p w14:paraId="0DF6265E" w14:textId="77777777" w:rsidR="00FF2703" w:rsidRDefault="00FF2703" w:rsidP="00FF2703">
      <w:r w:rsidRPr="00181257">
        <w:t xml:space="preserve">US </w:t>
      </w:r>
      <w:r>
        <w:t>National institute for Occupational Safety and Health (</w:t>
      </w:r>
      <w:r w:rsidRPr="000C48D2">
        <w:t>NIOSH) (2011</w:t>
      </w:r>
      <w:r>
        <w:t>) Skin Notation Profiles: Formaldehyde.</w:t>
      </w:r>
    </w:p>
    <w:p w14:paraId="372AAC28" w14:textId="77777777" w:rsidR="00900951" w:rsidRDefault="00900951" w:rsidP="00084859"/>
    <w:p w14:paraId="7B1B435C" w14:textId="77777777" w:rsidR="006650FE" w:rsidRDefault="006650FE" w:rsidP="00084859"/>
    <w:p w14:paraId="5FF40F8A" w14:textId="77777777" w:rsidR="007F1005" w:rsidRPr="004C23F4" w:rsidRDefault="007F1005" w:rsidP="00084859">
      <w:pPr>
        <w:rPr>
          <w:rFonts w:cs="Arial"/>
        </w:rPr>
      </w:pPr>
    </w:p>
    <w:sectPr w:rsidR="007F1005" w:rsidRPr="004C23F4" w:rsidSect="00B87D4C">
      <w:headerReference w:type="default" r:id="rId14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AB83A5" w16cid:durableId="20B3E18D"/>
  <w16cid:commentId w16cid:paraId="78924ED1" w16cid:durableId="20B0BAB2"/>
  <w16cid:commentId w16cid:paraId="3DAA00AA" w16cid:durableId="20B0BB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F707" w14:textId="77777777" w:rsidR="00224263" w:rsidRDefault="00224263" w:rsidP="00F43AD5">
      <w:pPr>
        <w:spacing w:after="0" w:line="240" w:lineRule="auto"/>
      </w:pPr>
      <w:r>
        <w:separator/>
      </w:r>
    </w:p>
  </w:endnote>
  <w:endnote w:type="continuationSeparator" w:id="0">
    <w:p w14:paraId="3DF5C542" w14:textId="77777777" w:rsidR="00224263" w:rsidRDefault="00224263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F241A0F" w14:textId="77777777" w:rsidR="000B3E12" w:rsidRDefault="008A2826" w:rsidP="0034744C">
        <w:pPr>
          <w:pStyle w:val="Footer"/>
          <w:rPr>
            <w:sz w:val="18"/>
            <w:szCs w:val="18"/>
          </w:rPr>
        </w:pPr>
        <w:r>
          <w:rPr>
            <w:b/>
            <w:sz w:val="18"/>
            <w:szCs w:val="18"/>
          </w:rPr>
          <w:t>Formaldehyde (50-00-0</w:t>
        </w:r>
        <w:proofErr w:type="gramStart"/>
        <w:r>
          <w:rPr>
            <w:b/>
            <w:sz w:val="18"/>
            <w:szCs w:val="18"/>
          </w:rPr>
          <w:t>)</w:t>
        </w:r>
        <w:proofErr w:type="gramEnd"/>
        <w:r w:rsidR="000B3E12" w:rsidRPr="00F43AD5">
          <w:rPr>
            <w:sz w:val="18"/>
            <w:szCs w:val="18"/>
          </w:rPr>
          <w:br/>
          <w:t xml:space="preserve">Safe Work Australia </w:t>
        </w:r>
        <w:r w:rsidR="000B3E12" w:rsidRPr="00F43AD5">
          <w:rPr>
            <w:rFonts w:ascii="Courier New" w:hAnsi="Courier New" w:cs="Courier New"/>
            <w:sz w:val="18"/>
            <w:szCs w:val="18"/>
          </w:rPr>
          <w:t>—</w:t>
        </w:r>
        <w:r w:rsidR="000B3E12" w:rsidRPr="00F43AD5">
          <w:rPr>
            <w:sz w:val="18"/>
            <w:szCs w:val="18"/>
          </w:rPr>
          <w:t xml:space="preserve"> 201</w:t>
        </w:r>
        <w:r w:rsidR="005C5368">
          <w:rPr>
            <w:sz w:val="18"/>
            <w:szCs w:val="18"/>
          </w:rPr>
          <w:t>9</w:t>
        </w:r>
      </w:p>
      <w:p w14:paraId="6708970D" w14:textId="4CC1C1C7" w:rsidR="000B3E12" w:rsidRPr="00F43AD5" w:rsidRDefault="000B3E12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93419A">
          <w:rPr>
            <w:noProof/>
            <w:sz w:val="18"/>
            <w:szCs w:val="18"/>
          </w:rPr>
          <w:t>7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E0A6E" w14:textId="77777777" w:rsidR="00224263" w:rsidRDefault="00224263" w:rsidP="00F43AD5">
      <w:pPr>
        <w:spacing w:after="0" w:line="240" w:lineRule="auto"/>
      </w:pPr>
      <w:r>
        <w:separator/>
      </w:r>
    </w:p>
  </w:footnote>
  <w:footnote w:type="continuationSeparator" w:id="0">
    <w:p w14:paraId="57BEF014" w14:textId="77777777" w:rsidR="00224263" w:rsidRDefault="00224263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A29D" w14:textId="5C842FDC" w:rsidR="0093419A" w:rsidRDefault="0093419A" w:rsidP="0093419A">
    <w:pPr>
      <w:pStyle w:val="Header"/>
      <w:jc w:val="right"/>
    </w:pPr>
    <w:r>
      <w:pict w14:anchorId="3C37C2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11533" o:spid="_x0000_s16385" type="#_x0000_t136" style="position:absolute;left:0;text-align:left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  <w:lang w:eastAsia="en-AU"/>
      </w:rPr>
      <w:drawing>
        <wp:inline distT="0" distB="0" distL="0" distR="0" wp14:anchorId="4231F819" wp14:editId="324A03E5">
          <wp:extent cx="2952750" cy="590550"/>
          <wp:effectExtent l="0" t="0" r="0" b="0"/>
          <wp:docPr id="1" name="Picture 1" descr="Safe Work Australia logo" title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fe Work Australia logo" title="Im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DB7751" w14:textId="1BCA5551" w:rsidR="000B3E12" w:rsidRPr="0093419A" w:rsidRDefault="000B3E12" w:rsidP="00934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0509" w14:textId="12C20DB8" w:rsidR="0093419A" w:rsidRDefault="0093419A" w:rsidP="0093419A">
    <w:pPr>
      <w:pStyle w:val="Header"/>
      <w:jc w:val="right"/>
    </w:pPr>
    <w:r>
      <w:pict w14:anchorId="76260F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6" type="#_x0000_t136" style="position:absolute;left:0;text-align:left;margin-left:0;margin-top:0;width:454.5pt;height:181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  <w:lang w:eastAsia="en-AU"/>
      </w:rPr>
      <w:drawing>
        <wp:inline distT="0" distB="0" distL="0" distR="0" wp14:anchorId="2D3B5386" wp14:editId="39F54E1A">
          <wp:extent cx="2952750" cy="590550"/>
          <wp:effectExtent l="0" t="0" r="0" b="0"/>
          <wp:docPr id="3" name="Picture 3" descr="Safe Work Australia logo" title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fe Work Australia logo" title="Imag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47CD0" w14:textId="77777777" w:rsidR="000B3E12" w:rsidRDefault="000B3E12" w:rsidP="00F43A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3EF5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C7829"/>
    <w:multiLevelType w:val="hybridMultilevel"/>
    <w:tmpl w:val="68F03F82"/>
    <w:lvl w:ilvl="0" w:tplc="70C6B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A5"/>
    <w:multiLevelType w:val="hybridMultilevel"/>
    <w:tmpl w:val="AF861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01C"/>
    <w:multiLevelType w:val="hybridMultilevel"/>
    <w:tmpl w:val="E0B0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85030"/>
    <w:multiLevelType w:val="hybridMultilevel"/>
    <w:tmpl w:val="EC0E8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81B82"/>
    <w:multiLevelType w:val="hybridMultilevel"/>
    <w:tmpl w:val="F208B6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6643B"/>
    <w:multiLevelType w:val="hybridMultilevel"/>
    <w:tmpl w:val="F7C83F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062FC"/>
    <w:multiLevelType w:val="hybridMultilevel"/>
    <w:tmpl w:val="600642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47D8B"/>
    <w:multiLevelType w:val="hybridMultilevel"/>
    <w:tmpl w:val="18363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53FA"/>
    <w:multiLevelType w:val="hybridMultilevel"/>
    <w:tmpl w:val="E49E1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82C72"/>
    <w:multiLevelType w:val="hybridMultilevel"/>
    <w:tmpl w:val="B972C7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4F4ACC"/>
    <w:rsid w:val="00000109"/>
    <w:rsid w:val="00007B80"/>
    <w:rsid w:val="00014C3F"/>
    <w:rsid w:val="00017C82"/>
    <w:rsid w:val="00020C99"/>
    <w:rsid w:val="00024833"/>
    <w:rsid w:val="00032B88"/>
    <w:rsid w:val="00033F47"/>
    <w:rsid w:val="00041F64"/>
    <w:rsid w:val="00046DF5"/>
    <w:rsid w:val="000470B3"/>
    <w:rsid w:val="00052060"/>
    <w:rsid w:val="0005574A"/>
    <w:rsid w:val="00055DCA"/>
    <w:rsid w:val="00055FE1"/>
    <w:rsid w:val="00056EC2"/>
    <w:rsid w:val="00060B48"/>
    <w:rsid w:val="00067F32"/>
    <w:rsid w:val="00071807"/>
    <w:rsid w:val="000803E1"/>
    <w:rsid w:val="00081E50"/>
    <w:rsid w:val="00084513"/>
    <w:rsid w:val="00084859"/>
    <w:rsid w:val="00092720"/>
    <w:rsid w:val="00092D94"/>
    <w:rsid w:val="000A6A72"/>
    <w:rsid w:val="000A784F"/>
    <w:rsid w:val="000B0868"/>
    <w:rsid w:val="000B3E12"/>
    <w:rsid w:val="000B3E78"/>
    <w:rsid w:val="000B7B48"/>
    <w:rsid w:val="000C096D"/>
    <w:rsid w:val="000C139A"/>
    <w:rsid w:val="000C2053"/>
    <w:rsid w:val="000C248C"/>
    <w:rsid w:val="000C48D2"/>
    <w:rsid w:val="000D291C"/>
    <w:rsid w:val="000D3A3F"/>
    <w:rsid w:val="000E5A54"/>
    <w:rsid w:val="000E63D3"/>
    <w:rsid w:val="000E67CF"/>
    <w:rsid w:val="000F10FE"/>
    <w:rsid w:val="0010461E"/>
    <w:rsid w:val="00106FAA"/>
    <w:rsid w:val="00113443"/>
    <w:rsid w:val="00122D73"/>
    <w:rsid w:val="0012514A"/>
    <w:rsid w:val="001269A7"/>
    <w:rsid w:val="00131092"/>
    <w:rsid w:val="00140E6A"/>
    <w:rsid w:val="00146545"/>
    <w:rsid w:val="00146B75"/>
    <w:rsid w:val="0015266D"/>
    <w:rsid w:val="0015288A"/>
    <w:rsid w:val="0015444F"/>
    <w:rsid w:val="001544D2"/>
    <w:rsid w:val="00160F47"/>
    <w:rsid w:val="0016397A"/>
    <w:rsid w:val="00164B6B"/>
    <w:rsid w:val="00177701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C15E5"/>
    <w:rsid w:val="001D663B"/>
    <w:rsid w:val="001D7B41"/>
    <w:rsid w:val="001E46DA"/>
    <w:rsid w:val="001E4DE3"/>
    <w:rsid w:val="001E7D80"/>
    <w:rsid w:val="001F4B6C"/>
    <w:rsid w:val="001F62CB"/>
    <w:rsid w:val="001F6ED0"/>
    <w:rsid w:val="001F72E6"/>
    <w:rsid w:val="001F73C5"/>
    <w:rsid w:val="001F7EB9"/>
    <w:rsid w:val="002046A6"/>
    <w:rsid w:val="00204956"/>
    <w:rsid w:val="002132F0"/>
    <w:rsid w:val="00213640"/>
    <w:rsid w:val="00213784"/>
    <w:rsid w:val="00221547"/>
    <w:rsid w:val="002216FC"/>
    <w:rsid w:val="00222533"/>
    <w:rsid w:val="00222F30"/>
    <w:rsid w:val="00224263"/>
    <w:rsid w:val="00224EE2"/>
    <w:rsid w:val="00227EC7"/>
    <w:rsid w:val="0023749B"/>
    <w:rsid w:val="0024369A"/>
    <w:rsid w:val="00244AD1"/>
    <w:rsid w:val="002463BC"/>
    <w:rsid w:val="002465CE"/>
    <w:rsid w:val="00252F6E"/>
    <w:rsid w:val="0025483C"/>
    <w:rsid w:val="00255125"/>
    <w:rsid w:val="0025734A"/>
    <w:rsid w:val="00257D0B"/>
    <w:rsid w:val="00263255"/>
    <w:rsid w:val="00272D18"/>
    <w:rsid w:val="00276494"/>
    <w:rsid w:val="00277553"/>
    <w:rsid w:val="00277B0C"/>
    <w:rsid w:val="002B1A2C"/>
    <w:rsid w:val="002C34F2"/>
    <w:rsid w:val="002C58FF"/>
    <w:rsid w:val="002C7AFE"/>
    <w:rsid w:val="002D05D2"/>
    <w:rsid w:val="002E0D61"/>
    <w:rsid w:val="002E4C7B"/>
    <w:rsid w:val="003012EF"/>
    <w:rsid w:val="0030740C"/>
    <w:rsid w:val="00314202"/>
    <w:rsid w:val="00315833"/>
    <w:rsid w:val="003215EE"/>
    <w:rsid w:val="003224BF"/>
    <w:rsid w:val="003241A8"/>
    <w:rsid w:val="003245AA"/>
    <w:rsid w:val="003253F0"/>
    <w:rsid w:val="003337DA"/>
    <w:rsid w:val="00334EFB"/>
    <w:rsid w:val="00335CDE"/>
    <w:rsid w:val="003365A5"/>
    <w:rsid w:val="00341E4F"/>
    <w:rsid w:val="00347192"/>
    <w:rsid w:val="0034744C"/>
    <w:rsid w:val="00352615"/>
    <w:rsid w:val="0035412B"/>
    <w:rsid w:val="003567A8"/>
    <w:rsid w:val="00362895"/>
    <w:rsid w:val="00370DBF"/>
    <w:rsid w:val="00380AA4"/>
    <w:rsid w:val="00383802"/>
    <w:rsid w:val="00386093"/>
    <w:rsid w:val="003904A4"/>
    <w:rsid w:val="00391841"/>
    <w:rsid w:val="00391B6D"/>
    <w:rsid w:val="00394922"/>
    <w:rsid w:val="003A0E32"/>
    <w:rsid w:val="003A24DA"/>
    <w:rsid w:val="003A2B94"/>
    <w:rsid w:val="003B387D"/>
    <w:rsid w:val="003C0D58"/>
    <w:rsid w:val="003D4FA3"/>
    <w:rsid w:val="003D5459"/>
    <w:rsid w:val="003E0807"/>
    <w:rsid w:val="003E27A9"/>
    <w:rsid w:val="003E2ED5"/>
    <w:rsid w:val="003E51FB"/>
    <w:rsid w:val="003E6B39"/>
    <w:rsid w:val="003F07E1"/>
    <w:rsid w:val="003F2502"/>
    <w:rsid w:val="003F60A4"/>
    <w:rsid w:val="00402334"/>
    <w:rsid w:val="004030BC"/>
    <w:rsid w:val="00403C6F"/>
    <w:rsid w:val="00403F7D"/>
    <w:rsid w:val="00406785"/>
    <w:rsid w:val="004079B4"/>
    <w:rsid w:val="00417A56"/>
    <w:rsid w:val="00420957"/>
    <w:rsid w:val="00422A10"/>
    <w:rsid w:val="00430179"/>
    <w:rsid w:val="004375E7"/>
    <w:rsid w:val="004414B5"/>
    <w:rsid w:val="00444482"/>
    <w:rsid w:val="00444B42"/>
    <w:rsid w:val="00445E44"/>
    <w:rsid w:val="004509E2"/>
    <w:rsid w:val="004515EE"/>
    <w:rsid w:val="00460A03"/>
    <w:rsid w:val="00472A11"/>
    <w:rsid w:val="00472AAD"/>
    <w:rsid w:val="00474E33"/>
    <w:rsid w:val="00476803"/>
    <w:rsid w:val="004839EF"/>
    <w:rsid w:val="00485BFD"/>
    <w:rsid w:val="004867A2"/>
    <w:rsid w:val="004873F2"/>
    <w:rsid w:val="00490D4C"/>
    <w:rsid w:val="00492857"/>
    <w:rsid w:val="00493A35"/>
    <w:rsid w:val="0049465C"/>
    <w:rsid w:val="0049527A"/>
    <w:rsid w:val="00495730"/>
    <w:rsid w:val="004966BF"/>
    <w:rsid w:val="00497984"/>
    <w:rsid w:val="004A5088"/>
    <w:rsid w:val="004C1E3F"/>
    <w:rsid w:val="004C23F4"/>
    <w:rsid w:val="004C3475"/>
    <w:rsid w:val="004C58B6"/>
    <w:rsid w:val="004D16A3"/>
    <w:rsid w:val="004D2B96"/>
    <w:rsid w:val="004D4AA1"/>
    <w:rsid w:val="004D6D68"/>
    <w:rsid w:val="004D7FAA"/>
    <w:rsid w:val="004E28A7"/>
    <w:rsid w:val="004E5EDD"/>
    <w:rsid w:val="004E6C63"/>
    <w:rsid w:val="004F0F10"/>
    <w:rsid w:val="004F34C4"/>
    <w:rsid w:val="004F448A"/>
    <w:rsid w:val="004F493D"/>
    <w:rsid w:val="004F4ACC"/>
    <w:rsid w:val="004F65E8"/>
    <w:rsid w:val="0050005E"/>
    <w:rsid w:val="00502B88"/>
    <w:rsid w:val="0051509C"/>
    <w:rsid w:val="005272E2"/>
    <w:rsid w:val="0053108F"/>
    <w:rsid w:val="00532B56"/>
    <w:rsid w:val="00534B10"/>
    <w:rsid w:val="00534B50"/>
    <w:rsid w:val="005446A2"/>
    <w:rsid w:val="00544D2F"/>
    <w:rsid w:val="00551BD8"/>
    <w:rsid w:val="00561651"/>
    <w:rsid w:val="00581055"/>
    <w:rsid w:val="00591E38"/>
    <w:rsid w:val="005941DA"/>
    <w:rsid w:val="005A19C5"/>
    <w:rsid w:val="005A3034"/>
    <w:rsid w:val="005A462D"/>
    <w:rsid w:val="005B138E"/>
    <w:rsid w:val="005B253B"/>
    <w:rsid w:val="005B771D"/>
    <w:rsid w:val="005C5368"/>
    <w:rsid w:val="005C5D16"/>
    <w:rsid w:val="005D3193"/>
    <w:rsid w:val="005D4A6E"/>
    <w:rsid w:val="005D70FA"/>
    <w:rsid w:val="005E6979"/>
    <w:rsid w:val="005E75CB"/>
    <w:rsid w:val="005F29E2"/>
    <w:rsid w:val="006013C1"/>
    <w:rsid w:val="006060AB"/>
    <w:rsid w:val="0060669E"/>
    <w:rsid w:val="00611399"/>
    <w:rsid w:val="006206F0"/>
    <w:rsid w:val="00624C4E"/>
    <w:rsid w:val="00625200"/>
    <w:rsid w:val="006363A8"/>
    <w:rsid w:val="00646087"/>
    <w:rsid w:val="00650905"/>
    <w:rsid w:val="006532ED"/>
    <w:rsid w:val="006549F2"/>
    <w:rsid w:val="006567B7"/>
    <w:rsid w:val="00657BFB"/>
    <w:rsid w:val="0066333C"/>
    <w:rsid w:val="006639B4"/>
    <w:rsid w:val="006650FE"/>
    <w:rsid w:val="00671A06"/>
    <w:rsid w:val="0067305D"/>
    <w:rsid w:val="00677D9B"/>
    <w:rsid w:val="006867F3"/>
    <w:rsid w:val="00687890"/>
    <w:rsid w:val="00690368"/>
    <w:rsid w:val="0069079C"/>
    <w:rsid w:val="00690B53"/>
    <w:rsid w:val="00695B72"/>
    <w:rsid w:val="006B0F06"/>
    <w:rsid w:val="006B160A"/>
    <w:rsid w:val="006B4E6C"/>
    <w:rsid w:val="006B50B6"/>
    <w:rsid w:val="006C2531"/>
    <w:rsid w:val="006D79EA"/>
    <w:rsid w:val="006E5D05"/>
    <w:rsid w:val="006F3B61"/>
    <w:rsid w:val="00701053"/>
    <w:rsid w:val="00701507"/>
    <w:rsid w:val="00714021"/>
    <w:rsid w:val="00716A0F"/>
    <w:rsid w:val="00717D45"/>
    <w:rsid w:val="007208F7"/>
    <w:rsid w:val="007218AF"/>
    <w:rsid w:val="007365D1"/>
    <w:rsid w:val="00740E0E"/>
    <w:rsid w:val="00750212"/>
    <w:rsid w:val="0075667B"/>
    <w:rsid w:val="0075716D"/>
    <w:rsid w:val="00765F14"/>
    <w:rsid w:val="00770E31"/>
    <w:rsid w:val="00771780"/>
    <w:rsid w:val="007770F1"/>
    <w:rsid w:val="00783FB1"/>
    <w:rsid w:val="00785CDD"/>
    <w:rsid w:val="0079010D"/>
    <w:rsid w:val="00791847"/>
    <w:rsid w:val="007925F0"/>
    <w:rsid w:val="007939B3"/>
    <w:rsid w:val="0079509C"/>
    <w:rsid w:val="00796708"/>
    <w:rsid w:val="00796E62"/>
    <w:rsid w:val="007B1B42"/>
    <w:rsid w:val="007C1044"/>
    <w:rsid w:val="007C30EB"/>
    <w:rsid w:val="007C5B16"/>
    <w:rsid w:val="007E063C"/>
    <w:rsid w:val="007E2A4B"/>
    <w:rsid w:val="007E307D"/>
    <w:rsid w:val="007E4BE0"/>
    <w:rsid w:val="007E6A4E"/>
    <w:rsid w:val="007E6C94"/>
    <w:rsid w:val="007F1005"/>
    <w:rsid w:val="007F25E0"/>
    <w:rsid w:val="007F5328"/>
    <w:rsid w:val="007F6C2F"/>
    <w:rsid w:val="00804F5A"/>
    <w:rsid w:val="00810C6D"/>
    <w:rsid w:val="00812887"/>
    <w:rsid w:val="00826F21"/>
    <w:rsid w:val="00833AD9"/>
    <w:rsid w:val="00834CC8"/>
    <w:rsid w:val="00835345"/>
    <w:rsid w:val="00835E00"/>
    <w:rsid w:val="00837113"/>
    <w:rsid w:val="008414E4"/>
    <w:rsid w:val="00843E21"/>
    <w:rsid w:val="0084508E"/>
    <w:rsid w:val="00850719"/>
    <w:rsid w:val="00857A8A"/>
    <w:rsid w:val="00860E98"/>
    <w:rsid w:val="00862943"/>
    <w:rsid w:val="008630EE"/>
    <w:rsid w:val="00864D13"/>
    <w:rsid w:val="00871CD5"/>
    <w:rsid w:val="008745A2"/>
    <w:rsid w:val="00875501"/>
    <w:rsid w:val="008768A8"/>
    <w:rsid w:val="008870FA"/>
    <w:rsid w:val="00887E4B"/>
    <w:rsid w:val="008915C8"/>
    <w:rsid w:val="008A2716"/>
    <w:rsid w:val="008A2826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25FFB"/>
    <w:rsid w:val="0093041A"/>
    <w:rsid w:val="00930714"/>
    <w:rsid w:val="00931B03"/>
    <w:rsid w:val="009323B9"/>
    <w:rsid w:val="00932DCE"/>
    <w:rsid w:val="0093327E"/>
    <w:rsid w:val="00934028"/>
    <w:rsid w:val="0093419A"/>
    <w:rsid w:val="00935A5B"/>
    <w:rsid w:val="0093760E"/>
    <w:rsid w:val="00944E00"/>
    <w:rsid w:val="00946044"/>
    <w:rsid w:val="0094660B"/>
    <w:rsid w:val="00946A33"/>
    <w:rsid w:val="0095260E"/>
    <w:rsid w:val="009578DD"/>
    <w:rsid w:val="00961124"/>
    <w:rsid w:val="009621B6"/>
    <w:rsid w:val="00966048"/>
    <w:rsid w:val="009674C4"/>
    <w:rsid w:val="00974F2D"/>
    <w:rsid w:val="00977524"/>
    <w:rsid w:val="00977E88"/>
    <w:rsid w:val="00984920"/>
    <w:rsid w:val="009913B7"/>
    <w:rsid w:val="0099303A"/>
    <w:rsid w:val="009971C2"/>
    <w:rsid w:val="009A1254"/>
    <w:rsid w:val="009A1BA8"/>
    <w:rsid w:val="009B1819"/>
    <w:rsid w:val="009B2FF2"/>
    <w:rsid w:val="009B380C"/>
    <w:rsid w:val="009B4843"/>
    <w:rsid w:val="009B6543"/>
    <w:rsid w:val="009C199D"/>
    <w:rsid w:val="009C278F"/>
    <w:rsid w:val="009C2B94"/>
    <w:rsid w:val="009C5874"/>
    <w:rsid w:val="009D190F"/>
    <w:rsid w:val="009D3B5A"/>
    <w:rsid w:val="009E0C05"/>
    <w:rsid w:val="009E0D1C"/>
    <w:rsid w:val="009E2214"/>
    <w:rsid w:val="009E355A"/>
    <w:rsid w:val="009E63E2"/>
    <w:rsid w:val="009F05CF"/>
    <w:rsid w:val="009F0F3A"/>
    <w:rsid w:val="009F5E02"/>
    <w:rsid w:val="00A012C3"/>
    <w:rsid w:val="00A01D0C"/>
    <w:rsid w:val="00A0643F"/>
    <w:rsid w:val="00A067EE"/>
    <w:rsid w:val="00A10FCE"/>
    <w:rsid w:val="00A13115"/>
    <w:rsid w:val="00A16D91"/>
    <w:rsid w:val="00A174CC"/>
    <w:rsid w:val="00A2073D"/>
    <w:rsid w:val="00A20751"/>
    <w:rsid w:val="00A27E2D"/>
    <w:rsid w:val="00A31D99"/>
    <w:rsid w:val="00A357BA"/>
    <w:rsid w:val="00A35ADC"/>
    <w:rsid w:val="00A402A3"/>
    <w:rsid w:val="00A53681"/>
    <w:rsid w:val="00A5689F"/>
    <w:rsid w:val="00A633D4"/>
    <w:rsid w:val="00A6461A"/>
    <w:rsid w:val="00A66A06"/>
    <w:rsid w:val="00A81907"/>
    <w:rsid w:val="00A82013"/>
    <w:rsid w:val="00A84504"/>
    <w:rsid w:val="00A8672F"/>
    <w:rsid w:val="00A93057"/>
    <w:rsid w:val="00A9501C"/>
    <w:rsid w:val="00A96501"/>
    <w:rsid w:val="00A968B0"/>
    <w:rsid w:val="00A968D6"/>
    <w:rsid w:val="00AA3876"/>
    <w:rsid w:val="00AA402D"/>
    <w:rsid w:val="00AB060C"/>
    <w:rsid w:val="00AB0F6B"/>
    <w:rsid w:val="00AB2672"/>
    <w:rsid w:val="00AB2817"/>
    <w:rsid w:val="00AB43C4"/>
    <w:rsid w:val="00AB7185"/>
    <w:rsid w:val="00AC32E7"/>
    <w:rsid w:val="00AC3A9F"/>
    <w:rsid w:val="00AC4B5E"/>
    <w:rsid w:val="00AC6D2F"/>
    <w:rsid w:val="00AD009B"/>
    <w:rsid w:val="00AE2745"/>
    <w:rsid w:val="00AE2F64"/>
    <w:rsid w:val="00AF42CB"/>
    <w:rsid w:val="00AF483F"/>
    <w:rsid w:val="00AF5E07"/>
    <w:rsid w:val="00AF5F06"/>
    <w:rsid w:val="00B00A25"/>
    <w:rsid w:val="00B06F1C"/>
    <w:rsid w:val="00B1422A"/>
    <w:rsid w:val="00B1765C"/>
    <w:rsid w:val="00B17B9A"/>
    <w:rsid w:val="00B213C4"/>
    <w:rsid w:val="00B22237"/>
    <w:rsid w:val="00B40C60"/>
    <w:rsid w:val="00B479A9"/>
    <w:rsid w:val="00B51015"/>
    <w:rsid w:val="00B52EDF"/>
    <w:rsid w:val="00B71188"/>
    <w:rsid w:val="00B76A41"/>
    <w:rsid w:val="00B87D4C"/>
    <w:rsid w:val="00B93646"/>
    <w:rsid w:val="00B94391"/>
    <w:rsid w:val="00BA0B38"/>
    <w:rsid w:val="00BA1DBB"/>
    <w:rsid w:val="00BA4510"/>
    <w:rsid w:val="00BA529A"/>
    <w:rsid w:val="00BA54B9"/>
    <w:rsid w:val="00BB612A"/>
    <w:rsid w:val="00BB747E"/>
    <w:rsid w:val="00BC422D"/>
    <w:rsid w:val="00BD499F"/>
    <w:rsid w:val="00BD56DE"/>
    <w:rsid w:val="00BE09CA"/>
    <w:rsid w:val="00BE438C"/>
    <w:rsid w:val="00BF2406"/>
    <w:rsid w:val="00C0299C"/>
    <w:rsid w:val="00C02F3D"/>
    <w:rsid w:val="00C16315"/>
    <w:rsid w:val="00C3091E"/>
    <w:rsid w:val="00C3719D"/>
    <w:rsid w:val="00C372C7"/>
    <w:rsid w:val="00C40FF1"/>
    <w:rsid w:val="00C419E2"/>
    <w:rsid w:val="00C5020E"/>
    <w:rsid w:val="00C52806"/>
    <w:rsid w:val="00C57452"/>
    <w:rsid w:val="00C61EDF"/>
    <w:rsid w:val="00C6239D"/>
    <w:rsid w:val="00C6594B"/>
    <w:rsid w:val="00C66032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573"/>
    <w:rsid w:val="00CB6BC1"/>
    <w:rsid w:val="00CB6CB8"/>
    <w:rsid w:val="00CC1A68"/>
    <w:rsid w:val="00CC2123"/>
    <w:rsid w:val="00CD2BFD"/>
    <w:rsid w:val="00CD50B6"/>
    <w:rsid w:val="00CE1F51"/>
    <w:rsid w:val="00CE5AD6"/>
    <w:rsid w:val="00CE617F"/>
    <w:rsid w:val="00CE78EF"/>
    <w:rsid w:val="00CF6DE7"/>
    <w:rsid w:val="00D0233F"/>
    <w:rsid w:val="00D048F7"/>
    <w:rsid w:val="00D0517E"/>
    <w:rsid w:val="00D140FC"/>
    <w:rsid w:val="00D17E46"/>
    <w:rsid w:val="00D21D8C"/>
    <w:rsid w:val="00D31357"/>
    <w:rsid w:val="00D33220"/>
    <w:rsid w:val="00D334D1"/>
    <w:rsid w:val="00D44C89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0654"/>
    <w:rsid w:val="00DA352E"/>
    <w:rsid w:val="00DC7694"/>
    <w:rsid w:val="00DD109F"/>
    <w:rsid w:val="00DD1BF6"/>
    <w:rsid w:val="00DD2F9B"/>
    <w:rsid w:val="00DD361A"/>
    <w:rsid w:val="00DD7B80"/>
    <w:rsid w:val="00DE2157"/>
    <w:rsid w:val="00DE2513"/>
    <w:rsid w:val="00DE26E8"/>
    <w:rsid w:val="00DE754F"/>
    <w:rsid w:val="00DF6F36"/>
    <w:rsid w:val="00E0084C"/>
    <w:rsid w:val="00E025AB"/>
    <w:rsid w:val="00E02B23"/>
    <w:rsid w:val="00E03C97"/>
    <w:rsid w:val="00E06F40"/>
    <w:rsid w:val="00E07CE8"/>
    <w:rsid w:val="00E108B5"/>
    <w:rsid w:val="00E146D0"/>
    <w:rsid w:val="00E26A07"/>
    <w:rsid w:val="00E32595"/>
    <w:rsid w:val="00E335EF"/>
    <w:rsid w:val="00E36BB5"/>
    <w:rsid w:val="00E37CFD"/>
    <w:rsid w:val="00E41A26"/>
    <w:rsid w:val="00E43F60"/>
    <w:rsid w:val="00E46BCB"/>
    <w:rsid w:val="00E50956"/>
    <w:rsid w:val="00E5199D"/>
    <w:rsid w:val="00E51CAF"/>
    <w:rsid w:val="00E60F04"/>
    <w:rsid w:val="00E62AAC"/>
    <w:rsid w:val="00E67C2F"/>
    <w:rsid w:val="00E67EF5"/>
    <w:rsid w:val="00E804EA"/>
    <w:rsid w:val="00E80A71"/>
    <w:rsid w:val="00E82337"/>
    <w:rsid w:val="00E9157B"/>
    <w:rsid w:val="00E92499"/>
    <w:rsid w:val="00E949AF"/>
    <w:rsid w:val="00E96077"/>
    <w:rsid w:val="00EA0A06"/>
    <w:rsid w:val="00EA6243"/>
    <w:rsid w:val="00EA74AB"/>
    <w:rsid w:val="00EB3D1B"/>
    <w:rsid w:val="00EC097C"/>
    <w:rsid w:val="00EC21CA"/>
    <w:rsid w:val="00ED1D89"/>
    <w:rsid w:val="00ED66BC"/>
    <w:rsid w:val="00EF233A"/>
    <w:rsid w:val="00EF303E"/>
    <w:rsid w:val="00EF3A40"/>
    <w:rsid w:val="00EF6403"/>
    <w:rsid w:val="00EF7F78"/>
    <w:rsid w:val="00F01B08"/>
    <w:rsid w:val="00F01C4D"/>
    <w:rsid w:val="00F053FA"/>
    <w:rsid w:val="00F11C71"/>
    <w:rsid w:val="00F12A05"/>
    <w:rsid w:val="00F16ED8"/>
    <w:rsid w:val="00F20E68"/>
    <w:rsid w:val="00F22093"/>
    <w:rsid w:val="00F236DF"/>
    <w:rsid w:val="00F42684"/>
    <w:rsid w:val="00F43AD5"/>
    <w:rsid w:val="00F56DD0"/>
    <w:rsid w:val="00F6491C"/>
    <w:rsid w:val="00F67BBB"/>
    <w:rsid w:val="00F8036D"/>
    <w:rsid w:val="00F85067"/>
    <w:rsid w:val="00F87D92"/>
    <w:rsid w:val="00F9094D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219E"/>
    <w:rsid w:val="00FC60A2"/>
    <w:rsid w:val="00FD0E85"/>
    <w:rsid w:val="00FD1871"/>
    <w:rsid w:val="00FD3110"/>
    <w:rsid w:val="00FE35F9"/>
    <w:rsid w:val="00FF270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43A3B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402334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F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F5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F5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gih.org/tlv-bei-guidelines/policies-procedures-presentation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16EA8CFD9E447C978E2200F005A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19A6-E2FF-401E-8FA9-0512B0B67D22}"/>
      </w:docPartPr>
      <w:docPartBody>
        <w:p w:rsidR="00241417" w:rsidRDefault="004436B1">
          <w:pPr>
            <w:pStyle w:val="3316EA8CFD9E447C978E2200F005A8CC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56F63A9E9E5845ABA22E7A5A9A27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1F4F-078F-458F-9F56-F5A68F7A27B8}"/>
      </w:docPartPr>
      <w:docPartBody>
        <w:p w:rsidR="00241417" w:rsidRDefault="004436B1">
          <w:pPr>
            <w:pStyle w:val="56F63A9E9E5845ABA22E7A5A9A27E608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84992ACB0DCE48A499A8642A0EDA3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6202-75B2-4CC5-B971-0E6A5A1EB36B}"/>
      </w:docPartPr>
      <w:docPartBody>
        <w:p w:rsidR="00241417" w:rsidRDefault="004436B1">
          <w:pPr>
            <w:pStyle w:val="84992ACB0DCE48A499A8642A0EDA3C11"/>
          </w:pPr>
          <w:r w:rsidRPr="00334EFB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64C8160D28E492092663118BBBF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ABB7-CF17-42F4-ABC4-F34C4E747B28}"/>
      </w:docPartPr>
      <w:docPartBody>
        <w:p w:rsidR="00241417" w:rsidRDefault="004436B1">
          <w:pPr>
            <w:pStyle w:val="C64C8160D28E492092663118BBBFA778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6E0B184664EF4E6B8A8D69AF8A40C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3845-79ED-400A-9A43-9595952EC004}"/>
      </w:docPartPr>
      <w:docPartBody>
        <w:p w:rsidR="00241417" w:rsidRDefault="004436B1">
          <w:pPr>
            <w:pStyle w:val="6E0B184664EF4E6B8A8D69AF8A40CA4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418F4A59E1F46BDBAD68838DC41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FF27-6DD5-48C5-8323-822377570C17}"/>
      </w:docPartPr>
      <w:docPartBody>
        <w:p w:rsidR="00241417" w:rsidRDefault="004436B1">
          <w:pPr>
            <w:pStyle w:val="4418F4A59E1F46BDBAD68838DC417A8C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A39E3C2EB3542C094C97E77398DE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9332-67B7-490C-84F7-96D362B94591}"/>
      </w:docPartPr>
      <w:docPartBody>
        <w:p w:rsidR="00241417" w:rsidRDefault="004436B1">
          <w:pPr>
            <w:pStyle w:val="FA39E3C2EB3542C094C97E77398DE5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209895C246FE4D35A8253F9EFE1F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55F69-0DE9-4F5E-A7F1-D8A0DBA419C5}"/>
      </w:docPartPr>
      <w:docPartBody>
        <w:p w:rsidR="00241417" w:rsidRDefault="004436B1">
          <w:pPr>
            <w:pStyle w:val="209895C246FE4D35A8253F9EFE1F409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25C4AEC8DB542BCBAADCCABD74A5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310C-7D08-4E4F-9EAB-8F9E4FE9925A}"/>
      </w:docPartPr>
      <w:docPartBody>
        <w:p w:rsidR="00241417" w:rsidRDefault="004436B1">
          <w:pPr>
            <w:pStyle w:val="925C4AEC8DB542BCBAADCCABD74A5D05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42EA273CF6D4654B227549DB23F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C48C-06CC-4CFB-BF54-4E5386676669}"/>
      </w:docPartPr>
      <w:docPartBody>
        <w:p w:rsidR="00241417" w:rsidRDefault="004436B1">
          <w:pPr>
            <w:pStyle w:val="642EA273CF6D4654B227549DB23F7D6C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27125E45408340AD8BC4E30D4576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AEBC-F6B1-4BC9-9680-5345DBC48C29}"/>
      </w:docPartPr>
      <w:docPartBody>
        <w:p w:rsidR="00241417" w:rsidRDefault="004436B1">
          <w:pPr>
            <w:pStyle w:val="27125E45408340AD8BC4E30D4576578D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D563810E59884E14A40C29C98B85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FAED-1E20-4F0F-8E54-81F57E523220}"/>
      </w:docPartPr>
      <w:docPartBody>
        <w:p w:rsidR="00241417" w:rsidRDefault="004436B1">
          <w:pPr>
            <w:pStyle w:val="D563810E59884E14A40C29C98B85E1A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4E753499141043D696F9A91BF9E0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6E54-FC80-41CF-B750-407DE647E4AB}"/>
      </w:docPartPr>
      <w:docPartBody>
        <w:p w:rsidR="00241417" w:rsidRDefault="004436B1">
          <w:pPr>
            <w:pStyle w:val="4E753499141043D696F9A91BF9E06257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09734DF49742E8BEE740346116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6C3B-D39C-4C7A-B734-B73427259310}"/>
      </w:docPartPr>
      <w:docPartBody>
        <w:p w:rsidR="00241417" w:rsidRDefault="004436B1">
          <w:pPr>
            <w:pStyle w:val="EA09734DF49742E8BEE740346116DED4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01A12C0B3AC4AE7B0377A0287AF9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21E53-8F87-405C-9A92-A2D447088706}"/>
      </w:docPartPr>
      <w:docPartBody>
        <w:p w:rsidR="00241417" w:rsidRDefault="004436B1">
          <w:pPr>
            <w:pStyle w:val="101A12C0B3AC4AE7B0377A0287AF9CE8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8B0DF1B68C0546918688DEBB9579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39CE-971E-4AD4-BAAF-C3ED1C0F14CB}"/>
      </w:docPartPr>
      <w:docPartBody>
        <w:p w:rsidR="00241417" w:rsidRDefault="004436B1">
          <w:pPr>
            <w:pStyle w:val="8B0DF1B68C0546918688DEBB9579C092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95DD3AC7EA994F8DBCC9397565C40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8D38-C6BE-4BBE-9797-0D9568EF9890}"/>
      </w:docPartPr>
      <w:docPartBody>
        <w:p w:rsidR="00241417" w:rsidRDefault="004436B1">
          <w:pPr>
            <w:pStyle w:val="95DD3AC7EA994F8DBCC9397565C40828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8A3EBC363AB04E319298A475465B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9F7F-A309-46C0-AA04-E15FF8A4EFE7}"/>
      </w:docPartPr>
      <w:docPartBody>
        <w:p w:rsidR="00241417" w:rsidRDefault="004436B1">
          <w:pPr>
            <w:pStyle w:val="8A3EBC363AB04E319298A475465B4C70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EE7505E7FD544C5D91E2D3D6B496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8BA4-98BB-440C-9D9C-4CDFCDEAB584}"/>
      </w:docPartPr>
      <w:docPartBody>
        <w:p w:rsidR="00241417" w:rsidRDefault="004436B1">
          <w:pPr>
            <w:pStyle w:val="EE7505E7FD544C5D91E2D3D6B496B1F3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CC1EF042E1C4DB19FA767D063F3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59F7-D185-497B-B2BB-F2DB75926CD7}"/>
      </w:docPartPr>
      <w:docPartBody>
        <w:p w:rsidR="00241417" w:rsidRDefault="004436B1">
          <w:pPr>
            <w:pStyle w:val="5CC1EF042E1C4DB19FA767D063F37E57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30FEFC6A64BF0A38157E6AB0A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28BA-4E52-4EC4-8691-34AF3C216508}"/>
      </w:docPartPr>
      <w:docPartBody>
        <w:p w:rsidR="00241417" w:rsidRDefault="004436B1">
          <w:pPr>
            <w:pStyle w:val="B7E30FEFC6A64BF0A38157E6AB0A7C61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BE972455F3F347ED903F9E3E0C063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FE1B-A519-4F4D-876A-822B11F04818}"/>
      </w:docPartPr>
      <w:docPartBody>
        <w:p w:rsidR="00241417" w:rsidRDefault="004436B1" w:rsidP="004436B1">
          <w:pPr>
            <w:pStyle w:val="BE972455F3F347ED903F9E3E0C06386C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033E4D179AA64C35AECD4A7592AC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58E13-F4DA-41EB-A83F-66E13482F4F1}"/>
      </w:docPartPr>
      <w:docPartBody>
        <w:p w:rsidR="00B21D35" w:rsidRDefault="00710CFC" w:rsidP="00710CFC">
          <w:pPr>
            <w:pStyle w:val="033E4D179AA64C35AECD4A7592ACE1A6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B1"/>
    <w:rsid w:val="00090132"/>
    <w:rsid w:val="00241417"/>
    <w:rsid w:val="003C1ED1"/>
    <w:rsid w:val="004436B1"/>
    <w:rsid w:val="00710CFC"/>
    <w:rsid w:val="00940365"/>
    <w:rsid w:val="00AE29C1"/>
    <w:rsid w:val="00B21D35"/>
    <w:rsid w:val="00BC3F1D"/>
    <w:rsid w:val="00C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CFC"/>
    <w:rPr>
      <w:color w:val="808080"/>
    </w:rPr>
  </w:style>
  <w:style w:type="paragraph" w:customStyle="1" w:styleId="3316EA8CFD9E447C978E2200F005A8CC">
    <w:name w:val="3316EA8CFD9E447C978E2200F005A8CC"/>
  </w:style>
  <w:style w:type="paragraph" w:customStyle="1" w:styleId="BB1F3302173043F6B0F8A2B136063EA5">
    <w:name w:val="BB1F3302173043F6B0F8A2B136063EA5"/>
  </w:style>
  <w:style w:type="paragraph" w:customStyle="1" w:styleId="56F63A9E9E5845ABA22E7A5A9A27E608">
    <w:name w:val="56F63A9E9E5845ABA22E7A5A9A27E608"/>
  </w:style>
  <w:style w:type="paragraph" w:customStyle="1" w:styleId="84992ACB0DCE48A499A8642A0EDA3C11">
    <w:name w:val="84992ACB0DCE48A499A8642A0EDA3C11"/>
  </w:style>
  <w:style w:type="paragraph" w:customStyle="1" w:styleId="C64C8160D28E492092663118BBBFA778">
    <w:name w:val="C64C8160D28E492092663118BBBFA778"/>
  </w:style>
  <w:style w:type="paragraph" w:customStyle="1" w:styleId="6E0B184664EF4E6B8A8D69AF8A40CA4A">
    <w:name w:val="6E0B184664EF4E6B8A8D69AF8A40CA4A"/>
  </w:style>
  <w:style w:type="paragraph" w:customStyle="1" w:styleId="4418F4A59E1F46BDBAD68838DC417A8C">
    <w:name w:val="4418F4A59E1F46BDBAD68838DC417A8C"/>
  </w:style>
  <w:style w:type="paragraph" w:customStyle="1" w:styleId="FA39E3C2EB3542C094C97E77398DE59F">
    <w:name w:val="FA39E3C2EB3542C094C97E77398DE59F"/>
  </w:style>
  <w:style w:type="paragraph" w:customStyle="1" w:styleId="209895C246FE4D35A8253F9EFE1F409D">
    <w:name w:val="209895C246FE4D35A8253F9EFE1F409D"/>
  </w:style>
  <w:style w:type="paragraph" w:customStyle="1" w:styleId="925C4AEC8DB542BCBAADCCABD74A5D05">
    <w:name w:val="925C4AEC8DB542BCBAADCCABD74A5D05"/>
  </w:style>
  <w:style w:type="paragraph" w:customStyle="1" w:styleId="642EA273CF6D4654B227549DB23F7D6C">
    <w:name w:val="642EA273CF6D4654B227549DB23F7D6C"/>
  </w:style>
  <w:style w:type="paragraph" w:customStyle="1" w:styleId="27125E45408340AD8BC4E30D4576578D">
    <w:name w:val="27125E45408340AD8BC4E30D4576578D"/>
  </w:style>
  <w:style w:type="paragraph" w:customStyle="1" w:styleId="D563810E59884E14A40C29C98B85E1A2">
    <w:name w:val="D563810E59884E14A40C29C98B85E1A2"/>
  </w:style>
  <w:style w:type="paragraph" w:customStyle="1" w:styleId="4E753499141043D696F9A91BF9E06257">
    <w:name w:val="4E753499141043D696F9A91BF9E06257"/>
  </w:style>
  <w:style w:type="paragraph" w:customStyle="1" w:styleId="EA09734DF49742E8BEE740346116DED4">
    <w:name w:val="EA09734DF49742E8BEE740346116DED4"/>
  </w:style>
  <w:style w:type="paragraph" w:customStyle="1" w:styleId="101A12C0B3AC4AE7B0377A0287AF9CE8">
    <w:name w:val="101A12C0B3AC4AE7B0377A0287AF9CE8"/>
  </w:style>
  <w:style w:type="paragraph" w:customStyle="1" w:styleId="88BDEE5EB6C7438F9E552431FC6481E1">
    <w:name w:val="88BDEE5EB6C7438F9E552431FC6481E1"/>
  </w:style>
  <w:style w:type="paragraph" w:customStyle="1" w:styleId="718C3FD473D645ECB67A456CD8F5893D">
    <w:name w:val="718C3FD473D645ECB67A456CD8F5893D"/>
  </w:style>
  <w:style w:type="paragraph" w:customStyle="1" w:styleId="8B0DF1B68C0546918688DEBB9579C092">
    <w:name w:val="8B0DF1B68C0546918688DEBB9579C092"/>
  </w:style>
  <w:style w:type="paragraph" w:customStyle="1" w:styleId="03F95FE5A2C04C798AD39972BC1FA817">
    <w:name w:val="03F95FE5A2C04C798AD39972BC1FA817"/>
  </w:style>
  <w:style w:type="paragraph" w:customStyle="1" w:styleId="C073DC0D8B794D8A8488E293E4923B59">
    <w:name w:val="C073DC0D8B794D8A8488E293E4923B59"/>
  </w:style>
  <w:style w:type="paragraph" w:customStyle="1" w:styleId="31DE693E4E3444658D8528207218A259">
    <w:name w:val="31DE693E4E3444658D8528207218A259"/>
  </w:style>
  <w:style w:type="paragraph" w:customStyle="1" w:styleId="257EB72EC93C4D0AA9E2C22E64E3AFA5">
    <w:name w:val="257EB72EC93C4D0AA9E2C22E64E3AFA5"/>
  </w:style>
  <w:style w:type="paragraph" w:customStyle="1" w:styleId="3FEDE57260C74EADBF2271E54DF97CE5">
    <w:name w:val="3FEDE57260C74EADBF2271E54DF97CE5"/>
  </w:style>
  <w:style w:type="paragraph" w:customStyle="1" w:styleId="ACAD034BB8D04319A1FC79A2B8964A7C">
    <w:name w:val="ACAD034BB8D04319A1FC79A2B8964A7C"/>
  </w:style>
  <w:style w:type="paragraph" w:customStyle="1" w:styleId="3B7A35C8607D4A35AF03DCC778B24138">
    <w:name w:val="3B7A35C8607D4A35AF03DCC778B24138"/>
  </w:style>
  <w:style w:type="paragraph" w:customStyle="1" w:styleId="EB5B9F216FC94119BD8EB5002E545173">
    <w:name w:val="EB5B9F216FC94119BD8EB5002E545173"/>
  </w:style>
  <w:style w:type="paragraph" w:customStyle="1" w:styleId="4DC6C1B2EFAA4A99AB58D9823398B044">
    <w:name w:val="4DC6C1B2EFAA4A99AB58D9823398B044"/>
  </w:style>
  <w:style w:type="paragraph" w:customStyle="1" w:styleId="1EB878076F394A00815CDDAD945E4C9E">
    <w:name w:val="1EB878076F394A00815CDDAD945E4C9E"/>
  </w:style>
  <w:style w:type="paragraph" w:customStyle="1" w:styleId="95DD3AC7EA994F8DBCC9397565C40828">
    <w:name w:val="95DD3AC7EA994F8DBCC9397565C40828"/>
  </w:style>
  <w:style w:type="paragraph" w:customStyle="1" w:styleId="8A3EBC363AB04E319298A475465B4C70">
    <w:name w:val="8A3EBC363AB04E319298A475465B4C70"/>
  </w:style>
  <w:style w:type="paragraph" w:customStyle="1" w:styleId="EE7505E7FD544C5D91E2D3D6B496B1F3">
    <w:name w:val="EE7505E7FD544C5D91E2D3D6B496B1F3"/>
  </w:style>
  <w:style w:type="paragraph" w:customStyle="1" w:styleId="5CC1EF042E1C4DB19FA767D063F37E57">
    <w:name w:val="5CC1EF042E1C4DB19FA767D063F37E57"/>
  </w:style>
  <w:style w:type="paragraph" w:customStyle="1" w:styleId="B7E30FEFC6A64BF0A38157E6AB0A7C61">
    <w:name w:val="B7E30FEFC6A64BF0A38157E6AB0A7C61"/>
  </w:style>
  <w:style w:type="paragraph" w:customStyle="1" w:styleId="BE972455F3F347ED903F9E3E0C06386C">
    <w:name w:val="BE972455F3F347ED903F9E3E0C06386C"/>
    <w:rsid w:val="004436B1"/>
  </w:style>
  <w:style w:type="paragraph" w:customStyle="1" w:styleId="A3D1216447A943BCB28840B7BC89BFE9">
    <w:name w:val="A3D1216447A943BCB28840B7BC89BFE9"/>
    <w:rsid w:val="00C936A7"/>
  </w:style>
  <w:style w:type="paragraph" w:customStyle="1" w:styleId="FF3F19379E7C40C3975599F09A048604">
    <w:name w:val="FF3F19379E7C40C3975599F09A048604"/>
    <w:rsid w:val="00C936A7"/>
  </w:style>
  <w:style w:type="paragraph" w:customStyle="1" w:styleId="033E4D179AA64C35AECD4A7592ACE1A6">
    <w:name w:val="033E4D179AA64C35AECD4A7592ACE1A6"/>
    <w:rsid w:val="00710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1367-B436-424E-BB5F-810011C8F49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bf54d604-3e62-4e70-ba33-9e9084b96a66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0C52F1-CE43-43F5-BDAA-7B2DC4E7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CF76B-79A1-4914-8722-453590B8C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59422-DC19-469A-947B-6267A985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47A2508C.dotm</Template>
  <TotalTime>0</TotalTime>
  <Pages>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2019-11-14T05:59:00Z</dcterms:created>
  <dcterms:modified xsi:type="dcterms:W3CDTF">2019-11-19T22:50:00Z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