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1BAFF9A" w14:textId="77777777" w:rsidR="00BD499F" w:rsidRPr="004C23F4" w:rsidRDefault="009B3414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2-diethylaminoethanol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5"/>
        <w:gridCol w:w="5051"/>
      </w:tblGrid>
      <w:tr w:rsidR="00F43AD5" w:rsidRPr="004C23F4" w14:paraId="33A5D775" w14:textId="77777777" w:rsidTr="00463582">
        <w:trPr>
          <w:cantSplit/>
          <w:tblHeader/>
        </w:trPr>
        <w:tc>
          <w:tcPr>
            <w:tcW w:w="3975" w:type="dxa"/>
          </w:tcPr>
          <w:p w14:paraId="5DECAC5B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51" w:type="dxa"/>
          </w:tcPr>
          <w:p w14:paraId="5B9D1119" w14:textId="77777777" w:rsidR="00F43AD5" w:rsidRPr="00717D45" w:rsidRDefault="009B3414" w:rsidP="00B76A41">
            <w:pPr>
              <w:pStyle w:val="Tablefont"/>
            </w:pPr>
            <w:r>
              <w:t>100-37-8</w:t>
            </w:r>
          </w:p>
        </w:tc>
      </w:tr>
      <w:tr w:rsidR="00F43AD5" w:rsidRPr="004C23F4" w14:paraId="104FC8BC" w14:textId="77777777" w:rsidTr="00463582">
        <w:trPr>
          <w:cantSplit/>
        </w:trPr>
        <w:tc>
          <w:tcPr>
            <w:tcW w:w="3975" w:type="dxa"/>
          </w:tcPr>
          <w:p w14:paraId="7C476224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51" w:type="dxa"/>
          </w:tcPr>
          <w:p w14:paraId="598CF996" w14:textId="77777777" w:rsidR="00F43AD5" w:rsidRPr="00717D45" w:rsidRDefault="009B3414" w:rsidP="00B76A41">
            <w:pPr>
              <w:pStyle w:val="Tablefont"/>
            </w:pPr>
            <w:proofErr w:type="spellStart"/>
            <w:r>
              <w:t>Diethylaminoethanol</w:t>
            </w:r>
            <w:proofErr w:type="spellEnd"/>
            <w:r>
              <w:t>, DEAE, 2-diethylaminoethyl alcohol, N,N-</w:t>
            </w:r>
            <w:proofErr w:type="spellStart"/>
            <w:r>
              <w:t>diethylethanolamine</w:t>
            </w:r>
            <w:proofErr w:type="spellEnd"/>
            <w:r>
              <w:t>, 2-hydroxytriethylamine</w:t>
            </w:r>
          </w:p>
        </w:tc>
      </w:tr>
      <w:tr w:rsidR="00F43AD5" w:rsidRPr="004C23F4" w14:paraId="4FB310A3" w14:textId="77777777" w:rsidTr="00463582">
        <w:trPr>
          <w:cantSplit/>
        </w:trPr>
        <w:tc>
          <w:tcPr>
            <w:tcW w:w="3975" w:type="dxa"/>
          </w:tcPr>
          <w:p w14:paraId="5FD49495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51" w:type="dxa"/>
          </w:tcPr>
          <w:p w14:paraId="7955127C" w14:textId="77777777" w:rsidR="00F43AD5" w:rsidRPr="00717D45" w:rsidRDefault="009B3414" w:rsidP="00B76A41">
            <w:pPr>
              <w:pStyle w:val="Tablefont"/>
            </w:pPr>
            <w:r>
              <w:t>C</w:t>
            </w:r>
            <w:r w:rsidRPr="009B3414">
              <w:rPr>
                <w:vertAlign w:val="subscript"/>
              </w:rPr>
              <w:t>6</w:t>
            </w:r>
            <w:r>
              <w:t>H</w:t>
            </w:r>
            <w:r w:rsidRPr="009B3414">
              <w:rPr>
                <w:vertAlign w:val="subscript"/>
              </w:rPr>
              <w:t>15</w:t>
            </w:r>
            <w:r>
              <w:t>NO</w:t>
            </w:r>
          </w:p>
        </w:tc>
      </w:tr>
    </w:tbl>
    <w:p w14:paraId="3E9F84FE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FC5A2B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1"/>
        <w:gridCol w:w="5015"/>
      </w:tblGrid>
      <w:tr w:rsidR="009B3414" w:rsidRPr="004C23F4" w14:paraId="5D55C5A6" w14:textId="77777777" w:rsidTr="009B3414">
        <w:trPr>
          <w:cantSplit/>
          <w:tblHeader/>
        </w:trPr>
        <w:tc>
          <w:tcPr>
            <w:tcW w:w="4011" w:type="dxa"/>
            <w:vAlign w:val="center"/>
          </w:tcPr>
          <w:p w14:paraId="08BDEC81" w14:textId="77777777" w:rsidR="009B3414" w:rsidRPr="002C58FF" w:rsidRDefault="009B3414" w:rsidP="009B3414">
            <w:pPr>
              <w:pStyle w:val="Tablerowright"/>
            </w:pPr>
            <w:r>
              <w:t>TWA:</w:t>
            </w:r>
          </w:p>
        </w:tc>
        <w:tc>
          <w:tcPr>
            <w:tcW w:w="5015" w:type="dxa"/>
          </w:tcPr>
          <w:p w14:paraId="7926B760" w14:textId="77777777" w:rsidR="009B3414" w:rsidRPr="00FC5A2B" w:rsidRDefault="007E2112" w:rsidP="007C245C">
            <w:pPr>
              <w:pStyle w:val="Tablerowheading"/>
            </w:pPr>
            <w:r>
              <w:t>1</w:t>
            </w:r>
            <w:r w:rsidR="00FC5A2B">
              <w:t xml:space="preserve"> ppm (</w:t>
            </w:r>
            <w:r>
              <w:t>4.8</w:t>
            </w:r>
            <w:r w:rsidR="00FC5A2B">
              <w:t xml:space="preserve"> mg/m</w:t>
            </w:r>
            <w:r w:rsidR="00FC5A2B">
              <w:rPr>
                <w:vertAlign w:val="superscript"/>
              </w:rPr>
              <w:t>3</w:t>
            </w:r>
            <w:r w:rsidR="00FC5A2B">
              <w:t>)</w:t>
            </w:r>
          </w:p>
        </w:tc>
      </w:tr>
      <w:tr w:rsidR="009B3414" w:rsidRPr="004C23F4" w14:paraId="73EE79C7" w14:textId="77777777" w:rsidTr="009B3414">
        <w:trPr>
          <w:cantSplit/>
        </w:trPr>
        <w:tc>
          <w:tcPr>
            <w:tcW w:w="4011" w:type="dxa"/>
            <w:vAlign w:val="center"/>
          </w:tcPr>
          <w:p w14:paraId="3E8C612C" w14:textId="77777777" w:rsidR="009B3414" w:rsidRPr="002C58FF" w:rsidRDefault="009B3414" w:rsidP="009B3414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5" w:type="dxa"/>
          </w:tcPr>
          <w:p w14:paraId="2A78B618" w14:textId="77777777" w:rsidR="009B3414" w:rsidRPr="00F00684" w:rsidRDefault="00213607" w:rsidP="007C245C">
            <w:pPr>
              <w:pStyle w:val="Tablerowheading"/>
            </w:pPr>
            <w:r>
              <w:t>—</w:t>
            </w:r>
          </w:p>
        </w:tc>
      </w:tr>
      <w:tr w:rsidR="009B3414" w:rsidRPr="004C23F4" w14:paraId="6A09487E" w14:textId="77777777" w:rsidTr="009B3414">
        <w:trPr>
          <w:cantSplit/>
        </w:trPr>
        <w:tc>
          <w:tcPr>
            <w:tcW w:w="4011" w:type="dxa"/>
            <w:vAlign w:val="center"/>
          </w:tcPr>
          <w:p w14:paraId="1EC2B6F0" w14:textId="77777777" w:rsidR="009B3414" w:rsidRPr="002C58FF" w:rsidRDefault="009B3414" w:rsidP="009B3414">
            <w:pPr>
              <w:pStyle w:val="Tablerowright"/>
            </w:pPr>
            <w:r>
              <w:t>Peak limitation:</w:t>
            </w:r>
          </w:p>
        </w:tc>
        <w:tc>
          <w:tcPr>
            <w:tcW w:w="5015" w:type="dxa"/>
          </w:tcPr>
          <w:p w14:paraId="2EF0E18A" w14:textId="77777777" w:rsidR="009B3414" w:rsidRPr="00F00684" w:rsidRDefault="00213607" w:rsidP="007C245C">
            <w:pPr>
              <w:pStyle w:val="Tablerowheading"/>
            </w:pPr>
            <w:r>
              <w:t>—</w:t>
            </w:r>
          </w:p>
        </w:tc>
      </w:tr>
      <w:tr w:rsidR="009B3414" w:rsidRPr="004C23F4" w14:paraId="467BD5FF" w14:textId="77777777" w:rsidTr="009B3414">
        <w:trPr>
          <w:cantSplit/>
        </w:trPr>
        <w:tc>
          <w:tcPr>
            <w:tcW w:w="4011" w:type="dxa"/>
          </w:tcPr>
          <w:p w14:paraId="012EF00E" w14:textId="77777777" w:rsidR="009B3414" w:rsidRPr="002C58FF" w:rsidRDefault="009B3414" w:rsidP="009B3414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5" w:type="dxa"/>
          </w:tcPr>
          <w:p w14:paraId="00BBFA3E" w14:textId="77777777" w:rsidR="009B3414" w:rsidRPr="00F00684" w:rsidRDefault="007C245C" w:rsidP="007C245C">
            <w:pPr>
              <w:pStyle w:val="Tablerowheading"/>
            </w:pPr>
            <w:r>
              <w:t>Sk.</w:t>
            </w:r>
          </w:p>
        </w:tc>
      </w:tr>
      <w:tr w:rsidR="009B3414" w:rsidRPr="004C23F4" w14:paraId="04B8D1AE" w14:textId="77777777" w:rsidTr="009B3414">
        <w:trPr>
          <w:cantSplit/>
        </w:trPr>
        <w:tc>
          <w:tcPr>
            <w:tcW w:w="4011" w:type="dxa"/>
            <w:vAlign w:val="center"/>
          </w:tcPr>
          <w:p w14:paraId="17CD62D4" w14:textId="77777777" w:rsidR="009B3414" w:rsidRPr="002C58FF" w:rsidRDefault="009B3414" w:rsidP="009B3414">
            <w:pPr>
              <w:pStyle w:val="Tablerowright"/>
            </w:pPr>
            <w:r>
              <w:t>IDLH:</w:t>
            </w:r>
          </w:p>
        </w:tc>
        <w:tc>
          <w:tcPr>
            <w:tcW w:w="5015" w:type="dxa"/>
          </w:tcPr>
          <w:p w14:paraId="3D55194F" w14:textId="77777777" w:rsidR="009B3414" w:rsidRPr="00F00684" w:rsidRDefault="000847A3" w:rsidP="007C245C">
            <w:pPr>
              <w:pStyle w:val="Tablerowheading"/>
            </w:pPr>
            <w:r w:rsidRPr="00F00684">
              <w:t>100 ppm</w:t>
            </w:r>
          </w:p>
        </w:tc>
      </w:tr>
      <w:tr w:rsidR="007C245C" w:rsidRPr="004C23F4" w14:paraId="51438A83" w14:textId="77777777" w:rsidTr="008537F1">
        <w:trPr>
          <w:cantSplit/>
        </w:trPr>
        <w:tc>
          <w:tcPr>
            <w:tcW w:w="9026" w:type="dxa"/>
            <w:gridSpan w:val="2"/>
            <w:vAlign w:val="center"/>
          </w:tcPr>
          <w:p w14:paraId="4150BBDB" w14:textId="77777777" w:rsidR="007C245C" w:rsidRPr="00F00684" w:rsidRDefault="007C245C" w:rsidP="007C245C">
            <w:pPr>
              <w:pStyle w:val="Tablerowheading"/>
            </w:pPr>
            <w:r w:rsidRPr="00E65417">
              <w:t>Sampling and analysis:</w:t>
            </w:r>
            <w:r w:rsidRPr="00E65417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 w:val="0"/>
                  <w:color w:val="auto"/>
                </w:rPr>
                <w:id w:val="-2105258949"/>
                <w:placeholder>
                  <w:docPart w:val="111DF8C8B5454F389BAF4647E7584073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E65417">
                  <w:rPr>
                    <w:rStyle w:val="WESstatus"/>
                    <w:b w:val="0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2725A825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AB06423" w14:textId="77777777" w:rsidR="006639B4" w:rsidRDefault="007E2112" w:rsidP="000C139A">
      <w:pPr>
        <w:rPr>
          <w:rFonts w:cs="Arial"/>
        </w:rPr>
      </w:pPr>
      <w:r>
        <w:rPr>
          <w:rFonts w:cs="Arial"/>
        </w:rPr>
        <w:t>A TWA of 1 ppm (4.8 mg/m</w:t>
      </w:r>
      <w:r>
        <w:rPr>
          <w:rFonts w:cs="Arial"/>
          <w:vertAlign w:val="superscript"/>
        </w:rPr>
        <w:t>3</w:t>
      </w:r>
      <w:r>
        <w:rPr>
          <w:rFonts w:cs="Arial"/>
        </w:rPr>
        <w:t>) is recommended to protect for local irritant effects and potential reproductive effects in exposed workers.</w:t>
      </w:r>
    </w:p>
    <w:p w14:paraId="04428029" w14:textId="77777777" w:rsidR="00456B72" w:rsidRDefault="00456B72" w:rsidP="00456B72">
      <w:pPr>
        <w:rPr>
          <w:rFonts w:cs="Arial"/>
        </w:rPr>
      </w:pPr>
      <w:r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3E320BBF" w14:textId="77777777" w:rsidR="00C7155E" w:rsidRPr="004C23F4" w:rsidRDefault="00F10C97" w:rsidP="003365A5">
      <w:pPr>
        <w:pStyle w:val="Heading2"/>
      </w:pPr>
      <w:r>
        <w:t>Discussion and conclusions</w:t>
      </w:r>
    </w:p>
    <w:p w14:paraId="160FB62E" w14:textId="461E1FA9" w:rsidR="00B11401" w:rsidRDefault="00FC5A2B" w:rsidP="00FC5A2B">
      <w:r>
        <w:t>2-Diethylaminoethanol (DEAE) is used as a curing agent for resins, as an emulsifying agent (</w:t>
      </w:r>
      <w:r w:rsidR="00463582">
        <w:t>soaps, cosmetics, cutting oils)</w:t>
      </w:r>
      <w:r>
        <w:t xml:space="preserve"> and as a fabric softener.</w:t>
      </w:r>
      <w:r w:rsidR="006A4DB1">
        <w:t xml:space="preserve"> </w:t>
      </w:r>
    </w:p>
    <w:p w14:paraId="20F96545" w14:textId="7626FF14" w:rsidR="00FC5A2B" w:rsidRDefault="006A4DB1" w:rsidP="00FC5A2B">
      <w:r>
        <w:t>Critical effects</w:t>
      </w:r>
      <w:r w:rsidR="00463582">
        <w:t xml:space="preserve"> of exposure</w:t>
      </w:r>
      <w:r>
        <w:t xml:space="preserve"> include sever</w:t>
      </w:r>
      <w:r w:rsidR="00B11401">
        <w:t>e</w:t>
      </w:r>
      <w:r>
        <w:t xml:space="preserve"> irritation of</w:t>
      </w:r>
      <w:r w:rsidR="005D0BC3">
        <w:t xml:space="preserve"> the</w:t>
      </w:r>
      <w:r>
        <w:t xml:space="preserve"> mucous membranes. There are </w:t>
      </w:r>
      <w:r w:rsidR="00035B29">
        <w:t>l</w:t>
      </w:r>
      <w:r w:rsidR="00FC5A2B">
        <w:t xml:space="preserve">imited data in humans but a case report of accidental exposure </w:t>
      </w:r>
      <w:r w:rsidR="005D0BC3">
        <w:t>at</w:t>
      </w:r>
      <w:r w:rsidR="00FC5A2B">
        <w:t xml:space="preserve"> &lt;200 ppm for a few seconds </w:t>
      </w:r>
      <w:r>
        <w:t xml:space="preserve">also </w:t>
      </w:r>
      <w:r w:rsidR="00FC5A2B">
        <w:t>resulted i</w:t>
      </w:r>
      <w:r w:rsidR="00035B29">
        <w:t>n nausea and vomiting</w:t>
      </w:r>
      <w:r w:rsidR="007E2112">
        <w:t xml:space="preserve">. </w:t>
      </w:r>
      <w:r w:rsidR="00FC5A2B">
        <w:t xml:space="preserve">A </w:t>
      </w:r>
      <w:r w:rsidR="007F4522">
        <w:t xml:space="preserve">NOAEC </w:t>
      </w:r>
      <w:r w:rsidR="00FC5A2B">
        <w:t xml:space="preserve">of 10 ppm </w:t>
      </w:r>
      <w:r w:rsidR="00B11401">
        <w:t>i</w:t>
      </w:r>
      <w:r w:rsidR="00463582">
        <w:t>s report</w:t>
      </w:r>
      <w:r w:rsidR="00FC5A2B">
        <w:t>ed in</w:t>
      </w:r>
      <w:r w:rsidR="00F00684">
        <w:t xml:space="preserve"> a</w:t>
      </w:r>
      <w:r w:rsidR="00FC5A2B">
        <w:t xml:space="preserve"> 14</w:t>
      </w:r>
      <w:r w:rsidR="00B11401">
        <w:t xml:space="preserve"> </w:t>
      </w:r>
      <w:r w:rsidR="00FC5A2B">
        <w:t>week inhalation study in rats with irritation of the nasal mucosa observed at 25 ppm (ACGIH, 2018; DFG, 2002; NICNAS</w:t>
      </w:r>
      <w:r w:rsidR="00F27DD6">
        <w:t>,</w:t>
      </w:r>
      <w:r w:rsidR="00FC5A2B">
        <w:t xml:space="preserve"> 2014). </w:t>
      </w:r>
      <w:r w:rsidR="007F4522">
        <w:t>ACGIH derived a TW</w:t>
      </w:r>
      <w:r w:rsidR="00476B8D">
        <w:t>A</w:t>
      </w:r>
      <w:r w:rsidR="007F4522">
        <w:t xml:space="preserve"> of 2</w:t>
      </w:r>
      <w:r w:rsidR="00476B8D">
        <w:t xml:space="preserve"> </w:t>
      </w:r>
      <w:r w:rsidR="007F4522">
        <w:t>ppm based on this NOAEC.</w:t>
      </w:r>
      <w:r w:rsidR="00463582">
        <w:t xml:space="preserve"> Testicular atrophy was observed in a feeding study in rats.</w:t>
      </w:r>
    </w:p>
    <w:p w14:paraId="1AAEDB77" w14:textId="1C098CFE" w:rsidR="00FC5A2B" w:rsidRDefault="006C5740" w:rsidP="007E2112">
      <w:r>
        <w:t>In absence of robust human data,</w:t>
      </w:r>
      <w:r w:rsidR="007F4522">
        <w:t xml:space="preserve"> a</w:t>
      </w:r>
      <w:r>
        <w:t xml:space="preserve"> </w:t>
      </w:r>
      <w:r w:rsidR="007F4522">
        <w:t xml:space="preserve">TWA of 1 ppm was derived </w:t>
      </w:r>
      <w:r w:rsidR="005D0BC3">
        <w:t xml:space="preserve">by </w:t>
      </w:r>
      <w:r w:rsidR="007F4522">
        <w:t xml:space="preserve">dividing the NOAEC </w:t>
      </w:r>
      <w:r w:rsidR="007E2112">
        <w:t xml:space="preserve">of 10 ppm in rats </w:t>
      </w:r>
      <w:r w:rsidR="005D0BC3">
        <w:t>with</w:t>
      </w:r>
      <w:bookmarkStart w:id="0" w:name="_GoBack"/>
      <w:bookmarkEnd w:id="0"/>
      <w:r>
        <w:t xml:space="preserve"> </w:t>
      </w:r>
      <w:r w:rsidR="00213607">
        <w:t>a</w:t>
      </w:r>
      <w:r w:rsidR="00B11401">
        <w:t xml:space="preserve">n uncertainty factor of 10 </w:t>
      </w:r>
      <w:r>
        <w:t>to account for interspecies differences</w:t>
      </w:r>
      <w:r w:rsidR="007E2112">
        <w:t>. This concentration is considered sufficiently low to protect for irritant effects and potential reproductive effects.</w:t>
      </w:r>
    </w:p>
    <w:p w14:paraId="3BC7C2FD" w14:textId="2A697F12" w:rsidR="00B11401" w:rsidRDefault="009A5BD2" w:rsidP="007E2112">
      <w:r>
        <w:t>Given the limited data available in the primary sources</w:t>
      </w:r>
      <w:r w:rsidR="00B11401">
        <w:t xml:space="preserve">, this TWA should be considered as an interim value until further human data are found. Therefore, an investigation of additional data sources is recommended at the next scheduled review. </w:t>
      </w:r>
    </w:p>
    <w:p w14:paraId="41261E13" w14:textId="77777777" w:rsidR="004529F0" w:rsidRPr="004C23F4" w:rsidRDefault="004529F0" w:rsidP="00F00684">
      <w:pPr>
        <w:pStyle w:val="Heading2"/>
      </w:pPr>
      <w:r>
        <w:lastRenderedPageBreak/>
        <w:t>Recommendation for notations</w:t>
      </w:r>
    </w:p>
    <w:p w14:paraId="6E5CA16E" w14:textId="77777777" w:rsidR="009B3414" w:rsidRPr="00FC5A2B" w:rsidRDefault="009B3414" w:rsidP="007C245C">
      <w:pPr>
        <w:keepNext/>
        <w:rPr>
          <w:rFonts w:cs="Arial"/>
        </w:rPr>
      </w:pPr>
      <w:r w:rsidRPr="00FC5A2B">
        <w:rPr>
          <w:rFonts w:cs="Arial"/>
        </w:rPr>
        <w:t>Not classified as a carcinogen according to the Globally Harmonized System of Classification and Labelling</w:t>
      </w:r>
      <w:r w:rsidR="007C245C">
        <w:rPr>
          <w:rFonts w:cs="Arial"/>
        </w:rPr>
        <w:t xml:space="preserve"> of</w:t>
      </w:r>
      <w:r w:rsidRPr="00FC5A2B">
        <w:rPr>
          <w:rFonts w:cs="Arial"/>
        </w:rPr>
        <w:t xml:space="preserve"> Chemicals (GHS). </w:t>
      </w:r>
    </w:p>
    <w:p w14:paraId="72A9F3B1" w14:textId="77777777" w:rsidR="009B3414" w:rsidRPr="00FC5A2B" w:rsidRDefault="009B3414" w:rsidP="007C245C">
      <w:pPr>
        <w:keepNext/>
        <w:rPr>
          <w:rFonts w:cs="Arial"/>
        </w:rPr>
      </w:pPr>
      <w:r w:rsidRPr="00FC5A2B">
        <w:rPr>
          <w:rFonts w:cs="Arial"/>
        </w:rPr>
        <w:t xml:space="preserve">Not classified as a skin </w:t>
      </w:r>
      <w:r w:rsidR="007C245C" w:rsidRPr="00FC5A2B">
        <w:rPr>
          <w:rFonts w:cs="Arial"/>
        </w:rPr>
        <w:t xml:space="preserve">sensitiser </w:t>
      </w:r>
      <w:r w:rsidRPr="00FC5A2B">
        <w:rPr>
          <w:rFonts w:cs="Arial"/>
        </w:rPr>
        <w:t>or respiratory sensitiser according to the GHS.</w:t>
      </w:r>
    </w:p>
    <w:p w14:paraId="7CF6BB84" w14:textId="158361DC" w:rsidR="004529F0" w:rsidRPr="004C23F4" w:rsidRDefault="00FC5A2B" w:rsidP="007C245C">
      <w:pPr>
        <w:keepNext/>
        <w:rPr>
          <w:rFonts w:cs="Arial"/>
        </w:rPr>
      </w:pPr>
      <w:r>
        <w:rPr>
          <w:rFonts w:cs="Arial"/>
        </w:rPr>
        <w:t xml:space="preserve">A skin notation is recommended based on </w:t>
      </w:r>
      <w:r w:rsidR="00463582">
        <w:rPr>
          <w:rFonts w:cs="Arial"/>
        </w:rPr>
        <w:t xml:space="preserve">evidence of </w:t>
      </w:r>
      <w:r>
        <w:rPr>
          <w:rFonts w:cs="Arial"/>
        </w:rPr>
        <w:t xml:space="preserve">dermal </w:t>
      </w:r>
      <w:r w:rsidR="00035B29">
        <w:rPr>
          <w:rFonts w:cs="Arial"/>
        </w:rPr>
        <w:t>absorption in animals</w:t>
      </w:r>
      <w:r w:rsidR="00463582">
        <w:rPr>
          <w:rFonts w:cs="Arial"/>
        </w:rPr>
        <w:t xml:space="preserve"> and noting systemic effects are a critical end point</w:t>
      </w:r>
      <w:r w:rsidR="00035B29">
        <w:rPr>
          <w:rFonts w:cs="Arial"/>
        </w:rPr>
        <w:t>.</w:t>
      </w:r>
    </w:p>
    <w:p w14:paraId="2084BEA7" w14:textId="77777777" w:rsidR="0025734A" w:rsidRPr="004C23F4" w:rsidRDefault="0025734A">
      <w:pPr>
        <w:rPr>
          <w:rFonts w:cs="Arial"/>
        </w:rPr>
      </w:pPr>
    </w:p>
    <w:p w14:paraId="1F92BE59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5B9D2037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5E9CD8D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27DDF0C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57F5F74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428CD827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1E2BD82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3E7DC6">
                  <w:t>1986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3E7DC6">
                  <w:t>TWA: 10 ppm (48 mg/m</w:t>
                </w:r>
                <w:r w:rsidR="003E7DC6" w:rsidRPr="003E7DC6">
                  <w:rPr>
                    <w:vertAlign w:val="superscript"/>
                  </w:rPr>
                  <w:t>3</w:t>
                </w:r>
                <w:r w:rsidR="003E7DC6">
                  <w:t>)</w:t>
                </w:r>
              </w:sdtContent>
            </w:sdt>
          </w:p>
        </w:tc>
      </w:tr>
      <w:tr w:rsidR="00C978F0" w:rsidRPr="00DA352E" w14:paraId="1A9C488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04D254A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85EE0D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897F354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05230B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05230B">
                  <w:t>TLV-TWA: 2 ppm (9.6 mg/m</w:t>
                </w:r>
                <w:r w:rsidR="0005230B" w:rsidRPr="0005230B">
                  <w:rPr>
                    <w:vertAlign w:val="superscript"/>
                  </w:rPr>
                  <w:t>3</w:t>
                </w:r>
                <w:r w:rsidR="0005230B">
                  <w:t>)</w:t>
                </w:r>
              </w:sdtContent>
            </w:sdt>
          </w:p>
        </w:tc>
      </w:tr>
      <w:tr w:rsidR="00C978F0" w:rsidRPr="00DA352E" w14:paraId="1AD0502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AE56828" w14:textId="77777777" w:rsidR="00C978F0" w:rsidRDefault="00874F0C" w:rsidP="003365A5">
            <w:pPr>
              <w:pStyle w:val="Tabletextprimarysource"/>
            </w:pPr>
            <w:r>
              <w:t xml:space="preserve">TLV-TWA recommended to minimise the potential for irritation of the nasal mucosa </w:t>
            </w:r>
            <w:r w:rsidR="007C245C">
              <w:t xml:space="preserve">and </w:t>
            </w:r>
            <w:r>
              <w:t>CNS effects.</w:t>
            </w:r>
            <w:r w:rsidR="0035674A">
              <w:t xml:space="preserve"> TLV is seen as preliminary until additional human data are found.</w:t>
            </w:r>
          </w:p>
          <w:p w14:paraId="7DD9B9B1" w14:textId="77777777" w:rsidR="00874F0C" w:rsidRDefault="00874F0C" w:rsidP="003365A5">
            <w:pPr>
              <w:pStyle w:val="Tabletextprimarysource"/>
            </w:pPr>
            <w:r>
              <w:t>Summary of data:</w:t>
            </w:r>
          </w:p>
          <w:p w14:paraId="24B5C28C" w14:textId="77777777" w:rsidR="00874F0C" w:rsidRDefault="00874F0C" w:rsidP="003365A5">
            <w:pPr>
              <w:pStyle w:val="Tabletextprimarysource"/>
            </w:pPr>
            <w:r>
              <w:t>Human data:</w:t>
            </w:r>
          </w:p>
          <w:p w14:paraId="6BF54973" w14:textId="77777777" w:rsidR="00874F0C" w:rsidRDefault="00874F0C" w:rsidP="006A4DB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Limited data in humans</w:t>
            </w:r>
          </w:p>
          <w:p w14:paraId="3C0FC3C1" w14:textId="4EB502D9" w:rsidR="00874F0C" w:rsidRDefault="00874F0C" w:rsidP="006A4DB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An accidental human exposure to &lt;200 ppm for a few seconds resulted in nausea and vomiting</w:t>
            </w:r>
          </w:p>
          <w:p w14:paraId="721EAEE6" w14:textId="65F54BF8" w:rsidR="00F27DD6" w:rsidRDefault="00C766B6" w:rsidP="00B114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Odour threshold of 0.011 ppm</w:t>
            </w:r>
            <w:r w:rsidR="00035B29">
              <w:t>.</w:t>
            </w:r>
          </w:p>
          <w:p w14:paraId="1E28B002" w14:textId="77777777" w:rsidR="00874F0C" w:rsidRDefault="00874F0C" w:rsidP="00874F0C">
            <w:pPr>
              <w:pStyle w:val="Tabletextprimarysource"/>
            </w:pPr>
            <w:r>
              <w:t>Animal data:</w:t>
            </w:r>
          </w:p>
          <w:p w14:paraId="5AC4DD5E" w14:textId="284C9989" w:rsidR="00B11401" w:rsidRDefault="00874F0C" w:rsidP="006A4DB1">
            <w:pPr>
              <w:pStyle w:val="ListBullet"/>
              <w:spacing w:before="60" w:after="60"/>
              <w:ind w:left="720" w:hanging="357"/>
              <w:contextualSpacing w:val="0"/>
            </w:pPr>
            <w:r>
              <w:t xml:space="preserve">NOAEL of 10 ppm; 6 h/d, 5 d/wk for </w:t>
            </w:r>
            <w:r w:rsidR="00B11401">
              <w:t>14 wk inhalation study in rats</w:t>
            </w:r>
            <w:r w:rsidR="003C2DE7">
              <w:t>:</w:t>
            </w:r>
          </w:p>
          <w:p w14:paraId="19F4F959" w14:textId="49C662B0" w:rsidR="00874F0C" w:rsidRDefault="00874F0C" w:rsidP="00B11401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irritation of the nasal mucosa at 25 ppm</w:t>
            </w:r>
          </w:p>
          <w:p w14:paraId="660E7CC8" w14:textId="77777777" w:rsidR="00874F0C" w:rsidRDefault="00874F0C" w:rsidP="0046358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Testicular atrophy observed in rats fed 200 ppm in their diet for 2 yr</w:t>
            </w:r>
          </w:p>
          <w:p w14:paraId="54D6005D" w14:textId="77777777" w:rsidR="00874F0C" w:rsidRDefault="00874F0C" w:rsidP="0046358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7C245C">
              <w:t>:</w:t>
            </w:r>
            <w:r w:rsidR="00C766B6">
              <w:t xml:space="preserve"> 1</w:t>
            </w:r>
            <w:r w:rsidR="00F00684">
              <w:t xml:space="preserve"> </w:t>
            </w:r>
            <w:r w:rsidR="007C245C">
              <w:t>mL</w:t>
            </w:r>
            <w:r w:rsidR="00C766B6">
              <w:t>/kg</w:t>
            </w:r>
            <w:r w:rsidR="007C245C">
              <w:t xml:space="preserve"> (rabbits, dermal)</w:t>
            </w:r>
          </w:p>
          <w:p w14:paraId="30D8C55B" w14:textId="77777777" w:rsidR="007C245C" w:rsidRDefault="007C245C" w:rsidP="00463582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 w:rsidRPr="007C245C">
              <w:t>LC</w:t>
            </w:r>
            <w:r w:rsidRPr="007C245C">
              <w:rPr>
                <w:vertAlign w:val="subscript"/>
              </w:rPr>
              <w:t>50</w:t>
            </w:r>
            <w:r>
              <w:rPr>
                <w:vertAlign w:val="subscript"/>
              </w:rPr>
              <w:t>:</w:t>
            </w:r>
            <w:r>
              <w:t xml:space="preserve"> 5</w:t>
            </w:r>
            <w:r w:rsidR="00F27DD6">
              <w:t>,</w:t>
            </w:r>
            <w:r>
              <w:t>000 mg/m</w:t>
            </w:r>
            <w:r w:rsidRPr="007C245C">
              <w:rPr>
                <w:vertAlign w:val="superscript"/>
              </w:rPr>
              <w:t>3</w:t>
            </w:r>
            <w:r>
              <w:t xml:space="preserve"> (1</w:t>
            </w:r>
            <w:r w:rsidR="00F27DD6">
              <w:t>,</w:t>
            </w:r>
            <w:r>
              <w:t>050 ppm) (mice, 2 h);</w:t>
            </w:r>
            <w:r w:rsidRPr="007C245C">
              <w:t xml:space="preserve"> 4</w:t>
            </w:r>
            <w:r w:rsidR="00F27DD6">
              <w:t>,</w:t>
            </w:r>
            <w:r w:rsidRPr="007C245C">
              <w:t>500 mg/m</w:t>
            </w:r>
            <w:r w:rsidRPr="007C245C">
              <w:rPr>
                <w:vertAlign w:val="superscript"/>
              </w:rPr>
              <w:t>3</w:t>
            </w:r>
            <w:r w:rsidRPr="007C245C">
              <w:t xml:space="preserve"> (945 ppm</w:t>
            </w:r>
            <w:r>
              <w:t>) (rats, 4 h)</w:t>
            </w:r>
          </w:p>
          <w:p w14:paraId="0717F82C" w14:textId="77777777" w:rsidR="007C245C" w:rsidRDefault="007C245C" w:rsidP="00463582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>
              <w:t>Exposure p</w:t>
            </w:r>
            <w:r w:rsidRPr="007C245C">
              <w:t>roduces symptoms of CNS depression</w:t>
            </w:r>
            <w:r>
              <w:t>.</w:t>
            </w:r>
          </w:p>
          <w:p w14:paraId="3D9867BB" w14:textId="77777777" w:rsidR="00F27DD6" w:rsidRPr="00DA352E" w:rsidRDefault="00F27DD6" w:rsidP="006A4DB1">
            <w:pPr>
              <w:pStyle w:val="ListBullet"/>
              <w:numPr>
                <w:ilvl w:val="0"/>
                <w:numId w:val="0"/>
              </w:numPr>
              <w:ind w:left="731"/>
            </w:pPr>
          </w:p>
        </w:tc>
      </w:tr>
      <w:tr w:rsidR="00C978F0" w:rsidRPr="00DA352E" w14:paraId="561B387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4A0564A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05230B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05230B">
                  <w:t xml:space="preserve">MAK: </w:t>
                </w:r>
                <w:r w:rsidR="00D44A5E">
                  <w:t>5 ppm (24 mg/m</w:t>
                </w:r>
                <w:r w:rsidR="00D44A5E" w:rsidRPr="00D44A5E">
                  <w:rPr>
                    <w:vertAlign w:val="superscript"/>
                  </w:rPr>
                  <w:t>3</w:t>
                </w:r>
                <w:r w:rsidR="00D44A5E">
                  <w:t>)</w:t>
                </w:r>
              </w:sdtContent>
            </w:sdt>
          </w:p>
        </w:tc>
      </w:tr>
      <w:tr w:rsidR="00C978F0" w:rsidRPr="00DA352E" w14:paraId="4EAA367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D51F010" w14:textId="77777777" w:rsidR="00C978F0" w:rsidRDefault="00624F58" w:rsidP="003365A5">
            <w:pPr>
              <w:pStyle w:val="Tabletextprimarysource"/>
            </w:pPr>
            <w:r>
              <w:t>Summary of additional data:</w:t>
            </w:r>
          </w:p>
          <w:p w14:paraId="7B7396E9" w14:textId="77777777" w:rsidR="00624F58" w:rsidRDefault="00624F58" w:rsidP="006A4DB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</w:t>
            </w:r>
            <w:r w:rsidRPr="00624F58">
              <w:t>auses severe irritation of mucous membranes</w:t>
            </w:r>
          </w:p>
          <w:p w14:paraId="1C7167A7" w14:textId="77777777" w:rsidR="00624F58" w:rsidRPr="00FC7174" w:rsidRDefault="00624F58" w:rsidP="006A4DB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MAK derived from NOAEL of 10 ppm as per ACGIH (2018) for local irritant effects; s</w:t>
            </w:r>
            <w:r>
              <w:rPr>
                <w:rFonts w:cs="Arial"/>
                <w:color w:val="1C1D1E"/>
                <w:shd w:val="clear" w:color="auto" w:fill="FFFFFF"/>
              </w:rPr>
              <w:t>ystemic</w:t>
            </w:r>
            <w:r>
              <w:rPr>
                <w:rFonts w:ascii="Cambria Math" w:hAnsi="Cambria Math" w:cs="Cambria Math"/>
                <w:color w:val="1C1D1E"/>
                <w:shd w:val="clear" w:color="auto" w:fill="FFFFFF"/>
              </w:rPr>
              <w:t>‐</w:t>
            </w:r>
            <w:r>
              <w:rPr>
                <w:rFonts w:cs="Arial"/>
                <w:color w:val="1C1D1E"/>
                <w:shd w:val="clear" w:color="auto" w:fill="FFFFFF"/>
              </w:rPr>
              <w:t>toxic effects are not to be expected at this concentration</w:t>
            </w:r>
          </w:p>
          <w:p w14:paraId="45A220A6" w14:textId="77777777" w:rsidR="00FC7174" w:rsidRPr="006A4DB1" w:rsidRDefault="00FC7174" w:rsidP="006A4DB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Rate </w:t>
            </w:r>
            <w:r>
              <w:rPr>
                <w:rFonts w:cs="Arial"/>
                <w:color w:val="1C1D1E"/>
                <w:shd w:val="clear" w:color="auto" w:fill="FFFFFF"/>
              </w:rPr>
              <w:t>of penetration of human skin of 3.44 mg/cm</w:t>
            </w:r>
            <w:r>
              <w:rPr>
                <w:rFonts w:cs="Arial"/>
                <w:color w:val="1C1D1E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 w:rsidR="00F00684">
              <w:rPr>
                <w:rFonts w:cs="Arial"/>
                <w:color w:val="1C1D1E"/>
                <w:sz w:val="18"/>
                <w:szCs w:val="18"/>
                <w:shd w:val="clear" w:color="auto" w:fill="FFFFFF"/>
              </w:rPr>
              <w:t>.</w:t>
            </w:r>
          </w:p>
          <w:p w14:paraId="77CB55DF" w14:textId="77777777" w:rsidR="00F27DD6" w:rsidRPr="00DA352E" w:rsidRDefault="00F27DD6" w:rsidP="006A4DB1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C978F0" w:rsidRPr="00DA352E" w14:paraId="5816EAA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2F9113B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901F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B901F4">
                  <w:t>NA</w:t>
                </w:r>
                <w:proofErr w:type="spellEnd"/>
              </w:sdtContent>
            </w:sdt>
          </w:p>
        </w:tc>
      </w:tr>
      <w:tr w:rsidR="00C978F0" w:rsidRPr="00DA352E" w14:paraId="297EFFC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2343FC4" w14:textId="77777777" w:rsidR="00C978F0" w:rsidRPr="00DA352E" w:rsidRDefault="00B901F4" w:rsidP="003365A5">
            <w:pPr>
              <w:pStyle w:val="Tabletextprimarysource"/>
            </w:pPr>
            <w:r>
              <w:t>No report</w:t>
            </w:r>
            <w:r w:rsidR="007C245C">
              <w:t>.</w:t>
            </w:r>
          </w:p>
        </w:tc>
      </w:tr>
      <w:tr w:rsidR="00DA352E" w:rsidRPr="00DA352E" w14:paraId="7FD8D6B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827F46E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901F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B901F4">
                  <w:t>NA</w:t>
                </w:r>
                <w:proofErr w:type="spellEnd"/>
              </w:sdtContent>
            </w:sdt>
          </w:p>
        </w:tc>
      </w:tr>
      <w:tr w:rsidR="00DA352E" w:rsidRPr="00DA352E" w14:paraId="2FD6732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CB2BBAB" w14:textId="77777777" w:rsidR="00DA352E" w:rsidRPr="00DA352E" w:rsidRDefault="00B901F4" w:rsidP="003365A5">
            <w:pPr>
              <w:pStyle w:val="Tabletextprimarysource"/>
            </w:pPr>
            <w:r>
              <w:t>No report</w:t>
            </w:r>
            <w:r w:rsidR="007C245C">
              <w:t>.</w:t>
            </w:r>
          </w:p>
        </w:tc>
      </w:tr>
      <w:tr w:rsidR="00DA352E" w:rsidRPr="00DA352E" w14:paraId="639CD52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10C6573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B901F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B901F4">
                  <w:t>NA</w:t>
                </w:r>
                <w:proofErr w:type="spellEnd"/>
              </w:sdtContent>
            </w:sdt>
          </w:p>
        </w:tc>
      </w:tr>
      <w:tr w:rsidR="00DA352E" w:rsidRPr="00DA352E" w14:paraId="21CD63B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2AA13FC" w14:textId="77777777" w:rsidR="00DA352E" w:rsidRPr="00DA352E" w:rsidRDefault="00B901F4" w:rsidP="003365A5">
            <w:pPr>
              <w:pStyle w:val="Tabletextprimarysource"/>
            </w:pPr>
            <w:r>
              <w:t>No report</w:t>
            </w:r>
            <w:r w:rsidR="007C245C">
              <w:t>.</w:t>
            </w:r>
          </w:p>
        </w:tc>
      </w:tr>
    </w:tbl>
    <w:p w14:paraId="5F775405" w14:textId="77777777" w:rsidR="00A20751" w:rsidRPr="004C23F4" w:rsidRDefault="00A20751" w:rsidP="003365A5">
      <w:pPr>
        <w:pStyle w:val="Heading3"/>
      </w:pPr>
      <w:bookmarkStart w:id="1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3"/>
        <w:gridCol w:w="661"/>
        <w:gridCol w:w="6445"/>
      </w:tblGrid>
      <w:tr w:rsidR="004966BF" w:rsidRPr="00263255" w14:paraId="008D2293" w14:textId="77777777" w:rsidTr="00957071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7FDF3D46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23E9121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25526BA4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5" w:type="dxa"/>
            <w:shd w:val="clear" w:color="auto" w:fill="BFBFBF" w:themeFill="background1" w:themeFillShade="BF"/>
            <w:vAlign w:val="center"/>
          </w:tcPr>
          <w:p w14:paraId="65F84572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7E1F4B48" w14:textId="77777777" w:rsidTr="00957071">
        <w:trPr>
          <w:cantSplit/>
        </w:trPr>
        <w:tc>
          <w:tcPr>
            <w:tcW w:w="1497" w:type="dxa"/>
          </w:tcPr>
          <w:p w14:paraId="4174140E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1D322ED6" w14:textId="77777777" w:rsidR="004966BF" w:rsidRPr="00CE617F" w:rsidRDefault="0037511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5674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93B8D34" w14:textId="77777777" w:rsidR="004966BF" w:rsidRPr="004C23F4" w:rsidRDefault="0035674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45" w:type="dxa"/>
          </w:tcPr>
          <w:p w14:paraId="6CA4C5FA" w14:textId="77777777" w:rsidR="004966BF" w:rsidRDefault="0035674A" w:rsidP="006A4DB1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="007C245C">
              <w:rPr>
                <w:rStyle w:val="checkbox"/>
                <w:rFonts w:ascii="Arial" w:hAnsi="Arial" w:cs="Arial"/>
              </w:rPr>
              <w:t>:</w:t>
            </w:r>
            <w:r>
              <w:rPr>
                <w:rStyle w:val="checkbox"/>
                <w:rFonts w:ascii="Arial" w:hAnsi="Arial" w:cs="Arial"/>
                <w:vertAlign w:val="subscript"/>
              </w:rPr>
              <w:t xml:space="preserve"> </w:t>
            </w:r>
            <w:r w:rsidR="007C245C">
              <w:rPr>
                <w:rStyle w:val="checkbox"/>
                <w:rFonts w:ascii="Arial" w:hAnsi="Arial" w:cs="Arial"/>
              </w:rPr>
              <w:t>1,000 mg/kg (</w:t>
            </w:r>
            <w:r>
              <w:rPr>
                <w:rStyle w:val="checkbox"/>
                <w:rFonts w:ascii="Arial" w:hAnsi="Arial" w:cs="Arial"/>
              </w:rPr>
              <w:t>guinea pigs</w:t>
            </w:r>
            <w:r w:rsidR="007C245C">
              <w:rPr>
                <w:rStyle w:val="checkbox"/>
                <w:rFonts w:ascii="Arial" w:hAnsi="Arial" w:cs="Arial"/>
              </w:rPr>
              <w:t>, dermal)</w:t>
            </w:r>
          </w:p>
          <w:p w14:paraId="084BE99B" w14:textId="77777777" w:rsidR="0035674A" w:rsidRDefault="0035674A" w:rsidP="006A4DB1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</w:t>
            </w:r>
            <w:r w:rsidRPr="0035674A">
              <w:rPr>
                <w:rStyle w:val="checkbox"/>
                <w:rFonts w:ascii="Arial" w:hAnsi="Arial" w:cs="Arial"/>
              </w:rPr>
              <w:t>ot sensitising to the skin of guinea pigs</w:t>
            </w:r>
          </w:p>
          <w:p w14:paraId="634D946E" w14:textId="4F8E9184" w:rsidR="0035674A" w:rsidRDefault="0035674A" w:rsidP="006A4DB1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LOAEC for local irritation 25 ppm in rats; same study ACGIH</w:t>
            </w:r>
            <w:r w:rsidR="003C2DE7">
              <w:rPr>
                <w:rStyle w:val="checkbox"/>
                <w:rFonts w:ascii="Arial" w:hAnsi="Arial" w:cs="Arial"/>
              </w:rPr>
              <w:t> </w:t>
            </w:r>
            <w:r>
              <w:rPr>
                <w:rStyle w:val="checkbox"/>
                <w:rFonts w:ascii="Arial" w:hAnsi="Arial" w:cs="Arial"/>
              </w:rPr>
              <w:t>(2018)</w:t>
            </w:r>
          </w:p>
          <w:p w14:paraId="324437D9" w14:textId="77777777" w:rsidR="0035674A" w:rsidRPr="004C23F4" w:rsidRDefault="00957071" w:rsidP="006A4DB1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NOAEC for systemic toxicity 76 ppm in rats; same 14 wk inhalation study ACGIH (2018)</w:t>
            </w:r>
            <w:r w:rsidR="00F00684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119805FD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446C050E" w14:textId="77777777" w:rsidTr="00957071">
        <w:trPr>
          <w:trHeight w:val="454"/>
          <w:tblHeader/>
        </w:trPr>
        <w:tc>
          <w:tcPr>
            <w:tcW w:w="6603" w:type="dxa"/>
            <w:vAlign w:val="center"/>
          </w:tcPr>
          <w:p w14:paraId="102A8611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4A65F4C5" w14:textId="77777777" w:rsidR="002E0D61" w:rsidRDefault="00957071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0639712C" w14:textId="77777777" w:rsidTr="00957071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7F0ABB9B" w14:textId="77777777" w:rsidR="008A36CF" w:rsidRPr="006901A2" w:rsidRDefault="00957071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59CC1B20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64B75097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21D3409E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79BA61E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940B100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B65BB8C" w14:textId="77777777" w:rsidTr="00812887">
        <w:trPr>
          <w:cantSplit/>
        </w:trPr>
        <w:tc>
          <w:tcPr>
            <w:tcW w:w="3227" w:type="dxa"/>
          </w:tcPr>
          <w:p w14:paraId="4062AB4A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4521113" w14:textId="77777777" w:rsidR="00687890" w:rsidRPr="00DD2F9B" w:rsidRDefault="003E7DC6" w:rsidP="00DD2F9B">
            <w:pPr>
              <w:pStyle w:val="Tablefont"/>
            </w:pPr>
            <w:r>
              <w:t>Skin</w:t>
            </w:r>
          </w:p>
        </w:tc>
      </w:tr>
      <w:tr w:rsidR="007925F0" w:rsidRPr="004C23F4" w14:paraId="6E98983E" w14:textId="77777777" w:rsidTr="00812887">
        <w:trPr>
          <w:cantSplit/>
        </w:trPr>
        <w:tc>
          <w:tcPr>
            <w:tcW w:w="3227" w:type="dxa"/>
          </w:tcPr>
          <w:p w14:paraId="08D8EC2A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04E8B5F1" w14:textId="77777777" w:rsidR="007925F0" w:rsidRPr="00DD2F9B" w:rsidRDefault="00B901F4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72C36E82" w14:textId="77777777" w:rsidTr="00812887">
        <w:trPr>
          <w:cantSplit/>
        </w:trPr>
        <w:tc>
          <w:tcPr>
            <w:tcW w:w="3227" w:type="dxa"/>
          </w:tcPr>
          <w:p w14:paraId="6F157D7A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67BB45F" w14:textId="77777777" w:rsidR="00AF483F" w:rsidRPr="00DD2F9B" w:rsidRDefault="00B901F4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52A96F52" w14:textId="77777777" w:rsidTr="00812887">
        <w:trPr>
          <w:cantSplit/>
        </w:trPr>
        <w:tc>
          <w:tcPr>
            <w:tcW w:w="3227" w:type="dxa"/>
          </w:tcPr>
          <w:p w14:paraId="4E7374CD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E54B4D0" w14:textId="77777777" w:rsidR="00687890" w:rsidRPr="00DD2F9B" w:rsidRDefault="00B901F4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064682A2" w14:textId="77777777" w:rsidTr="00812887">
        <w:trPr>
          <w:cantSplit/>
        </w:trPr>
        <w:tc>
          <w:tcPr>
            <w:tcW w:w="3227" w:type="dxa"/>
          </w:tcPr>
          <w:p w14:paraId="49207BDF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E3D071B" w14:textId="77777777" w:rsidR="00E41A26" w:rsidRPr="00DD2F9B" w:rsidRDefault="00B901F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432B966" w14:textId="77777777" w:rsidTr="00812887">
        <w:trPr>
          <w:cantSplit/>
        </w:trPr>
        <w:tc>
          <w:tcPr>
            <w:tcW w:w="3227" w:type="dxa"/>
          </w:tcPr>
          <w:p w14:paraId="5A0E4303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02DB2D6" w14:textId="77777777" w:rsidR="002E0D61" w:rsidRPr="00DD2F9B" w:rsidRDefault="0005230B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6C99BA52" w14:textId="77777777" w:rsidTr="00812887">
        <w:trPr>
          <w:cantSplit/>
        </w:trPr>
        <w:tc>
          <w:tcPr>
            <w:tcW w:w="3227" w:type="dxa"/>
          </w:tcPr>
          <w:p w14:paraId="48FF490F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04A29779" w14:textId="77777777" w:rsidR="002E0D61" w:rsidRPr="00DD2F9B" w:rsidRDefault="00D44A5E" w:rsidP="00DD2F9B">
            <w:pPr>
              <w:pStyle w:val="Tablefont"/>
            </w:pPr>
            <w:r>
              <w:t>H (skin)</w:t>
            </w:r>
          </w:p>
        </w:tc>
      </w:tr>
      <w:tr w:rsidR="002E0D61" w:rsidRPr="004C23F4" w14:paraId="59E08046" w14:textId="77777777" w:rsidTr="00812887">
        <w:trPr>
          <w:cantSplit/>
        </w:trPr>
        <w:tc>
          <w:tcPr>
            <w:tcW w:w="3227" w:type="dxa"/>
          </w:tcPr>
          <w:p w14:paraId="608DD2EC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BE1A0BE" w14:textId="77777777" w:rsidR="002E0D61" w:rsidRPr="00DD2F9B" w:rsidRDefault="00B901F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7CF3636" w14:textId="77777777" w:rsidTr="00812887">
        <w:trPr>
          <w:cantSplit/>
        </w:trPr>
        <w:tc>
          <w:tcPr>
            <w:tcW w:w="3227" w:type="dxa"/>
          </w:tcPr>
          <w:p w14:paraId="14A5E2D0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AFAEFD3" w14:textId="77777777" w:rsidR="002E0D61" w:rsidRPr="00DD2F9B" w:rsidRDefault="000847A3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8652B8D" w14:textId="77777777" w:rsidTr="00812887">
        <w:trPr>
          <w:cantSplit/>
        </w:trPr>
        <w:tc>
          <w:tcPr>
            <w:tcW w:w="3227" w:type="dxa"/>
          </w:tcPr>
          <w:p w14:paraId="735F972C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35375FDB" w14:textId="77777777" w:rsidR="00386093" w:rsidRPr="00DD2F9B" w:rsidRDefault="000847A3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524EBE3" w14:textId="77777777" w:rsidTr="00812887">
        <w:trPr>
          <w:cantSplit/>
        </w:trPr>
        <w:tc>
          <w:tcPr>
            <w:tcW w:w="3227" w:type="dxa"/>
          </w:tcPr>
          <w:p w14:paraId="4C4495A4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E2D911C" w14:textId="77777777" w:rsidR="00386093" w:rsidRPr="00DD2F9B" w:rsidRDefault="000847A3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647A4219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4146A2BB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4ED36B1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DDDBE1E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61F6980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022" w:type="dxa"/>
              <w:tblLook w:val="04A0" w:firstRow="1" w:lastRow="0" w:firstColumn="1" w:lastColumn="0" w:noHBand="0" w:noVBand="1"/>
            </w:tblPr>
            <w:tblGrid>
              <w:gridCol w:w="3582"/>
              <w:gridCol w:w="1059"/>
              <w:gridCol w:w="1059"/>
              <w:gridCol w:w="3110"/>
            </w:tblGrid>
            <w:tr w:rsidR="00957071" w:rsidRPr="00957071" w14:paraId="1BFC958B" w14:textId="77777777" w:rsidTr="00957071">
              <w:trPr>
                <w:trHeight w:val="286"/>
              </w:trPr>
              <w:tc>
                <w:tcPr>
                  <w:tcW w:w="3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C094FF" w14:textId="77777777" w:rsidR="00957071" w:rsidRPr="00957071" w:rsidRDefault="00957071" w:rsidP="0095707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20B83A" w14:textId="77777777" w:rsidR="00957071" w:rsidRPr="00957071" w:rsidRDefault="00957071" w:rsidP="0095707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486EC0" w14:textId="77777777" w:rsidR="00957071" w:rsidRPr="00957071" w:rsidRDefault="00957071" w:rsidP="0095707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CD81E2" w14:textId="77777777" w:rsidR="00957071" w:rsidRPr="00957071" w:rsidRDefault="00957071" w:rsidP="0095707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57071" w:rsidRPr="00957071" w14:paraId="7392EB5E" w14:textId="77777777" w:rsidTr="00957071">
              <w:trPr>
                <w:trHeight w:val="286"/>
              </w:trPr>
              <w:tc>
                <w:tcPr>
                  <w:tcW w:w="3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01B230" w14:textId="77777777" w:rsidR="00957071" w:rsidRPr="00957071" w:rsidRDefault="00957071" w:rsidP="0095707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101DBA3A" w14:textId="77777777" w:rsidR="00957071" w:rsidRPr="00957071" w:rsidRDefault="00957071" w:rsidP="0095707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7DEDED" w14:textId="77777777" w:rsidR="00957071" w:rsidRPr="00957071" w:rsidRDefault="00957071" w:rsidP="0095707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1D9966" w14:textId="77777777" w:rsidR="00957071" w:rsidRPr="00957071" w:rsidRDefault="00957071" w:rsidP="0095707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57071" w:rsidRPr="00957071" w14:paraId="18DDF724" w14:textId="77777777" w:rsidTr="00957071">
              <w:trPr>
                <w:trHeight w:val="286"/>
              </w:trPr>
              <w:tc>
                <w:tcPr>
                  <w:tcW w:w="3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5C652A" w14:textId="77777777" w:rsidR="00957071" w:rsidRPr="00957071" w:rsidRDefault="00957071" w:rsidP="0095707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A1EB61" w14:textId="77777777" w:rsidR="00957071" w:rsidRPr="00957071" w:rsidRDefault="00957071" w:rsidP="0095707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CFAA07" w14:textId="77777777" w:rsidR="00957071" w:rsidRPr="00957071" w:rsidRDefault="00957071" w:rsidP="0095707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BA9474" w14:textId="77777777" w:rsidR="00957071" w:rsidRPr="00957071" w:rsidRDefault="00957071" w:rsidP="0095707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57071" w:rsidRPr="00957071" w14:paraId="43556D7E" w14:textId="77777777" w:rsidTr="00957071">
              <w:trPr>
                <w:trHeight w:val="286"/>
              </w:trPr>
              <w:tc>
                <w:tcPr>
                  <w:tcW w:w="3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5EE11E" w14:textId="77777777" w:rsidR="00957071" w:rsidRPr="00957071" w:rsidRDefault="00957071" w:rsidP="0095707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EF08D9" w14:textId="77777777" w:rsidR="00957071" w:rsidRPr="00957071" w:rsidRDefault="00957071" w:rsidP="0095707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335B93" w14:textId="77777777" w:rsidR="00957071" w:rsidRPr="00957071" w:rsidRDefault="00957071" w:rsidP="0095707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4D0213" w14:textId="77777777" w:rsidR="00957071" w:rsidRPr="00957071" w:rsidRDefault="00957071" w:rsidP="0095707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57071" w:rsidRPr="00957071" w14:paraId="6A7585B5" w14:textId="77777777" w:rsidTr="00957071">
              <w:trPr>
                <w:trHeight w:val="286"/>
              </w:trPr>
              <w:tc>
                <w:tcPr>
                  <w:tcW w:w="3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564567" w14:textId="77777777" w:rsidR="00957071" w:rsidRPr="00957071" w:rsidRDefault="00957071" w:rsidP="0095707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B156F5" w14:textId="77777777" w:rsidR="00957071" w:rsidRPr="00957071" w:rsidRDefault="00957071" w:rsidP="0095707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61ED58" w14:textId="77777777" w:rsidR="00957071" w:rsidRPr="00957071" w:rsidRDefault="00957071" w:rsidP="0095707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DAF1A9" w14:textId="77777777" w:rsidR="00957071" w:rsidRPr="00957071" w:rsidRDefault="00957071" w:rsidP="0095707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57071" w:rsidRPr="00957071" w14:paraId="6A7C2828" w14:textId="77777777" w:rsidTr="00957071">
              <w:trPr>
                <w:trHeight w:val="286"/>
              </w:trPr>
              <w:tc>
                <w:tcPr>
                  <w:tcW w:w="3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975C21" w14:textId="77777777" w:rsidR="00957071" w:rsidRPr="00957071" w:rsidRDefault="00957071" w:rsidP="0095707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B62817" w14:textId="77777777" w:rsidR="00957071" w:rsidRPr="00957071" w:rsidRDefault="00957071" w:rsidP="0095707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2CECD9" w14:textId="77777777" w:rsidR="00957071" w:rsidRPr="00957071" w:rsidRDefault="00957071" w:rsidP="0095707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87094A" w14:textId="77777777" w:rsidR="00957071" w:rsidRPr="00957071" w:rsidRDefault="00957071" w:rsidP="0095707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57071" w:rsidRPr="00957071" w14:paraId="763E3F35" w14:textId="77777777" w:rsidTr="00957071">
              <w:trPr>
                <w:trHeight w:val="286"/>
              </w:trPr>
              <w:tc>
                <w:tcPr>
                  <w:tcW w:w="3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1D834A" w14:textId="77777777" w:rsidR="00957071" w:rsidRPr="00957071" w:rsidRDefault="00957071" w:rsidP="0095707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4271EB" w14:textId="77777777" w:rsidR="00957071" w:rsidRPr="00957071" w:rsidRDefault="00957071" w:rsidP="0095707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191B84" w14:textId="77777777" w:rsidR="00957071" w:rsidRPr="00957071" w:rsidRDefault="00957071" w:rsidP="0095707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4153F2" w14:textId="77777777" w:rsidR="00957071" w:rsidRPr="00957071" w:rsidRDefault="00957071" w:rsidP="00957071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957071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4D0BBB5B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0E1F2C5E" w14:textId="77777777" w:rsidR="00EB3D1B" w:rsidRDefault="00EB3D1B" w:rsidP="00EB3D1B">
      <w:pPr>
        <w:pStyle w:val="Heading3"/>
      </w:pPr>
      <w:r>
        <w:lastRenderedPageBreak/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400A03AA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CF5D5F5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E1E009A" w14:textId="77777777" w:rsidR="00EB3D1B" w:rsidRDefault="000847A3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5B3B63ED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6C30F68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0756CC4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3DA63BD" w14:textId="77777777" w:rsidR="001B79E5" w:rsidRDefault="0005230B" w:rsidP="001B79E5">
                <w:pPr>
                  <w:pStyle w:val="Tablefont"/>
                </w:pPr>
                <w:r>
                  <w:t>117.19</w:t>
                </w:r>
              </w:p>
            </w:tc>
          </w:sdtContent>
        </w:sdt>
      </w:tr>
      <w:tr w:rsidR="00A31D99" w:rsidRPr="004C23F4" w14:paraId="5E88B32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D6F04C5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716BE21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F96D1D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D4ED895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4D7A30C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0A8C6C6" w14:textId="77777777" w:rsidTr="00EA6243">
        <w:trPr>
          <w:cantSplit/>
        </w:trPr>
        <w:tc>
          <w:tcPr>
            <w:tcW w:w="4077" w:type="dxa"/>
            <w:vAlign w:val="center"/>
          </w:tcPr>
          <w:p w14:paraId="47FBD2DB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2D5018A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074FABF" w14:textId="77777777" w:rsidTr="00EA6243">
        <w:trPr>
          <w:cantSplit/>
        </w:trPr>
        <w:tc>
          <w:tcPr>
            <w:tcW w:w="4077" w:type="dxa"/>
            <w:vAlign w:val="center"/>
          </w:tcPr>
          <w:p w14:paraId="45DE8A3F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56A7772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60E3651" w14:textId="77777777" w:rsidTr="00EA6243">
        <w:trPr>
          <w:cantSplit/>
        </w:trPr>
        <w:tc>
          <w:tcPr>
            <w:tcW w:w="4077" w:type="dxa"/>
            <w:vAlign w:val="center"/>
          </w:tcPr>
          <w:p w14:paraId="02C4634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321783B" w14:textId="77777777" w:rsidR="00E06F40" w:rsidRPr="00A006A0" w:rsidRDefault="0037511D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A46ABD4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04C8A0BE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43A94CC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766B1319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463BDEA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FCB59D7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57424527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1797E32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4CEB02E1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EDA4CD9" w14:textId="77777777" w:rsidR="000847A3" w:rsidRDefault="000847A3" w:rsidP="000847A3">
      <w:r w:rsidRPr="002022B6">
        <w:t>Deutsche Forschungsgemeinschaft (DFG)</w:t>
      </w:r>
      <w:r>
        <w:t xml:space="preserve"> (2007) 2-Diethylaminoethanol – MAK value documentation.</w:t>
      </w:r>
    </w:p>
    <w:p w14:paraId="47C31C3D" w14:textId="77777777" w:rsidR="0048001C" w:rsidRPr="0048001C" w:rsidRDefault="0048001C" w:rsidP="000847A3">
      <w:r w:rsidRPr="00DB0A36">
        <w:t xml:space="preserve">National Industrial Chemicals Notification and </w:t>
      </w:r>
      <w:r>
        <w:t>Assessment Scheme (NICNAS) (2014</w:t>
      </w:r>
      <w:r w:rsidRPr="00DB0A36">
        <w:t>):</w:t>
      </w:r>
      <w:r>
        <w:t xml:space="preserve"> </w:t>
      </w:r>
      <w:r w:rsidRPr="0048001C">
        <w:t>Ethanol, 2-(</w:t>
      </w:r>
      <w:proofErr w:type="spellStart"/>
      <w:r w:rsidRPr="0048001C">
        <w:t>diethylamino</w:t>
      </w:r>
      <w:proofErr w:type="spellEnd"/>
      <w:r w:rsidRPr="0048001C">
        <w:t>)</w:t>
      </w:r>
      <w:r>
        <w:t xml:space="preserve"> </w:t>
      </w:r>
      <w:r w:rsidRPr="00DB0A36">
        <w:t xml:space="preserve">Human </w:t>
      </w:r>
      <w:r w:rsidRPr="004633BA">
        <w:t xml:space="preserve">health </w:t>
      </w:r>
      <w:sdt>
        <w:sdtPr>
          <w:id w:val="-1295753243"/>
          <w:temporary/>
          <w:showingPlcHdr/>
        </w:sdtPr>
        <w:sdtEndPr/>
        <w:sdtContent>
          <w:r w:rsidRPr="005F4305">
            <w:t>tier II</w:t>
          </w:r>
        </w:sdtContent>
      </w:sdt>
      <w:r w:rsidRPr="004633BA">
        <w:t xml:space="preserve"> assessment </w:t>
      </w:r>
      <w:r w:rsidRPr="00DB0A36">
        <w:t>– IMAP report.</w:t>
      </w:r>
    </w:p>
    <w:p w14:paraId="231F304C" w14:textId="77777777" w:rsidR="000847A3" w:rsidRDefault="000847A3" w:rsidP="000847A3">
      <w:pPr>
        <w:rPr>
          <w:b/>
        </w:rPr>
      </w:pPr>
      <w:r w:rsidRPr="0048001C">
        <w:t>US National Institute for Occupational Safety and Health (NIOSH) (</w:t>
      </w:r>
      <w:sdt>
        <w:sdtPr>
          <w:id w:val="-1194999823"/>
          <w:placeholder>
            <w:docPart w:val="81B8590A2FA14B9A90CFE042D13F1343"/>
          </w:placeholder>
          <w:temporary/>
          <w:showingPlcHdr/>
        </w:sdtPr>
        <w:sdtEndPr/>
        <w:sdtContent>
          <w:r w:rsidRPr="0048001C">
            <w:t>1994</w:t>
          </w:r>
        </w:sdtContent>
      </w:sdt>
      <w:r w:rsidRPr="0048001C">
        <w:t xml:space="preserve">) </w:t>
      </w:r>
      <w:proofErr w:type="gramStart"/>
      <w:r w:rsidRPr="0048001C">
        <w:t>Immediately</w:t>
      </w:r>
      <w:proofErr w:type="gramEnd"/>
      <w:r w:rsidRPr="0048001C">
        <w:t xml:space="preserve"> </w:t>
      </w:r>
      <w:r>
        <w:t>dangerous to life or health concentrations – 2-diethylaminoethanol.</w:t>
      </w:r>
    </w:p>
    <w:p w14:paraId="7E8C88CE" w14:textId="77777777" w:rsidR="000847A3" w:rsidRPr="00351FE0" w:rsidRDefault="000847A3" w:rsidP="00084859"/>
    <w:sectPr w:rsidR="000847A3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09A7B" w14:textId="77777777" w:rsidR="005A18DB" w:rsidRDefault="005A18DB" w:rsidP="00F43AD5">
      <w:pPr>
        <w:spacing w:after="0" w:line="240" w:lineRule="auto"/>
      </w:pPr>
      <w:r>
        <w:separator/>
      </w:r>
    </w:p>
  </w:endnote>
  <w:endnote w:type="continuationSeparator" w:id="0">
    <w:p w14:paraId="65C2B1D4" w14:textId="77777777" w:rsidR="005A18DB" w:rsidRDefault="005A18DB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3776266" w14:textId="77777777" w:rsidR="008A36CF" w:rsidRDefault="009B3414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2-Diethylaminoethanol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100-37-8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16068CDE" w14:textId="65DE47A0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37511D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6B561" w14:textId="77777777" w:rsidR="005A18DB" w:rsidRDefault="005A18DB" w:rsidP="00F43AD5">
      <w:pPr>
        <w:spacing w:after="0" w:line="240" w:lineRule="auto"/>
      </w:pPr>
      <w:r>
        <w:separator/>
      </w:r>
    </w:p>
  </w:footnote>
  <w:footnote w:type="continuationSeparator" w:id="0">
    <w:p w14:paraId="0D661CDE" w14:textId="77777777" w:rsidR="005A18DB" w:rsidRDefault="005A18DB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F0D1C" w14:textId="77777777" w:rsidR="00F33B97" w:rsidRPr="005B314A" w:rsidRDefault="0037511D" w:rsidP="00F33B97">
    <w:pPr>
      <w:pStyle w:val="Header"/>
      <w:jc w:val="right"/>
    </w:pPr>
    <w:r>
      <w:pict w14:anchorId="5388FA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F33B97">
      <w:rPr>
        <w:noProof/>
        <w:lang w:eastAsia="en-AU"/>
      </w:rPr>
      <w:drawing>
        <wp:inline distT="0" distB="0" distL="0" distR="0" wp14:anchorId="15D6D353" wp14:editId="6D75DD0F">
          <wp:extent cx="2952750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6BE5DF" w14:textId="76631E29" w:rsidR="008A36CF" w:rsidRPr="00F33B97" w:rsidRDefault="008A36CF" w:rsidP="00F33B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13792" w14:textId="77777777" w:rsidR="00F33B97" w:rsidRPr="005B314A" w:rsidRDefault="0037511D" w:rsidP="00F33B97">
    <w:pPr>
      <w:pStyle w:val="Header"/>
      <w:jc w:val="right"/>
    </w:pPr>
    <w:r>
      <w:pict w14:anchorId="790BF3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F33B97">
      <w:rPr>
        <w:noProof/>
        <w:lang w:eastAsia="en-AU"/>
      </w:rPr>
      <w:drawing>
        <wp:inline distT="0" distB="0" distL="0" distR="0" wp14:anchorId="2A3DC637" wp14:editId="1EE9EE38">
          <wp:extent cx="2952750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1FC9C2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52FA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2671D65"/>
    <w:multiLevelType w:val="hybridMultilevel"/>
    <w:tmpl w:val="A6DE3ED4"/>
    <w:lvl w:ilvl="0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5B29"/>
    <w:rsid w:val="00046DF5"/>
    <w:rsid w:val="00052060"/>
    <w:rsid w:val="0005230B"/>
    <w:rsid w:val="0005574A"/>
    <w:rsid w:val="00055FE1"/>
    <w:rsid w:val="00056EC2"/>
    <w:rsid w:val="00057EDE"/>
    <w:rsid w:val="00060B48"/>
    <w:rsid w:val="00067F32"/>
    <w:rsid w:val="00071807"/>
    <w:rsid w:val="000803E1"/>
    <w:rsid w:val="00084513"/>
    <w:rsid w:val="000847A3"/>
    <w:rsid w:val="00084859"/>
    <w:rsid w:val="00092D94"/>
    <w:rsid w:val="000A616A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07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4A"/>
    <w:rsid w:val="003567A8"/>
    <w:rsid w:val="00362895"/>
    <w:rsid w:val="00370DBF"/>
    <w:rsid w:val="0037511D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2DE7"/>
    <w:rsid w:val="003D4FA3"/>
    <w:rsid w:val="003E0807"/>
    <w:rsid w:val="003E51FB"/>
    <w:rsid w:val="003E6B39"/>
    <w:rsid w:val="003E7DC6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56B72"/>
    <w:rsid w:val="00460A03"/>
    <w:rsid w:val="00463582"/>
    <w:rsid w:val="00472A11"/>
    <w:rsid w:val="00472AAD"/>
    <w:rsid w:val="00474E33"/>
    <w:rsid w:val="00476803"/>
    <w:rsid w:val="00476B8D"/>
    <w:rsid w:val="0048001C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8DB"/>
    <w:rsid w:val="005A19C5"/>
    <w:rsid w:val="005A3034"/>
    <w:rsid w:val="005A462D"/>
    <w:rsid w:val="005B253B"/>
    <w:rsid w:val="005B771D"/>
    <w:rsid w:val="005B7FC7"/>
    <w:rsid w:val="005C5D16"/>
    <w:rsid w:val="005D0BC3"/>
    <w:rsid w:val="005D3193"/>
    <w:rsid w:val="005D4A6E"/>
    <w:rsid w:val="005E6979"/>
    <w:rsid w:val="005E75CB"/>
    <w:rsid w:val="00600E61"/>
    <w:rsid w:val="006013C1"/>
    <w:rsid w:val="0060669E"/>
    <w:rsid w:val="00610F2E"/>
    <w:rsid w:val="00611399"/>
    <w:rsid w:val="00624C4E"/>
    <w:rsid w:val="00624F58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3E93"/>
    <w:rsid w:val="00677D9B"/>
    <w:rsid w:val="006867F3"/>
    <w:rsid w:val="00687890"/>
    <w:rsid w:val="006901A2"/>
    <w:rsid w:val="00690368"/>
    <w:rsid w:val="0069079C"/>
    <w:rsid w:val="00690B53"/>
    <w:rsid w:val="00695B72"/>
    <w:rsid w:val="006A4DB1"/>
    <w:rsid w:val="006B160A"/>
    <w:rsid w:val="006B4E6C"/>
    <w:rsid w:val="006B50B6"/>
    <w:rsid w:val="006C5740"/>
    <w:rsid w:val="006D79EA"/>
    <w:rsid w:val="006E5D05"/>
    <w:rsid w:val="00701053"/>
    <w:rsid w:val="00701507"/>
    <w:rsid w:val="00702C34"/>
    <w:rsid w:val="00702EBC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245C"/>
    <w:rsid w:val="007C30EB"/>
    <w:rsid w:val="007E063C"/>
    <w:rsid w:val="007E2112"/>
    <w:rsid w:val="007E2A4B"/>
    <w:rsid w:val="007E307D"/>
    <w:rsid w:val="007E6A4E"/>
    <w:rsid w:val="007E6C94"/>
    <w:rsid w:val="007F1005"/>
    <w:rsid w:val="007F25E0"/>
    <w:rsid w:val="007F4522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4F0C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4D3D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071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A5BD2"/>
    <w:rsid w:val="009B2FF2"/>
    <w:rsid w:val="009B3414"/>
    <w:rsid w:val="009B380C"/>
    <w:rsid w:val="009B4843"/>
    <w:rsid w:val="009B64FA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A752F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1401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01F4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66B6"/>
    <w:rsid w:val="00C850A0"/>
    <w:rsid w:val="00C85A86"/>
    <w:rsid w:val="00C85E2E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A5E"/>
    <w:rsid w:val="00D44C89"/>
    <w:rsid w:val="00D44D37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12A7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5417"/>
    <w:rsid w:val="00E67C2F"/>
    <w:rsid w:val="00E67EF5"/>
    <w:rsid w:val="00E74811"/>
    <w:rsid w:val="00E804EA"/>
    <w:rsid w:val="00E80A71"/>
    <w:rsid w:val="00E82337"/>
    <w:rsid w:val="00E90AEB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0684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27DD6"/>
    <w:rsid w:val="00F33B97"/>
    <w:rsid w:val="00F43AD5"/>
    <w:rsid w:val="00F4402E"/>
    <w:rsid w:val="00F569CB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5A2B"/>
    <w:rsid w:val="00FC60A2"/>
    <w:rsid w:val="00FC7174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22D59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0847A3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874F0C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7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DD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DD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DD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81B8590A2FA14B9A90CFE042D13F1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208D-6D22-459D-88C1-FE2D0C0499F5}"/>
      </w:docPartPr>
      <w:docPartBody>
        <w:p w:rsidR="001C3123" w:rsidRDefault="00FC3ADF" w:rsidP="00FC3ADF">
          <w:pPr>
            <w:pStyle w:val="81B8590A2FA14B9A90CFE042D13F1343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111DF8C8B5454F389BAF4647E758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947A-E3FB-4F13-AA2A-989E5FA32F62}"/>
      </w:docPartPr>
      <w:docPartBody>
        <w:p w:rsidR="00C83FEC" w:rsidRDefault="00813A87" w:rsidP="00813A87">
          <w:pPr>
            <w:pStyle w:val="111DF8C8B5454F389BAF4647E7584073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A78CB"/>
    <w:rsid w:val="001C3123"/>
    <w:rsid w:val="002B4C3D"/>
    <w:rsid w:val="00813A87"/>
    <w:rsid w:val="00C83FEC"/>
    <w:rsid w:val="00D21A9F"/>
    <w:rsid w:val="00FC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3A87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1721BA775660432492934E21D1440739">
    <w:name w:val="1721BA775660432492934E21D1440739"/>
    <w:rsid w:val="00FC3ADF"/>
    <w:rPr>
      <w:lang w:val="en-US" w:eastAsia="en-US"/>
    </w:rPr>
  </w:style>
  <w:style w:type="paragraph" w:customStyle="1" w:styleId="A1864D42B95F4019B2900F1DDC3C2B89">
    <w:name w:val="A1864D42B95F4019B2900F1DDC3C2B89"/>
    <w:rsid w:val="00FC3ADF"/>
    <w:rPr>
      <w:lang w:val="en-US" w:eastAsia="en-US"/>
    </w:rPr>
  </w:style>
  <w:style w:type="paragraph" w:customStyle="1" w:styleId="6F4DB46A01C34803936195575A8CAF33">
    <w:name w:val="6F4DB46A01C34803936195575A8CAF33"/>
    <w:rsid w:val="00FC3ADF"/>
    <w:rPr>
      <w:lang w:val="en-US" w:eastAsia="en-US"/>
    </w:rPr>
  </w:style>
  <w:style w:type="paragraph" w:customStyle="1" w:styleId="FB9DF64679804A1AB2BF8BBB29778313">
    <w:name w:val="FB9DF64679804A1AB2BF8BBB29778313"/>
    <w:rsid w:val="00FC3ADF"/>
    <w:rPr>
      <w:lang w:val="en-US" w:eastAsia="en-US"/>
    </w:rPr>
  </w:style>
  <w:style w:type="paragraph" w:customStyle="1" w:styleId="0F8DE48BE5FA4180AF1D60739BB97BB7">
    <w:name w:val="0F8DE48BE5FA4180AF1D60739BB97BB7"/>
    <w:rsid w:val="00FC3ADF"/>
    <w:rPr>
      <w:lang w:val="en-US" w:eastAsia="en-US"/>
    </w:rPr>
  </w:style>
  <w:style w:type="paragraph" w:customStyle="1" w:styleId="84F5A4567BF24941BB60CCE54182F039">
    <w:name w:val="84F5A4567BF24941BB60CCE54182F039"/>
    <w:rsid w:val="00FC3ADF"/>
    <w:rPr>
      <w:lang w:val="en-US" w:eastAsia="en-US"/>
    </w:rPr>
  </w:style>
  <w:style w:type="paragraph" w:customStyle="1" w:styleId="81B8590A2FA14B9A90CFE042D13F1343">
    <w:name w:val="81B8590A2FA14B9A90CFE042D13F1343"/>
    <w:rsid w:val="00FC3ADF"/>
    <w:rPr>
      <w:lang w:val="en-US" w:eastAsia="en-US"/>
    </w:rPr>
  </w:style>
  <w:style w:type="paragraph" w:customStyle="1" w:styleId="4568EE0D9CD64A61BED89197502AE6E5">
    <w:name w:val="4568EE0D9CD64A61BED89197502AE6E5"/>
    <w:rsid w:val="00FC3ADF"/>
    <w:rPr>
      <w:lang w:val="en-US" w:eastAsia="en-US"/>
    </w:rPr>
  </w:style>
  <w:style w:type="paragraph" w:customStyle="1" w:styleId="111DF8C8B5454F389BAF4647E7584073">
    <w:name w:val="111DF8C8B5454F389BAF4647E7584073"/>
    <w:rsid w:val="00813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7FD94-7B1F-4CAC-B5E7-395700BEF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F0599-51F1-4DEA-B0B5-A83833AD6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2A325F-B425-496D-B48C-D90CC3BCFEA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3A1042D-1ADA-41B1-A5AC-DCC27192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DCF9AD16.dotm</Template>
  <TotalTime>0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2019-11-19T04:05:00Z</dcterms:created>
  <dcterms:modified xsi:type="dcterms:W3CDTF">2019-11-22T00:58:00Z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