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5474F05" w14:textId="01537F86" w:rsidR="00BD499F" w:rsidRPr="004C23F4" w:rsidRDefault="00E05F59" w:rsidP="00B40C60">
          <w:pPr>
            <w:pStyle w:val="Heading1"/>
            <w:jc w:val="center"/>
            <w:rPr>
              <w:rFonts w:ascii="Arial" w:hAnsi="Arial" w:cs="Arial"/>
            </w:rPr>
          </w:pPr>
          <w:r w:rsidRPr="00E05F59">
            <w:rPr>
              <w:rFonts w:ascii="Arial" w:hAnsi="Arial" w:cs="Arial"/>
            </w:rPr>
            <w:t>Disulfoton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8"/>
        <w:gridCol w:w="5048"/>
      </w:tblGrid>
      <w:tr w:rsidR="00F43AD5" w:rsidRPr="004C23F4" w14:paraId="2D4C7A57" w14:textId="77777777" w:rsidTr="00B76A41">
        <w:trPr>
          <w:cantSplit/>
          <w:tblHeader/>
        </w:trPr>
        <w:tc>
          <w:tcPr>
            <w:tcW w:w="4077" w:type="dxa"/>
          </w:tcPr>
          <w:p w14:paraId="3BAF435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DB82ABD" w14:textId="27E7D6D1" w:rsidR="00F43AD5" w:rsidRPr="00717D45" w:rsidRDefault="000D49BE" w:rsidP="00B76A41">
            <w:pPr>
              <w:pStyle w:val="Tablefont"/>
            </w:pPr>
            <w:r w:rsidRPr="000D49BE">
              <w:t>298-04-4</w:t>
            </w:r>
          </w:p>
        </w:tc>
      </w:tr>
      <w:tr w:rsidR="00F43AD5" w:rsidRPr="004C23F4" w14:paraId="0B98E424" w14:textId="77777777" w:rsidTr="00B76A41">
        <w:trPr>
          <w:cantSplit/>
        </w:trPr>
        <w:tc>
          <w:tcPr>
            <w:tcW w:w="4077" w:type="dxa"/>
          </w:tcPr>
          <w:p w14:paraId="69FE21B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5612A19" w14:textId="0D4C51E0" w:rsidR="00F43AD5" w:rsidRPr="00717D45" w:rsidRDefault="000D49BE" w:rsidP="00B76A41">
            <w:pPr>
              <w:pStyle w:val="Tablefont"/>
            </w:pPr>
            <w:proofErr w:type="spellStart"/>
            <w:r w:rsidRPr="000D49BE">
              <w:t>Disyston</w:t>
            </w:r>
            <w:proofErr w:type="spellEnd"/>
            <w:r>
              <w:t>, O,O-Diethyl-S-</w:t>
            </w:r>
            <w:proofErr w:type="spellStart"/>
            <w:r>
              <w:t>ethylmercaptoethyl</w:t>
            </w:r>
            <w:proofErr w:type="spellEnd"/>
            <w:r>
              <w:t xml:space="preserve"> </w:t>
            </w:r>
            <w:proofErr w:type="spellStart"/>
            <w:r>
              <w:t>dithiophosphate</w:t>
            </w:r>
            <w:proofErr w:type="spellEnd"/>
            <w:r>
              <w:t>, Di-</w:t>
            </w:r>
            <w:proofErr w:type="spellStart"/>
            <w:r>
              <w:t>Syston</w:t>
            </w:r>
            <w:proofErr w:type="spellEnd"/>
            <w:r>
              <w:t xml:space="preserve">, </w:t>
            </w:r>
            <w:proofErr w:type="spellStart"/>
            <w:r w:rsidR="00DE0B0C">
              <w:t>dithiosystox</w:t>
            </w:r>
            <w:proofErr w:type="spellEnd"/>
            <w:r>
              <w:t xml:space="preserve">, </w:t>
            </w:r>
            <w:proofErr w:type="spellStart"/>
            <w:r w:rsidR="00DE0B0C">
              <w:t>phosphorodithioc</w:t>
            </w:r>
            <w:proofErr w:type="spellEnd"/>
            <w:r w:rsidR="00DE0B0C">
              <w:t xml:space="preserve"> </w:t>
            </w:r>
            <w:r>
              <w:t>acid O,O-Diethyl-S-(</w:t>
            </w:r>
            <w:proofErr w:type="spellStart"/>
            <w:r>
              <w:t>ethylthio</w:t>
            </w:r>
            <w:proofErr w:type="spellEnd"/>
            <w:r>
              <w:t xml:space="preserve">)ethyl) ester, </w:t>
            </w:r>
            <w:proofErr w:type="spellStart"/>
            <w:r w:rsidR="00DE0B0C">
              <w:t>thiodementon</w:t>
            </w:r>
            <w:proofErr w:type="spellEnd"/>
          </w:p>
        </w:tc>
      </w:tr>
      <w:tr w:rsidR="00F43AD5" w:rsidRPr="004C23F4" w14:paraId="11606B27" w14:textId="77777777" w:rsidTr="00B76A41">
        <w:trPr>
          <w:cantSplit/>
        </w:trPr>
        <w:tc>
          <w:tcPr>
            <w:tcW w:w="4077" w:type="dxa"/>
          </w:tcPr>
          <w:p w14:paraId="0374F181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8618CB9" w14:textId="339A056F" w:rsidR="00F43AD5" w:rsidRPr="00717D45" w:rsidRDefault="000D49BE" w:rsidP="00B76A41">
            <w:pPr>
              <w:pStyle w:val="Tablefont"/>
            </w:pPr>
            <w:r>
              <w:t>C</w:t>
            </w:r>
            <w:r w:rsidRPr="000D49BE">
              <w:rPr>
                <w:vertAlign w:val="subscript"/>
              </w:rPr>
              <w:t>8</w:t>
            </w:r>
            <w:r>
              <w:t>H</w:t>
            </w:r>
            <w:r w:rsidRPr="000D49BE">
              <w:rPr>
                <w:vertAlign w:val="subscript"/>
              </w:rPr>
              <w:t>19</w:t>
            </w:r>
            <w:r>
              <w:t>O</w:t>
            </w:r>
            <w:r w:rsidRPr="000D49BE">
              <w:rPr>
                <w:vertAlign w:val="subscript"/>
              </w:rPr>
              <w:t>2</w:t>
            </w:r>
            <w:r>
              <w:t>PS</w:t>
            </w:r>
            <w:r w:rsidRPr="000D49BE">
              <w:rPr>
                <w:vertAlign w:val="subscript"/>
              </w:rPr>
              <w:t>3</w:t>
            </w:r>
          </w:p>
        </w:tc>
      </w:tr>
      <w:tr w:rsidR="00F43AD5" w:rsidRPr="004C23F4" w14:paraId="6F347C4A" w14:textId="77777777" w:rsidTr="00B76A41">
        <w:trPr>
          <w:cantSplit/>
        </w:trPr>
        <w:tc>
          <w:tcPr>
            <w:tcW w:w="4077" w:type="dxa"/>
          </w:tcPr>
          <w:p w14:paraId="3AFB77C2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C2E16FB" w14:textId="5666D141" w:rsidR="00F43AD5" w:rsidRPr="00DE0B0C" w:rsidRDefault="000D49BE" w:rsidP="00B76A41">
            <w:pPr>
              <w:pStyle w:val="Tablerowheading"/>
              <w:rPr>
                <w:b w:val="0"/>
              </w:rPr>
            </w:pPr>
            <w:r w:rsidRPr="00AE7E23">
              <w:rPr>
                <w:b w:val="0"/>
              </w:rPr>
              <w:t>—</w:t>
            </w:r>
          </w:p>
        </w:tc>
      </w:tr>
    </w:tbl>
    <w:p w14:paraId="4B910C4E" w14:textId="06C6195F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9352E1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2A354748" w14:textId="77777777" w:rsidTr="00FA4896">
        <w:trPr>
          <w:cantSplit/>
          <w:tblHeader/>
        </w:trPr>
        <w:tc>
          <w:tcPr>
            <w:tcW w:w="4005" w:type="dxa"/>
            <w:vAlign w:val="center"/>
          </w:tcPr>
          <w:p w14:paraId="1691FC0F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797F7841" w14:textId="614265F2" w:rsidR="002C7AFE" w:rsidRPr="009352E1" w:rsidRDefault="009352E1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0.02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49F7D33C" w14:textId="77777777" w:rsidTr="00FA4896">
        <w:trPr>
          <w:cantSplit/>
        </w:trPr>
        <w:tc>
          <w:tcPr>
            <w:tcW w:w="4005" w:type="dxa"/>
            <w:vAlign w:val="center"/>
          </w:tcPr>
          <w:p w14:paraId="58FC5DC3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64A5DC0D" w14:textId="760F80DE" w:rsidR="002C7AFE" w:rsidRPr="00EB3D1B" w:rsidRDefault="00DE0B0C" w:rsidP="00017C82">
            <w:pPr>
              <w:pStyle w:val="Tablefont"/>
              <w:rPr>
                <w:b/>
              </w:rPr>
            </w:pPr>
            <w:r w:rsidRPr="00C07112">
              <w:rPr>
                <w:b/>
              </w:rPr>
              <w:t>—</w:t>
            </w:r>
          </w:p>
        </w:tc>
      </w:tr>
      <w:tr w:rsidR="002C7AFE" w:rsidRPr="004C23F4" w14:paraId="4503DE99" w14:textId="77777777" w:rsidTr="00FA4896">
        <w:trPr>
          <w:cantSplit/>
        </w:trPr>
        <w:tc>
          <w:tcPr>
            <w:tcW w:w="4005" w:type="dxa"/>
            <w:vAlign w:val="center"/>
          </w:tcPr>
          <w:p w14:paraId="436F8FF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29F20704" w14:textId="4BCFB950" w:rsidR="002C7AFE" w:rsidRPr="00EB3D1B" w:rsidRDefault="00DE0B0C" w:rsidP="00017C82">
            <w:pPr>
              <w:pStyle w:val="Tablefont"/>
              <w:rPr>
                <w:b/>
              </w:rPr>
            </w:pPr>
            <w:r w:rsidRPr="00C07112">
              <w:rPr>
                <w:b/>
              </w:rPr>
              <w:t>—</w:t>
            </w:r>
          </w:p>
        </w:tc>
      </w:tr>
      <w:tr w:rsidR="002C7AFE" w:rsidRPr="004C23F4" w14:paraId="76A4454B" w14:textId="77777777" w:rsidTr="00FA4896">
        <w:trPr>
          <w:cantSplit/>
        </w:trPr>
        <w:tc>
          <w:tcPr>
            <w:tcW w:w="4005" w:type="dxa"/>
          </w:tcPr>
          <w:p w14:paraId="407F6BA0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73509D02" w14:textId="6A112544" w:rsidR="002C7AFE" w:rsidRPr="00EB3D1B" w:rsidRDefault="009352E1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17CA9600" w14:textId="77777777" w:rsidTr="00FA4896">
        <w:trPr>
          <w:cantSplit/>
        </w:trPr>
        <w:tc>
          <w:tcPr>
            <w:tcW w:w="4005" w:type="dxa"/>
            <w:vAlign w:val="center"/>
          </w:tcPr>
          <w:p w14:paraId="170339EC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71D1C6F5" w14:textId="12611E93" w:rsidR="002C7AFE" w:rsidRPr="00DE0B0C" w:rsidRDefault="000D49BE" w:rsidP="00017C82">
            <w:pPr>
              <w:pStyle w:val="Tablefont"/>
              <w:rPr>
                <w:b/>
              </w:rPr>
            </w:pPr>
            <w:r w:rsidRPr="00AE7E23">
              <w:rPr>
                <w:b/>
              </w:rPr>
              <w:t>—</w:t>
            </w:r>
          </w:p>
        </w:tc>
      </w:tr>
      <w:tr w:rsidR="00FA4896" w:rsidRPr="004C23F4" w14:paraId="275F447A" w14:textId="77777777" w:rsidTr="00943449">
        <w:trPr>
          <w:cantSplit/>
        </w:trPr>
        <w:tc>
          <w:tcPr>
            <w:tcW w:w="9026" w:type="dxa"/>
            <w:gridSpan w:val="2"/>
            <w:vAlign w:val="center"/>
          </w:tcPr>
          <w:p w14:paraId="799D6CAE" w14:textId="5BEEB23A" w:rsidR="00FA4896" w:rsidRPr="00EB3D1B" w:rsidRDefault="00FA4896" w:rsidP="00FA4896">
            <w:pPr>
              <w:pStyle w:val="Tablefont"/>
              <w:rPr>
                <w:b/>
              </w:rPr>
            </w:pPr>
            <w:r w:rsidRPr="00B87BE7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71A3FAB1BD174649A4873E74591B1964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B87BE7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CD2BA24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B3BA4F0" w14:textId="615656EC" w:rsidR="006639B4" w:rsidRPr="009352E1" w:rsidRDefault="009352E1" w:rsidP="000C139A">
      <w:pPr>
        <w:rPr>
          <w:rFonts w:cs="Arial"/>
        </w:rPr>
      </w:pPr>
      <w:r>
        <w:rPr>
          <w:rFonts w:cs="Arial"/>
        </w:rPr>
        <w:t>A TWA of 0.02 mg/m</w:t>
      </w:r>
      <w:r>
        <w:rPr>
          <w:rFonts w:cs="Arial"/>
          <w:vertAlign w:val="superscript"/>
        </w:rPr>
        <w:t>3</w:t>
      </w:r>
      <w:r w:rsidR="00DE0B0C">
        <w:rPr>
          <w:rFonts w:cs="Arial"/>
          <w:vertAlign w:val="superscript"/>
        </w:rPr>
        <w:t xml:space="preserve"> </w:t>
      </w:r>
      <w:r>
        <w:rPr>
          <w:rFonts w:cs="Arial"/>
        </w:rPr>
        <w:t>is recommended to protect for cholinesterase</w:t>
      </w:r>
      <w:r w:rsidR="00440A8C">
        <w:rPr>
          <w:rFonts w:cs="Arial"/>
        </w:rPr>
        <w:t xml:space="preserve"> inhibition</w:t>
      </w:r>
      <w:r>
        <w:rPr>
          <w:rFonts w:cs="Arial"/>
        </w:rPr>
        <w:t xml:space="preserve"> in exposed workers.</w:t>
      </w:r>
    </w:p>
    <w:p w14:paraId="0A3344F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1EFAE00" w14:textId="05BFA47F" w:rsidR="009352E1" w:rsidRPr="009352E1" w:rsidRDefault="006322C4" w:rsidP="009352E1">
      <w:proofErr w:type="spellStart"/>
      <w:r>
        <w:t>Disulfoton</w:t>
      </w:r>
      <w:proofErr w:type="spellEnd"/>
      <w:r>
        <w:t xml:space="preserve"> is an organophosphate insecticide </w:t>
      </w:r>
      <w:r w:rsidR="000C40D1">
        <w:t>used on cotton, tobacco, sug</w:t>
      </w:r>
      <w:r w:rsidR="00B87BE7">
        <w:t xml:space="preserve">ar beet, corn, peanuts, wheat, </w:t>
      </w:r>
      <w:r w:rsidR="000C40D1">
        <w:t xml:space="preserve">potatoes and cereal grains. </w:t>
      </w:r>
      <w:r w:rsidR="00437FDE">
        <w:t>I</w:t>
      </w:r>
      <w:r w:rsidR="00037A3E">
        <w:t xml:space="preserve">n humans </w:t>
      </w:r>
      <w:proofErr w:type="spellStart"/>
      <w:r w:rsidR="00437FDE">
        <w:t>disulfoton</w:t>
      </w:r>
      <w:proofErr w:type="spellEnd"/>
      <w:r w:rsidR="00437FDE">
        <w:t xml:space="preserve"> </w:t>
      </w:r>
      <w:r w:rsidR="00037A3E">
        <w:t>is absorbed through the skin</w:t>
      </w:r>
      <w:r w:rsidR="00437FDE">
        <w:t xml:space="preserve"> and dermal exposure</w:t>
      </w:r>
      <w:r w:rsidR="00037A3E">
        <w:t xml:space="preserve"> </w:t>
      </w:r>
      <w:r w:rsidR="001C0E7D">
        <w:t>can cause</w:t>
      </w:r>
      <w:r w:rsidR="00037A3E">
        <w:t xml:space="preserve"> </w:t>
      </w:r>
      <w:r w:rsidR="000C40D1">
        <w:t xml:space="preserve">systemic </w:t>
      </w:r>
      <w:r w:rsidR="00B87BE7">
        <w:t xml:space="preserve">inhibition of </w:t>
      </w:r>
      <w:r w:rsidR="00B87BE7">
        <w:rPr>
          <w:rFonts w:cs="Arial"/>
        </w:rPr>
        <w:t>cholinesterase</w:t>
      </w:r>
      <w:r w:rsidR="000C40D1">
        <w:t xml:space="preserve">. </w:t>
      </w:r>
      <w:r w:rsidR="001C0E7D">
        <w:t>Combined inhalation and dermal exposure of workers at 0.6 mg/m</w:t>
      </w:r>
      <w:r w:rsidR="001C0E7D">
        <w:rPr>
          <w:vertAlign w:val="superscript"/>
        </w:rPr>
        <w:t xml:space="preserve">3 </w:t>
      </w:r>
      <w:r w:rsidR="001C0E7D">
        <w:t>resulted in minimal</w:t>
      </w:r>
      <w:r w:rsidR="00037A3E">
        <w:t xml:space="preserve"> inh</w:t>
      </w:r>
      <w:r w:rsidR="001C0E7D">
        <w:t xml:space="preserve">ibition of RBC cholinesterase </w:t>
      </w:r>
      <w:r w:rsidR="00437FDE">
        <w:t>(</w:t>
      </w:r>
      <w:r w:rsidR="009352E1">
        <w:t>ACGIH, 2018). A NOAE</w:t>
      </w:r>
      <w:r w:rsidR="00440A8C">
        <w:t>C</w:t>
      </w:r>
      <w:r w:rsidR="009352E1">
        <w:t xml:space="preserve"> of 0.16 mg/m</w:t>
      </w:r>
      <w:r w:rsidR="009352E1" w:rsidRPr="009352E1">
        <w:rPr>
          <w:vertAlign w:val="superscript"/>
        </w:rPr>
        <w:t>3</w:t>
      </w:r>
      <w:r w:rsidR="009352E1">
        <w:t xml:space="preserve"> was </w:t>
      </w:r>
      <w:r w:rsidR="00037A3E">
        <w:t xml:space="preserve">reported </w:t>
      </w:r>
      <w:r w:rsidR="009352E1">
        <w:t xml:space="preserve">in </w:t>
      </w:r>
      <w:r w:rsidR="00DE0B0C">
        <w:t xml:space="preserve">a </w:t>
      </w:r>
      <w:r w:rsidR="009352E1">
        <w:t>13</w:t>
      </w:r>
      <w:r w:rsidR="00B87BE7">
        <w:t>-</w:t>
      </w:r>
      <w:r w:rsidR="009352E1">
        <w:t>week inhalation study</w:t>
      </w:r>
      <w:r w:rsidR="00B75F15">
        <w:t xml:space="preserve"> in rats</w:t>
      </w:r>
      <w:r w:rsidR="009352E1">
        <w:t xml:space="preserve">. </w:t>
      </w:r>
      <w:r w:rsidR="00B75F15">
        <w:t xml:space="preserve">A </w:t>
      </w:r>
      <w:r w:rsidR="009352E1">
        <w:t>NOAEL of 0.</w:t>
      </w:r>
      <w:r w:rsidR="00B75F15">
        <w:t>025 </w:t>
      </w:r>
      <w:r w:rsidR="009352E1">
        <w:t>mg/kg/d</w:t>
      </w:r>
      <w:r w:rsidR="00B75F15">
        <w:t xml:space="preserve"> was</w:t>
      </w:r>
      <w:r w:rsidR="009352E1">
        <w:t xml:space="preserve"> </w:t>
      </w:r>
      <w:r w:rsidR="00B75F15">
        <w:t xml:space="preserve">reported a two-year feeding bioassay in dogs </w:t>
      </w:r>
      <w:r w:rsidR="009352E1">
        <w:t>(</w:t>
      </w:r>
      <w:r w:rsidR="00153F14">
        <w:t xml:space="preserve">ACGIH, 2018; </w:t>
      </w:r>
      <w:r w:rsidR="009352E1">
        <w:t>HCOTN, 2003)</w:t>
      </w:r>
      <w:r w:rsidR="00B75F15">
        <w:t xml:space="preserve"> which is equivalent</w:t>
      </w:r>
      <w:r w:rsidR="007E0381">
        <w:t xml:space="preserve"> to</w:t>
      </w:r>
      <w:r w:rsidR="00B75F15">
        <w:t xml:space="preserve"> </w:t>
      </w:r>
      <w:r w:rsidR="007E0381">
        <w:t xml:space="preserve">an </w:t>
      </w:r>
      <w:r w:rsidR="00B75F15">
        <w:t xml:space="preserve">inhalational exposure </w:t>
      </w:r>
      <w:r w:rsidR="007E0381">
        <w:t>of</w:t>
      </w:r>
      <w:r w:rsidR="009352E1">
        <w:t xml:space="preserve"> 0.2</w:t>
      </w:r>
      <w:r w:rsidR="00F46873">
        <w:t> </w:t>
      </w:r>
      <w:r w:rsidR="009352E1">
        <w:t>mg/m</w:t>
      </w:r>
      <w:r w:rsidR="009352E1">
        <w:rPr>
          <w:vertAlign w:val="superscript"/>
        </w:rPr>
        <w:t>3</w:t>
      </w:r>
      <w:r w:rsidR="009352E1">
        <w:t xml:space="preserve"> (ACGIH, 2018).</w:t>
      </w:r>
    </w:p>
    <w:p w14:paraId="49AC6165" w14:textId="7DD162AF" w:rsidR="006F3C20" w:rsidRPr="009352E1" w:rsidRDefault="006F3C20" w:rsidP="006F3C20">
      <w:pPr>
        <w:rPr>
          <w:rFonts w:cs="Arial"/>
        </w:rPr>
      </w:pPr>
      <w:r>
        <w:rPr>
          <w:rFonts w:cs="Arial"/>
        </w:rPr>
        <w:t>The recommended TWA of 0.02 mg/</w:t>
      </w:r>
      <w:r w:rsidRPr="0033045C">
        <w:rPr>
          <w:rFonts w:cs="Arial"/>
        </w:rPr>
        <w:t>m</w:t>
      </w:r>
      <w:r w:rsidRPr="0033045C">
        <w:rPr>
          <w:rFonts w:cs="Arial"/>
          <w:vertAlign w:val="superscript"/>
        </w:rPr>
        <w:t>3</w:t>
      </w:r>
      <w:r>
        <w:rPr>
          <w:rFonts w:cs="Arial"/>
        </w:rPr>
        <w:t xml:space="preserve"> is </w:t>
      </w:r>
      <w:r w:rsidR="008504E4">
        <w:rPr>
          <w:rFonts w:cs="Arial"/>
        </w:rPr>
        <w:t>adopted</w:t>
      </w:r>
      <w:r>
        <w:rPr>
          <w:rFonts w:cs="Arial"/>
        </w:rPr>
        <w:t xml:space="preserve"> from the </w:t>
      </w:r>
      <w:r>
        <w:t xml:space="preserve">HCOTN (2003) </w:t>
      </w:r>
      <w:r w:rsidR="008504E4">
        <w:rPr>
          <w:rFonts w:cs="Arial"/>
        </w:rPr>
        <w:t>based on</w:t>
      </w:r>
      <w:r>
        <w:rPr>
          <w:rFonts w:cs="Arial"/>
        </w:rPr>
        <w:t xml:space="preserve"> the NOAEC of 0.16 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and divided by an </w:t>
      </w:r>
      <w:r w:rsidR="008504E4">
        <w:rPr>
          <w:rFonts w:cs="Arial"/>
        </w:rPr>
        <w:t>uncertainty factor</w:t>
      </w:r>
      <w:r>
        <w:rPr>
          <w:rFonts w:cs="Arial"/>
        </w:rPr>
        <w:t xml:space="preserve"> of 9 to account for inter- and intra-species variation and rounding up. The recommended TWA is supported by the NOAEL in dogs and considered protective for cholinesterase inhibition in exposed workers.</w:t>
      </w:r>
    </w:p>
    <w:p w14:paraId="6F45012A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46824D31" w14:textId="01228127" w:rsidR="000D49BE" w:rsidRPr="00B87BE7" w:rsidRDefault="000D49BE" w:rsidP="000D49BE">
      <w:pPr>
        <w:rPr>
          <w:rFonts w:cs="Arial"/>
        </w:rPr>
      </w:pPr>
      <w:r w:rsidRPr="00A70823">
        <w:rPr>
          <w:rFonts w:cs="Arial"/>
        </w:rPr>
        <w:t xml:space="preserve">Not classified as a carcinogen according to the Globally Harmonized System of Classification and </w:t>
      </w:r>
      <w:r w:rsidRPr="00B87BE7">
        <w:rPr>
          <w:rFonts w:cs="Arial"/>
        </w:rPr>
        <w:t>Labelling o</w:t>
      </w:r>
      <w:r w:rsidR="00AE7E23" w:rsidRPr="00B87BE7">
        <w:rPr>
          <w:rFonts w:cs="Arial"/>
        </w:rPr>
        <w:t>f</w:t>
      </w:r>
      <w:r w:rsidRPr="00B87BE7">
        <w:rPr>
          <w:rFonts w:cs="Arial"/>
        </w:rPr>
        <w:t xml:space="preserve"> Chemicals (GHS). </w:t>
      </w:r>
    </w:p>
    <w:p w14:paraId="0FD82DCA" w14:textId="0D906104" w:rsidR="000D49BE" w:rsidRPr="00B87BE7" w:rsidRDefault="000D49BE" w:rsidP="000D49BE">
      <w:pPr>
        <w:rPr>
          <w:rFonts w:cs="Arial"/>
        </w:rPr>
      </w:pPr>
      <w:r w:rsidRPr="00B87BE7">
        <w:rPr>
          <w:rFonts w:cs="Arial"/>
        </w:rPr>
        <w:t xml:space="preserve">Not classified as a skin </w:t>
      </w:r>
      <w:r w:rsidR="00AE7E23" w:rsidRPr="00B87BE7">
        <w:rPr>
          <w:rFonts w:cs="Arial"/>
        </w:rPr>
        <w:t xml:space="preserve">sensitiser </w:t>
      </w:r>
      <w:r w:rsidRPr="00B87BE7">
        <w:rPr>
          <w:rFonts w:cs="Arial"/>
        </w:rPr>
        <w:t>or respiratory sensitiser according to the GHS.</w:t>
      </w:r>
    </w:p>
    <w:p w14:paraId="34A9DA1B" w14:textId="7732A615" w:rsidR="00B87BE7" w:rsidRPr="00B87BE7" w:rsidRDefault="00B87BE7" w:rsidP="00B87BE7">
      <w:pPr>
        <w:rPr>
          <w:rFonts w:cs="Arial"/>
        </w:rPr>
      </w:pPr>
      <w:r w:rsidRPr="00B87BE7">
        <w:rPr>
          <w:rFonts w:cs="Arial"/>
        </w:rPr>
        <w:t xml:space="preserve">A skin notation </w:t>
      </w:r>
      <w:r w:rsidR="007F3B3F">
        <w:rPr>
          <w:rFonts w:cs="Arial"/>
        </w:rPr>
        <w:t xml:space="preserve">is </w:t>
      </w:r>
      <w:r w:rsidRPr="00B87BE7">
        <w:rPr>
          <w:rFonts w:cs="Arial"/>
        </w:rPr>
        <w:t>recommended based on evidence suggesting dermal absorption and adverse systemic effects in humans.</w:t>
      </w:r>
    </w:p>
    <w:p w14:paraId="0E10FE29" w14:textId="71819A39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CF3214B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6510F2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394435C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EBEAA32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FE5E841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9E922BA" w14:textId="6AAD8B7B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0D49BE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0D49BE">
                  <w:t>TWA: 0.1 mg/m</w:t>
                </w:r>
                <w:r w:rsidR="000D49BE" w:rsidRPr="000D49B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7B70E4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20BBF4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CB4D1E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4AC2FDC" w14:textId="0709FED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0D49BE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0D49BE">
                  <w:t>TLV-TWA: 0.05 mg/m</w:t>
                </w:r>
                <w:r w:rsidR="000D49BE" w:rsidRPr="000D49B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0BECE48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532AA94" w14:textId="77777777" w:rsidR="00C978F0" w:rsidRDefault="006322C4" w:rsidP="003365A5">
            <w:pPr>
              <w:pStyle w:val="Tabletextprimarysource"/>
            </w:pPr>
            <w:r>
              <w:t>TLV-TWA recommended to minimise the potential for effects on cholinesterase in exposed workers.</w:t>
            </w:r>
          </w:p>
          <w:p w14:paraId="2ECD2A16" w14:textId="77777777" w:rsidR="006322C4" w:rsidRDefault="006322C4" w:rsidP="003365A5">
            <w:pPr>
              <w:pStyle w:val="Tabletextprimarysource"/>
            </w:pPr>
            <w:r>
              <w:t>Summary of data:</w:t>
            </w:r>
          </w:p>
          <w:p w14:paraId="77B8818B" w14:textId="77777777" w:rsidR="006322C4" w:rsidRDefault="006322C4" w:rsidP="003365A5">
            <w:pPr>
              <w:pStyle w:val="Tabletextprimarysource"/>
            </w:pPr>
            <w:r>
              <w:t>Human data:</w:t>
            </w:r>
          </w:p>
          <w:p w14:paraId="0018E6D0" w14:textId="7F2B717F" w:rsidR="006322C4" w:rsidRDefault="006322C4" w:rsidP="00440A8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Human exposure observations; </w:t>
            </w:r>
            <w:r w:rsidR="00A40730">
              <w:t xml:space="preserve">combined </w:t>
            </w:r>
            <w:r>
              <w:t>inhalation and dermal; minimal inhibition of RBC cholinesterase (23%) seen when airborne level was 0.6 mg/m</w:t>
            </w:r>
            <w:r w:rsidRPr="006322C4">
              <w:rPr>
                <w:vertAlign w:val="superscript"/>
              </w:rPr>
              <w:t>3</w:t>
            </w:r>
            <w:r w:rsidR="00A40730">
              <w:t>; 90 wk exposure</w:t>
            </w:r>
          </w:p>
          <w:p w14:paraId="1C16F1B7" w14:textId="6F51FC5E" w:rsidR="0027669B" w:rsidRDefault="0027669B" w:rsidP="00440A8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measurable decreases in plasma or RBC cholinesterase activity in 5 volunteers dosed orally with 0.75 mg/kg for 30 consecutive days</w:t>
            </w:r>
            <w:r w:rsidR="008A3EAC">
              <w:t>; only dose tested</w:t>
            </w:r>
          </w:p>
          <w:p w14:paraId="537BC152" w14:textId="2262F442" w:rsidR="00AE7E23" w:rsidRDefault="006322C4" w:rsidP="00440A8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 farmer who had worn contaminated gloves for several days developed </w:t>
            </w:r>
            <w:r w:rsidR="00B87BE7">
              <w:t>weakness, fatigue and cyanosis</w:t>
            </w:r>
          </w:p>
          <w:p w14:paraId="39B0F7FC" w14:textId="3612C2AC" w:rsidR="006322C4" w:rsidRDefault="00AE7E23" w:rsidP="00440A8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</w:t>
            </w:r>
            <w:r w:rsidR="006322C4">
              <w:t xml:space="preserve">ase studies of poisoning </w:t>
            </w:r>
            <w:r w:rsidR="00B75F15">
              <w:t xml:space="preserve">by </w:t>
            </w:r>
            <w:r w:rsidR="006322C4">
              <w:t>ingestion, one fatal</w:t>
            </w:r>
            <w:r w:rsidR="00B87BE7">
              <w:t>.</w:t>
            </w:r>
          </w:p>
          <w:p w14:paraId="738A49CB" w14:textId="77777777" w:rsidR="006322C4" w:rsidRDefault="006322C4" w:rsidP="006322C4">
            <w:pPr>
              <w:pStyle w:val="Tabletextprimarysource"/>
            </w:pPr>
            <w:r>
              <w:t>Animal data:</w:t>
            </w:r>
          </w:p>
          <w:p w14:paraId="70B2C953" w14:textId="7EB32ADD" w:rsidR="006322C4" w:rsidRDefault="006322C4" w:rsidP="00440A8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 w:rsidRPr="006322C4">
              <w:rPr>
                <w:vertAlign w:val="subscript"/>
              </w:rPr>
              <w:t>50</w:t>
            </w:r>
            <w:r w:rsidR="00B87BE7">
              <w:t>:</w:t>
            </w:r>
            <w:r>
              <w:t xml:space="preserve"> </w:t>
            </w:r>
            <w:r w:rsidR="00B87BE7">
              <w:t>15</w:t>
            </w:r>
            <w:r w:rsidR="0056429D">
              <w:t>–</w:t>
            </w:r>
            <w:r>
              <w:t>60 mg/</w:t>
            </w:r>
            <w:r w:rsidRPr="00B87BE7">
              <w:t>m</w:t>
            </w:r>
            <w:r w:rsidRPr="00B87BE7">
              <w:rPr>
                <w:vertAlign w:val="superscript"/>
              </w:rPr>
              <w:t>3</w:t>
            </w:r>
            <w:r w:rsidR="00B87BE7">
              <w:t>, (</w:t>
            </w:r>
            <w:r w:rsidR="00B87BE7" w:rsidRPr="00B87BE7">
              <w:t>4</w:t>
            </w:r>
            <w:r w:rsidR="00B87BE7">
              <w:t xml:space="preserve"> h, rats)</w:t>
            </w:r>
          </w:p>
          <w:p w14:paraId="454150ED" w14:textId="3A80697B" w:rsidR="0027669B" w:rsidRDefault="0027669B" w:rsidP="00440A8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27669B">
              <w:rPr>
                <w:vertAlign w:val="subscript"/>
              </w:rPr>
              <w:t>50</w:t>
            </w:r>
            <w:r w:rsidR="00AE7E23">
              <w:t>:</w:t>
            </w:r>
            <w:r>
              <w:t xml:space="preserve">  6</w:t>
            </w:r>
            <w:r w:rsidR="0056429D">
              <w:t>–</w:t>
            </w:r>
            <w:r>
              <w:t>20 mg/kg</w:t>
            </w:r>
            <w:r w:rsidR="00B87BE7">
              <w:t xml:space="preserve"> </w:t>
            </w:r>
            <w:r w:rsidR="00AE7E23">
              <w:t>(</w:t>
            </w:r>
            <w:r>
              <w:t>rats</w:t>
            </w:r>
            <w:r w:rsidR="00AE7E23">
              <w:t>, dermal)</w:t>
            </w:r>
          </w:p>
          <w:p w14:paraId="3086526E" w14:textId="33C2CD13" w:rsidR="0027669B" w:rsidRDefault="0027669B" w:rsidP="00440A8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Sig</w:t>
            </w:r>
            <w:r w:rsidRPr="0027669B">
              <w:t xml:space="preserve">nificant </w:t>
            </w:r>
            <w:r>
              <w:t>RBC</w:t>
            </w:r>
            <w:r w:rsidRPr="0027669B">
              <w:t xml:space="preserve"> cholinesterase inhibition </w:t>
            </w:r>
            <w:r>
              <w:t>at concentrations</w:t>
            </w:r>
            <w:r w:rsidRPr="0027669B">
              <w:t xml:space="preserve"> 0.1</w:t>
            </w:r>
            <w:r w:rsidR="007F3B3F">
              <w:t>–</w:t>
            </w:r>
            <w:r w:rsidRPr="0027669B">
              <w:t>1.4 mg/m</w:t>
            </w:r>
            <w:r w:rsidRPr="0027669B">
              <w:rPr>
                <w:vertAlign w:val="superscript"/>
              </w:rPr>
              <w:t>3</w:t>
            </w:r>
            <w:r>
              <w:t>; 2 x 21 d inhalation studies in rats</w:t>
            </w:r>
          </w:p>
          <w:p w14:paraId="6EBDDE6E" w14:textId="68477846" w:rsidR="0027669B" w:rsidRDefault="0027669B" w:rsidP="00440A8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Repeat-dose feeding studies</w:t>
            </w:r>
            <w:r w:rsidR="0041774F">
              <w:t>; brain and RBC cholinesterase activity</w:t>
            </w:r>
            <w:r w:rsidR="001E7FE5">
              <w:t xml:space="preserve"> </w:t>
            </w:r>
            <w:r w:rsidR="00A40730">
              <w:t>unaffected at following dose</w:t>
            </w:r>
            <w:r w:rsidR="0041774F">
              <w:t>:</w:t>
            </w:r>
          </w:p>
          <w:p w14:paraId="075C9851" w14:textId="4D83EAFE" w:rsidR="0041774F" w:rsidRDefault="0041774F" w:rsidP="00440A8C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0.5 mg/kg/d mice</w:t>
            </w:r>
          </w:p>
          <w:p w14:paraId="5A7D0E30" w14:textId="1663A0ED" w:rsidR="0041774F" w:rsidRDefault="0041774F" w:rsidP="00440A8C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0.04 mg/kg/d rat</w:t>
            </w:r>
          </w:p>
          <w:p w14:paraId="4910BD5E" w14:textId="4175E4E9" w:rsidR="0041774F" w:rsidRDefault="0041774F" w:rsidP="00440A8C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0.025 mg/kg/d dog</w:t>
            </w:r>
          </w:p>
          <w:p w14:paraId="0FD8C7FC" w14:textId="101E4696" w:rsidR="0041774F" w:rsidRDefault="0041774F" w:rsidP="00440A8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Did not produce tumours in lifetime feeding studies in rats and mice</w:t>
            </w:r>
            <w:r w:rsidR="00406B6D">
              <w:t>.</w:t>
            </w:r>
          </w:p>
          <w:p w14:paraId="769C68E7" w14:textId="77777777" w:rsidR="0033045C" w:rsidRDefault="0033045C" w:rsidP="0041774F">
            <w:pPr>
              <w:pStyle w:val="Tabletextprimarysource"/>
            </w:pPr>
          </w:p>
          <w:p w14:paraId="504E95FD" w14:textId="06ECE7E1" w:rsidR="00D91BE6" w:rsidRPr="001E7FE5" w:rsidRDefault="00153F14" w:rsidP="0041774F">
            <w:pPr>
              <w:pStyle w:val="Tabletextprimarysource"/>
            </w:pPr>
            <w:r>
              <w:t>T</w:t>
            </w:r>
            <w:r w:rsidR="0041774F">
              <w:t>he</w:t>
            </w:r>
            <w:r w:rsidR="001E7FE5">
              <w:t xml:space="preserve"> lowest </w:t>
            </w:r>
            <w:r>
              <w:t xml:space="preserve">NOAEL </w:t>
            </w:r>
            <w:r w:rsidR="001E7FE5">
              <w:t>in animals (</w:t>
            </w:r>
            <w:r w:rsidR="0041774F">
              <w:t>dogs</w:t>
            </w:r>
            <w:r w:rsidR="001E7FE5">
              <w:t>)</w:t>
            </w:r>
            <w:r>
              <w:t xml:space="preserve"> </w:t>
            </w:r>
            <w:r w:rsidR="001E7FE5">
              <w:t xml:space="preserve">of 0.025 mg/kg in </w:t>
            </w:r>
            <w:r>
              <w:t>was extrapolated to an equivalent inhalational N</w:t>
            </w:r>
            <w:r w:rsidR="001C0E7D">
              <w:t>OAE</w:t>
            </w:r>
            <w:r>
              <w:t xml:space="preserve">C of </w:t>
            </w:r>
            <w:r>
              <w:rPr>
                <w:rFonts w:cs="Arial"/>
              </w:rPr>
              <w:t>≈</w:t>
            </w:r>
            <w:r>
              <w:t>0.2 mg/m</w:t>
            </w:r>
            <w:r>
              <w:rPr>
                <w:vertAlign w:val="superscript"/>
              </w:rPr>
              <w:t>3</w:t>
            </w:r>
            <w:r w:rsidRPr="007E69A7">
              <w:t xml:space="preserve"> </w:t>
            </w:r>
            <w:r>
              <w:t xml:space="preserve">by </w:t>
            </w:r>
            <w:r w:rsidR="0041774F">
              <w:t>assuming 100% absorption, 70 kg worker inhaling 10 m</w:t>
            </w:r>
            <w:r w:rsidR="0041774F">
              <w:rPr>
                <w:vertAlign w:val="superscript"/>
              </w:rPr>
              <w:t>3</w:t>
            </w:r>
            <w:r w:rsidR="0041774F">
              <w:rPr>
                <w:vertAlign w:val="subscript"/>
              </w:rPr>
              <w:t xml:space="preserve"> </w:t>
            </w:r>
            <w:r w:rsidR="0041774F">
              <w:t>air in 8</w:t>
            </w:r>
            <w:r w:rsidR="00406B6D">
              <w:t xml:space="preserve"> </w:t>
            </w:r>
            <w:r w:rsidR="0041774F">
              <w:t>h shift; inhalation</w:t>
            </w:r>
            <w:r w:rsidR="001E7FE5">
              <w:t>. Therefore a TLV-TWA of 0.05 mg/m</w:t>
            </w:r>
            <w:r w:rsidR="001E7FE5">
              <w:rPr>
                <w:vertAlign w:val="superscript"/>
              </w:rPr>
              <w:t>3</w:t>
            </w:r>
            <w:r w:rsidR="001E7FE5">
              <w:t xml:space="preserve"> should be sufficiently protective.</w:t>
            </w:r>
          </w:p>
          <w:p w14:paraId="085860F7" w14:textId="77777777" w:rsidR="001E7FE5" w:rsidRDefault="001E7FE5" w:rsidP="0041774F">
            <w:pPr>
              <w:pStyle w:val="Tabletextprimarysource"/>
            </w:pPr>
          </w:p>
          <w:p w14:paraId="22472422" w14:textId="7E867C38" w:rsidR="008A3EAC" w:rsidRDefault="008A3EAC" w:rsidP="0041774F">
            <w:pPr>
              <w:pStyle w:val="Tabletextprimarysource"/>
            </w:pPr>
            <w:r>
              <w:t>Insufficient data to recommend a sensitiser notation or STEL.</w:t>
            </w:r>
          </w:p>
          <w:p w14:paraId="4FE47F1A" w14:textId="0DE84260" w:rsidR="00440A8C" w:rsidRPr="0041774F" w:rsidRDefault="00440A8C" w:rsidP="0041774F">
            <w:pPr>
              <w:pStyle w:val="Tabletextprimarysource"/>
            </w:pPr>
          </w:p>
        </w:tc>
      </w:tr>
      <w:tr w:rsidR="00C978F0" w:rsidRPr="00DA352E" w14:paraId="439985E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A081850" w14:textId="04D985D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0D49B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0D49BE">
                  <w:t>NA</w:t>
                </w:r>
                <w:proofErr w:type="spellEnd"/>
              </w:sdtContent>
            </w:sdt>
          </w:p>
        </w:tc>
      </w:tr>
      <w:tr w:rsidR="00C978F0" w:rsidRPr="00DA352E" w14:paraId="383DA85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3B3151B" w14:textId="2E29AB4D" w:rsidR="00C978F0" w:rsidRPr="00DA352E" w:rsidRDefault="000D49BE" w:rsidP="003365A5">
            <w:pPr>
              <w:pStyle w:val="Tabletextprimarysource"/>
            </w:pPr>
            <w:r>
              <w:t>No report</w:t>
            </w:r>
            <w:r w:rsidR="00AE7E23">
              <w:t>.</w:t>
            </w:r>
          </w:p>
        </w:tc>
      </w:tr>
      <w:tr w:rsidR="00C978F0" w:rsidRPr="00DA352E" w14:paraId="762ED5E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070E5DB" w14:textId="388E60F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0D49B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0D49BE">
                  <w:t>NA</w:t>
                </w:r>
                <w:proofErr w:type="spellEnd"/>
              </w:sdtContent>
            </w:sdt>
          </w:p>
        </w:tc>
      </w:tr>
      <w:tr w:rsidR="00C978F0" w:rsidRPr="00DA352E" w14:paraId="2D82EA8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DCFF1F9" w14:textId="2BB4A120" w:rsidR="00C978F0" w:rsidRPr="00DA352E" w:rsidRDefault="000D49BE" w:rsidP="003365A5">
            <w:pPr>
              <w:pStyle w:val="Tabletextprimarysource"/>
            </w:pPr>
            <w:r>
              <w:t>No report</w:t>
            </w:r>
            <w:r w:rsidR="00AE7E23">
              <w:t>.</w:t>
            </w:r>
          </w:p>
        </w:tc>
      </w:tr>
      <w:tr w:rsidR="00DA352E" w:rsidRPr="00DA352E" w14:paraId="74A360A1" w14:textId="77777777" w:rsidTr="00B87BE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26CD7E6" w14:textId="51015C8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0D49B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0D49BE">
                  <w:t>NA</w:t>
                </w:r>
                <w:proofErr w:type="spellEnd"/>
              </w:sdtContent>
            </w:sdt>
          </w:p>
        </w:tc>
      </w:tr>
      <w:tr w:rsidR="00DA352E" w:rsidRPr="00DA352E" w14:paraId="4857486A" w14:textId="77777777" w:rsidTr="00B87BE7">
        <w:trPr>
          <w:gridAfter w:val="1"/>
          <w:wAfter w:w="8" w:type="pct"/>
        </w:trPr>
        <w:tc>
          <w:tcPr>
            <w:tcW w:w="4992" w:type="pct"/>
          </w:tcPr>
          <w:p w14:paraId="3ABEE4AB" w14:textId="47EED1B4" w:rsidR="00DA352E" w:rsidRPr="00DA352E" w:rsidRDefault="000D49BE" w:rsidP="003365A5">
            <w:pPr>
              <w:pStyle w:val="Tabletextprimarysource"/>
            </w:pPr>
            <w:r>
              <w:t>No report</w:t>
            </w:r>
            <w:r w:rsidR="00AE7E23">
              <w:t>.</w:t>
            </w:r>
          </w:p>
        </w:tc>
      </w:tr>
      <w:tr w:rsidR="00DA352E" w:rsidRPr="00DA352E" w14:paraId="2F1EC51D" w14:textId="77777777" w:rsidTr="00B87BE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781F19C" w14:textId="432BB3E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0D49BE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0D49BE" w:rsidRPr="000D49BE">
                  <w:t>TWA</w:t>
                </w:r>
                <w:r w:rsidR="000C40D1">
                  <w:t>: 0.02</w:t>
                </w:r>
                <w:r w:rsidR="000D49BE">
                  <w:t xml:space="preserve"> mg/m</w:t>
                </w:r>
                <w:r w:rsidR="000D49BE" w:rsidRPr="000D49B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2F3AAD3B" w14:textId="77777777" w:rsidTr="00B87BE7">
        <w:trPr>
          <w:gridAfter w:val="1"/>
          <w:wAfter w:w="8" w:type="pct"/>
        </w:trPr>
        <w:tc>
          <w:tcPr>
            <w:tcW w:w="4992" w:type="pct"/>
          </w:tcPr>
          <w:p w14:paraId="41D928D3" w14:textId="77777777" w:rsidR="00DA352E" w:rsidRDefault="008A3EAC" w:rsidP="003365A5">
            <w:pPr>
              <w:pStyle w:val="Tabletextprimarysource"/>
            </w:pPr>
            <w:r>
              <w:t>Summary of additional data:</w:t>
            </w:r>
          </w:p>
          <w:p w14:paraId="42328C13" w14:textId="5D4D3EBE" w:rsidR="000C40D1" w:rsidRDefault="000C40D1" w:rsidP="00440A8C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>Previous TWA 0.1 mg/m</w:t>
            </w:r>
            <w:r>
              <w:rPr>
                <w:vertAlign w:val="superscript"/>
              </w:rPr>
              <w:t>3</w:t>
            </w:r>
          </w:p>
          <w:p w14:paraId="326FD942" w14:textId="3B680B71" w:rsidR="008A3EAC" w:rsidRDefault="008A3EAC" w:rsidP="00440A8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Considered very toxic after respiratory, dermal and oral exposure</w:t>
            </w:r>
          </w:p>
          <w:p w14:paraId="203E3647" w14:textId="69DA0704" w:rsidR="008A3EAC" w:rsidRDefault="00AE7E23" w:rsidP="00440A8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</w:t>
            </w:r>
            <w:r w:rsidR="008A3EAC">
              <w:t>:</w:t>
            </w:r>
          </w:p>
          <w:p w14:paraId="1DB96AE7" w14:textId="416BE1A3" w:rsidR="008A3EAC" w:rsidRDefault="008A3EAC" w:rsidP="00440A8C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 xml:space="preserve">0.025 mg/kg </w:t>
            </w:r>
            <w:proofErr w:type="spellStart"/>
            <w:r>
              <w:t>bw</w:t>
            </w:r>
            <w:proofErr w:type="spellEnd"/>
            <w:r>
              <w:t xml:space="preserve"> for dogs; 2</w:t>
            </w:r>
            <w:r w:rsidR="00406B6D">
              <w:t xml:space="preserve"> </w:t>
            </w:r>
            <w:r>
              <w:t>yr oral study</w:t>
            </w:r>
          </w:p>
          <w:p w14:paraId="6298544F" w14:textId="6DD15FCB" w:rsidR="008A3EAC" w:rsidRDefault="008A3EAC" w:rsidP="00440A8C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 xml:space="preserve">0.4 mg/kg </w:t>
            </w:r>
            <w:proofErr w:type="spellStart"/>
            <w:r>
              <w:t>bw</w:t>
            </w:r>
            <w:proofErr w:type="spellEnd"/>
            <w:r>
              <w:t xml:space="preserve"> for rabbits; 3</w:t>
            </w:r>
            <w:r w:rsidR="00406B6D">
              <w:t xml:space="preserve"> </w:t>
            </w:r>
            <w:r>
              <w:t>wk dermal</w:t>
            </w:r>
          </w:p>
          <w:p w14:paraId="2E686251" w14:textId="612E07AE" w:rsidR="008A3EAC" w:rsidRDefault="008A3EAC" w:rsidP="00440A8C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0.16 mg/m</w:t>
            </w:r>
            <w:r w:rsidRPr="00AE7E23">
              <w:rPr>
                <w:vertAlign w:val="superscript"/>
              </w:rPr>
              <w:t>3</w:t>
            </w:r>
            <w:r>
              <w:t xml:space="preserve"> for rats;13</w:t>
            </w:r>
            <w:r w:rsidR="00406B6D">
              <w:t xml:space="preserve"> </w:t>
            </w:r>
            <w:r>
              <w:t>wk inhalation</w:t>
            </w:r>
          </w:p>
          <w:p w14:paraId="417C9D5C" w14:textId="3DE98769" w:rsidR="008A3EAC" w:rsidRDefault="008A3EAC" w:rsidP="00440A8C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 xml:space="preserve">&lt;0.04 mg/kg </w:t>
            </w:r>
            <w:proofErr w:type="spellStart"/>
            <w:r>
              <w:t>bw</w:t>
            </w:r>
            <w:proofErr w:type="spellEnd"/>
            <w:r>
              <w:t xml:space="preserve"> for rats; 2</w:t>
            </w:r>
            <w:r w:rsidR="00406B6D">
              <w:t xml:space="preserve"> </w:t>
            </w:r>
            <w:r>
              <w:t>yr oral</w:t>
            </w:r>
          </w:p>
          <w:p w14:paraId="471D5DAD" w14:textId="77777777" w:rsidR="008A3EAC" w:rsidRDefault="008A3EAC" w:rsidP="00440A8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Derives TWA from NOAEL of 0.16 mg/m</w:t>
            </w:r>
            <w:r>
              <w:rPr>
                <w:vertAlign w:val="superscript"/>
              </w:rPr>
              <w:t>3</w:t>
            </w:r>
            <w:r>
              <w:t xml:space="preserve"> and application of an assessment factor of 9 to account for intra- and interspecies variation</w:t>
            </w:r>
            <w:r w:rsidR="000C40D1">
              <w:t>; rounded to preferred numeral</w:t>
            </w:r>
            <w:r w:rsidR="00406B6D">
              <w:t>.</w:t>
            </w:r>
          </w:p>
          <w:p w14:paraId="4A7CC266" w14:textId="6408F7F5" w:rsidR="00440A8C" w:rsidRPr="00DA352E" w:rsidRDefault="00440A8C" w:rsidP="00440A8C">
            <w:pPr>
              <w:pStyle w:val="ListBullet"/>
              <w:numPr>
                <w:ilvl w:val="0"/>
                <w:numId w:val="0"/>
              </w:numPr>
              <w:spacing w:before="60" w:after="60"/>
              <w:ind w:left="714"/>
              <w:contextualSpacing w:val="0"/>
            </w:pPr>
          </w:p>
        </w:tc>
      </w:tr>
    </w:tbl>
    <w:p w14:paraId="791472AB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3"/>
        <w:gridCol w:w="661"/>
        <w:gridCol w:w="6444"/>
      </w:tblGrid>
      <w:tr w:rsidR="004966BF" w:rsidRPr="00263255" w14:paraId="39F75C8F" w14:textId="77777777" w:rsidTr="000C40D1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207FF9D7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8A08059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068CEF7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7FD8C480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3AC8EB6C" w14:textId="77777777" w:rsidTr="000C40D1">
        <w:trPr>
          <w:cantSplit/>
        </w:trPr>
        <w:tc>
          <w:tcPr>
            <w:tcW w:w="1498" w:type="dxa"/>
          </w:tcPr>
          <w:p w14:paraId="2F4D8F9F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4D8B81CE" w14:textId="7D6DF12C" w:rsidR="004966BF" w:rsidRPr="00CE617F" w:rsidRDefault="00B23B7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0C40D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BFF9AC4" w14:textId="2E8919E9" w:rsidR="004966BF" w:rsidRPr="004C23F4" w:rsidRDefault="000C40D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1987</w:t>
            </w:r>
          </w:p>
        </w:tc>
        <w:tc>
          <w:tcPr>
            <w:tcW w:w="6444" w:type="dxa"/>
          </w:tcPr>
          <w:p w14:paraId="22B29514" w14:textId="2459F56C" w:rsidR="004966BF" w:rsidRDefault="000C40D1" w:rsidP="00440A8C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LEL 0.04 mg/kg/d; 2</w:t>
            </w:r>
            <w:r w:rsidR="00406B6D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yr, rat, oral</w:t>
            </w:r>
          </w:p>
          <w:p w14:paraId="17E156BA" w14:textId="33B42F87" w:rsidR="000C40D1" w:rsidRPr="004C23F4" w:rsidRDefault="000C40D1" w:rsidP="00440A8C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>2</w:t>
            </w:r>
            <w:r w:rsidR="00406B6D">
              <w:t xml:space="preserve"> yr f</w:t>
            </w:r>
            <w:r>
              <w:t>eeding</w:t>
            </w:r>
            <w:r w:rsidR="00406B6D">
              <w:t>,</w:t>
            </w:r>
            <w:r>
              <w:t xml:space="preserve"> dog</w:t>
            </w:r>
            <w:r w:rsidR="00406B6D">
              <w:t>;</w:t>
            </w:r>
            <w:r>
              <w:t xml:space="preserve"> NOEL 0.025 mg/kg/d; LEL 0.05 mg/kg/d</w:t>
            </w:r>
          </w:p>
        </w:tc>
      </w:tr>
    </w:tbl>
    <w:bookmarkEnd w:id="1"/>
    <w:p w14:paraId="4C09503C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2A04F3C2" w14:textId="77777777" w:rsidTr="000C40D1">
        <w:trPr>
          <w:trHeight w:val="454"/>
          <w:tblHeader/>
        </w:trPr>
        <w:tc>
          <w:tcPr>
            <w:tcW w:w="6603" w:type="dxa"/>
            <w:vAlign w:val="center"/>
          </w:tcPr>
          <w:p w14:paraId="1C57DECC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20AF925" w14:textId="5CA0AA55" w:rsidR="002E0D61" w:rsidRDefault="000C40D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3F0450B3" w14:textId="77777777" w:rsidTr="000C40D1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6007D524" w14:textId="78099BA4" w:rsidR="008A36CF" w:rsidRPr="006901A2" w:rsidRDefault="000C40D1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27889D3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2BC49F1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AAB954B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11784A7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E48D1F5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7306029" w14:textId="77777777" w:rsidTr="00812887">
        <w:trPr>
          <w:cantSplit/>
        </w:trPr>
        <w:tc>
          <w:tcPr>
            <w:tcW w:w="3227" w:type="dxa"/>
          </w:tcPr>
          <w:p w14:paraId="238B50AA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2A24B52" w14:textId="6C69A1AA" w:rsidR="00687890" w:rsidRPr="00DD2F9B" w:rsidRDefault="008E2DA4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01099A0F" w14:textId="77777777" w:rsidTr="00812887">
        <w:trPr>
          <w:cantSplit/>
        </w:trPr>
        <w:tc>
          <w:tcPr>
            <w:tcW w:w="3227" w:type="dxa"/>
          </w:tcPr>
          <w:p w14:paraId="35E5B06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7AE33E4" w14:textId="4BCFCA8E" w:rsidR="007925F0" w:rsidRPr="00DD2F9B" w:rsidRDefault="008E2DA4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6BA7C055" w14:textId="77777777" w:rsidTr="00812887">
        <w:trPr>
          <w:cantSplit/>
        </w:trPr>
        <w:tc>
          <w:tcPr>
            <w:tcW w:w="3227" w:type="dxa"/>
          </w:tcPr>
          <w:p w14:paraId="6867D7F6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2D4E024" w14:textId="364E24E2" w:rsidR="00AF483F" w:rsidRPr="00DD2F9B" w:rsidRDefault="008E2DA4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188F263" w14:textId="77777777" w:rsidTr="00812887">
        <w:trPr>
          <w:cantSplit/>
        </w:trPr>
        <w:tc>
          <w:tcPr>
            <w:tcW w:w="3227" w:type="dxa"/>
          </w:tcPr>
          <w:p w14:paraId="1D8A7571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3C82D91" w14:textId="1985B800" w:rsidR="00687890" w:rsidRPr="00DD2F9B" w:rsidRDefault="008E2DA4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71955C5B" w14:textId="77777777" w:rsidTr="00812887">
        <w:trPr>
          <w:cantSplit/>
        </w:trPr>
        <w:tc>
          <w:tcPr>
            <w:tcW w:w="3227" w:type="dxa"/>
          </w:tcPr>
          <w:p w14:paraId="4DC78A38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B0E6067" w14:textId="6A0874D5" w:rsidR="00E41A26" w:rsidRPr="00DD2F9B" w:rsidRDefault="008E2DA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74F8DEF" w14:textId="77777777" w:rsidTr="00812887">
        <w:trPr>
          <w:cantSplit/>
        </w:trPr>
        <w:tc>
          <w:tcPr>
            <w:tcW w:w="3227" w:type="dxa"/>
          </w:tcPr>
          <w:p w14:paraId="0A050287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D3EA512" w14:textId="60E050ED" w:rsidR="002E0D61" w:rsidRPr="00DD2F9B" w:rsidRDefault="008E2DA4" w:rsidP="00DD2F9B">
            <w:pPr>
              <w:pStyle w:val="Tablefont"/>
            </w:pPr>
            <w:r w:rsidRPr="008E2DA4">
              <w:t>Carcinogenicity – A4</w:t>
            </w:r>
            <w:r>
              <w:t xml:space="preserve">, </w:t>
            </w:r>
            <w:r w:rsidRPr="008E2DA4">
              <w:t>Skin</w:t>
            </w:r>
          </w:p>
        </w:tc>
      </w:tr>
      <w:tr w:rsidR="002E0D61" w:rsidRPr="004C23F4" w14:paraId="3082B375" w14:textId="77777777" w:rsidTr="00812887">
        <w:trPr>
          <w:cantSplit/>
        </w:trPr>
        <w:tc>
          <w:tcPr>
            <w:tcW w:w="3227" w:type="dxa"/>
          </w:tcPr>
          <w:p w14:paraId="7205075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5F704DF" w14:textId="3F7418F4" w:rsidR="002E0D61" w:rsidRPr="00DD2F9B" w:rsidRDefault="008E2DA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F5C9943" w14:textId="77777777" w:rsidTr="00812887">
        <w:trPr>
          <w:cantSplit/>
        </w:trPr>
        <w:tc>
          <w:tcPr>
            <w:tcW w:w="3227" w:type="dxa"/>
          </w:tcPr>
          <w:p w14:paraId="212B5E2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7C8D9EA" w14:textId="4ACEF08E" w:rsidR="002E0D61" w:rsidRPr="00DD2F9B" w:rsidRDefault="008E2DA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2342A90" w14:textId="77777777" w:rsidTr="00812887">
        <w:trPr>
          <w:cantSplit/>
        </w:trPr>
        <w:tc>
          <w:tcPr>
            <w:tcW w:w="3227" w:type="dxa"/>
          </w:tcPr>
          <w:p w14:paraId="6E705C1B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78A5D8F" w14:textId="162B73FB" w:rsidR="002E0D61" w:rsidRPr="00DD2F9B" w:rsidRDefault="008E2DA4" w:rsidP="00DD2F9B">
            <w:pPr>
              <w:pStyle w:val="Tablefont"/>
            </w:pPr>
            <w:r w:rsidRPr="008E2DA4">
              <w:t>Skin</w:t>
            </w:r>
          </w:p>
        </w:tc>
      </w:tr>
      <w:tr w:rsidR="00386093" w:rsidRPr="004C23F4" w14:paraId="0B59254D" w14:textId="77777777" w:rsidTr="00812887">
        <w:trPr>
          <w:cantSplit/>
        </w:trPr>
        <w:tc>
          <w:tcPr>
            <w:tcW w:w="3227" w:type="dxa"/>
          </w:tcPr>
          <w:p w14:paraId="6651BA91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86F27DD" w14:textId="2F9BB688" w:rsidR="00386093" w:rsidRPr="00DD2F9B" w:rsidRDefault="008E2DA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5610142" w14:textId="77777777" w:rsidTr="00812887">
        <w:trPr>
          <w:cantSplit/>
        </w:trPr>
        <w:tc>
          <w:tcPr>
            <w:tcW w:w="3227" w:type="dxa"/>
          </w:tcPr>
          <w:p w14:paraId="75F8B08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6099BFD4" w14:textId="45EBEA99" w:rsidR="00386093" w:rsidRPr="00DD2F9B" w:rsidRDefault="008E2DA4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757A0143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48F61B2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822146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BA3DB54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93B759A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32" w:type="dxa"/>
              <w:tblLook w:val="04A0" w:firstRow="1" w:lastRow="0" w:firstColumn="1" w:lastColumn="0" w:noHBand="0" w:noVBand="1"/>
            </w:tblPr>
            <w:tblGrid>
              <w:gridCol w:w="3830"/>
              <w:gridCol w:w="1127"/>
              <w:gridCol w:w="1127"/>
              <w:gridCol w:w="2726"/>
            </w:tblGrid>
            <w:tr w:rsidR="000C40D1" w:rsidRPr="000C40D1" w14:paraId="4447C3AF" w14:textId="77777777" w:rsidTr="000C40D1">
              <w:trPr>
                <w:trHeight w:val="309"/>
              </w:trPr>
              <w:tc>
                <w:tcPr>
                  <w:tcW w:w="3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A8B6A9" w14:textId="77777777" w:rsidR="000C40D1" w:rsidRPr="000C40D1" w:rsidRDefault="000C40D1" w:rsidP="000C40D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F743F53" w14:textId="77777777" w:rsidR="000C40D1" w:rsidRPr="000C40D1" w:rsidRDefault="000C40D1" w:rsidP="000C40D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AE0307" w14:textId="77777777" w:rsidR="000C40D1" w:rsidRPr="000C40D1" w:rsidRDefault="000C40D1" w:rsidP="000C40D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B7265F" w14:textId="77777777" w:rsidR="000C40D1" w:rsidRPr="000C40D1" w:rsidRDefault="000C40D1" w:rsidP="000C40D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C40D1" w:rsidRPr="000C40D1" w14:paraId="209E811E" w14:textId="77777777" w:rsidTr="000C40D1">
              <w:trPr>
                <w:trHeight w:val="309"/>
              </w:trPr>
              <w:tc>
                <w:tcPr>
                  <w:tcW w:w="3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2ADAC2" w14:textId="77777777" w:rsidR="000C40D1" w:rsidRPr="000C40D1" w:rsidRDefault="000C40D1" w:rsidP="000C40D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716F135" w14:textId="77777777" w:rsidR="000C40D1" w:rsidRPr="000C40D1" w:rsidRDefault="000C40D1" w:rsidP="000C40D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3068F4" w14:textId="77777777" w:rsidR="000C40D1" w:rsidRPr="000C40D1" w:rsidRDefault="000C40D1" w:rsidP="000C40D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37254B" w14:textId="77777777" w:rsidR="000C40D1" w:rsidRPr="000C40D1" w:rsidRDefault="000C40D1" w:rsidP="000C40D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C40D1" w:rsidRPr="000C40D1" w14:paraId="43DDCB13" w14:textId="77777777" w:rsidTr="000C40D1">
              <w:trPr>
                <w:trHeight w:val="309"/>
              </w:trPr>
              <w:tc>
                <w:tcPr>
                  <w:tcW w:w="3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CC31B0" w14:textId="77777777" w:rsidR="000C40D1" w:rsidRPr="000C40D1" w:rsidRDefault="000C40D1" w:rsidP="000C40D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9B2C50" w14:textId="77777777" w:rsidR="000C40D1" w:rsidRPr="000C40D1" w:rsidRDefault="000C40D1" w:rsidP="000C40D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FFF12C" w14:textId="77777777" w:rsidR="000C40D1" w:rsidRPr="000C40D1" w:rsidRDefault="000C40D1" w:rsidP="000C40D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D40558" w14:textId="77777777" w:rsidR="000C40D1" w:rsidRPr="000C40D1" w:rsidRDefault="000C40D1" w:rsidP="000C40D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C40D1" w:rsidRPr="000C40D1" w14:paraId="023EA84B" w14:textId="77777777" w:rsidTr="000C40D1">
              <w:trPr>
                <w:trHeight w:val="309"/>
              </w:trPr>
              <w:tc>
                <w:tcPr>
                  <w:tcW w:w="3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C46408" w14:textId="77777777" w:rsidR="000C40D1" w:rsidRPr="000C40D1" w:rsidRDefault="000C40D1" w:rsidP="000C40D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3E4F5D" w14:textId="77777777" w:rsidR="000C40D1" w:rsidRPr="000C40D1" w:rsidRDefault="000C40D1" w:rsidP="000C40D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776F10" w14:textId="77777777" w:rsidR="000C40D1" w:rsidRPr="000C40D1" w:rsidRDefault="000C40D1" w:rsidP="000C40D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EC8F35" w14:textId="77777777" w:rsidR="000C40D1" w:rsidRPr="000C40D1" w:rsidRDefault="000C40D1" w:rsidP="000C40D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C40D1" w:rsidRPr="000C40D1" w14:paraId="438E7FF5" w14:textId="77777777" w:rsidTr="000C40D1">
              <w:trPr>
                <w:trHeight w:val="309"/>
              </w:trPr>
              <w:tc>
                <w:tcPr>
                  <w:tcW w:w="3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CAF606" w14:textId="77777777" w:rsidR="000C40D1" w:rsidRPr="000C40D1" w:rsidRDefault="000C40D1" w:rsidP="000C40D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4D2789" w14:textId="77777777" w:rsidR="000C40D1" w:rsidRPr="000C40D1" w:rsidRDefault="000C40D1" w:rsidP="000C40D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F29E10" w14:textId="77777777" w:rsidR="000C40D1" w:rsidRPr="000C40D1" w:rsidRDefault="000C40D1" w:rsidP="000C40D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A6D036" w14:textId="77777777" w:rsidR="000C40D1" w:rsidRPr="000C40D1" w:rsidRDefault="000C40D1" w:rsidP="000C40D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C40D1" w:rsidRPr="000C40D1" w14:paraId="19E48032" w14:textId="77777777" w:rsidTr="000C40D1">
              <w:trPr>
                <w:trHeight w:val="309"/>
              </w:trPr>
              <w:tc>
                <w:tcPr>
                  <w:tcW w:w="3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CFB9C3" w14:textId="77777777" w:rsidR="000C40D1" w:rsidRPr="000C40D1" w:rsidRDefault="000C40D1" w:rsidP="000C40D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164CEC" w14:textId="77777777" w:rsidR="000C40D1" w:rsidRPr="000C40D1" w:rsidRDefault="000C40D1" w:rsidP="000C40D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91E6D4" w14:textId="77777777" w:rsidR="000C40D1" w:rsidRPr="000C40D1" w:rsidRDefault="000C40D1" w:rsidP="000C40D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513ED6" w14:textId="77777777" w:rsidR="000C40D1" w:rsidRPr="000C40D1" w:rsidRDefault="000C40D1" w:rsidP="000C40D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C40D1" w:rsidRPr="000C40D1" w14:paraId="313EE118" w14:textId="77777777" w:rsidTr="000C40D1">
              <w:trPr>
                <w:trHeight w:val="309"/>
              </w:trPr>
              <w:tc>
                <w:tcPr>
                  <w:tcW w:w="3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16B9BB" w14:textId="77777777" w:rsidR="000C40D1" w:rsidRPr="000C40D1" w:rsidRDefault="000C40D1" w:rsidP="000C40D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E02448" w14:textId="77777777" w:rsidR="000C40D1" w:rsidRPr="000C40D1" w:rsidRDefault="000C40D1" w:rsidP="000C40D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DCC6FB" w14:textId="77777777" w:rsidR="000C40D1" w:rsidRPr="000C40D1" w:rsidRDefault="000C40D1" w:rsidP="000C40D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CA6985" w14:textId="77777777" w:rsidR="000C40D1" w:rsidRPr="000C40D1" w:rsidRDefault="000C40D1" w:rsidP="000C40D1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C40D1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1E75D364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691B595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5EACD38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93FCBAD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F75A0F5" w14:textId="75726353" w:rsidR="00EB3D1B" w:rsidRDefault="008E2DA4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273C046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30F5BB4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4822196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F4F517B" w14:textId="67F650ED" w:rsidR="001B79E5" w:rsidRDefault="008E2DA4" w:rsidP="001B79E5">
                <w:pPr>
                  <w:pStyle w:val="Tablefont"/>
                </w:pPr>
                <w:r>
                  <w:t>274.38</w:t>
                </w:r>
              </w:p>
            </w:tc>
          </w:sdtContent>
        </w:sdt>
      </w:tr>
      <w:tr w:rsidR="00A31D99" w:rsidRPr="004C23F4" w14:paraId="243096D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E1EFD64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5EBDAAA" w14:textId="5EA0AD1A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8E2DA4">
                  <w:t>11.22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8E2DA4">
                  <w:t>0.089</w:t>
                </w:r>
              </w:sdtContent>
            </w:sdt>
            <w:r w:rsidRPr="008E2DA4">
              <w:t xml:space="preserve"> </w:t>
            </w:r>
            <w:r>
              <w:t>ppm</w:t>
            </w:r>
          </w:p>
        </w:tc>
      </w:tr>
      <w:tr w:rsidR="00687890" w:rsidRPr="004C23F4" w14:paraId="332A6E4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7173282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FF989DB" w14:textId="49271459" w:rsidR="00687890" w:rsidRPr="004C23F4" w:rsidRDefault="00AE7E23" w:rsidP="00717D45">
                <w:pPr>
                  <w:pStyle w:val="Tablefont"/>
                </w:pPr>
                <w:r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p>
            </w:tc>
          </w:sdtContent>
        </w:sdt>
      </w:tr>
      <w:tr w:rsidR="00687890" w:rsidRPr="004C23F4" w14:paraId="0D8A57FE" w14:textId="77777777" w:rsidTr="00EA6243">
        <w:trPr>
          <w:cantSplit/>
        </w:trPr>
        <w:tc>
          <w:tcPr>
            <w:tcW w:w="4077" w:type="dxa"/>
            <w:vAlign w:val="center"/>
          </w:tcPr>
          <w:p w14:paraId="7DD64E58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1888606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0502E15" w14:textId="77777777" w:rsidTr="00EA6243">
        <w:trPr>
          <w:cantSplit/>
        </w:trPr>
        <w:tc>
          <w:tcPr>
            <w:tcW w:w="4077" w:type="dxa"/>
            <w:vAlign w:val="center"/>
          </w:tcPr>
          <w:p w14:paraId="0F5E6D83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9C03F2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2802953" w14:textId="77777777" w:rsidTr="00EA6243">
        <w:trPr>
          <w:cantSplit/>
        </w:trPr>
        <w:tc>
          <w:tcPr>
            <w:tcW w:w="4077" w:type="dxa"/>
            <w:vAlign w:val="center"/>
          </w:tcPr>
          <w:p w14:paraId="7F04CD4B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644A523" w14:textId="27E7621C" w:rsidR="00E06F40" w:rsidRPr="00A006A0" w:rsidRDefault="00B23B7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7E23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9BE2780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5254249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EFE24E1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6D99B3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36EEFC2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16CBD2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3A1DB82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1F09DBF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6E09209" w14:textId="5E85FAF1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4F8C86A" w14:textId="520499AC" w:rsidR="008E2DA4" w:rsidRDefault="008E2DA4" w:rsidP="00084859">
      <w:r>
        <w:t xml:space="preserve">Health Council of the Netherlands (HCOTN) (2003) </w:t>
      </w:r>
      <w:proofErr w:type="spellStart"/>
      <w:r w:rsidRPr="008E2DA4">
        <w:t>Disulfoton</w:t>
      </w:r>
      <w:proofErr w:type="spellEnd"/>
      <w:r>
        <w:t xml:space="preserve">. Health-based calculated occupational cancer risk values. The Hague: Health Council of the Netherlands; publication no. </w:t>
      </w:r>
      <w:r w:rsidRPr="008E2DA4">
        <w:t>2000/15OSH/071</w:t>
      </w:r>
      <w:r>
        <w:t>.</w:t>
      </w:r>
    </w:p>
    <w:p w14:paraId="049F3E12" w14:textId="19B302FA" w:rsidR="00AE7E23" w:rsidRDefault="00AE7E23" w:rsidP="00AE7E23">
      <w:r>
        <w:t xml:space="preserve">US Environmental Protection Authority (US EPA) (1987)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</w:t>
      </w:r>
      <w:proofErr w:type="spellStart"/>
      <w:r>
        <w:t>Disulfoton</w:t>
      </w:r>
      <w:proofErr w:type="spellEnd"/>
      <w:r>
        <w:t xml:space="preserve">. </w:t>
      </w:r>
    </w:p>
    <w:p w14:paraId="158836C0" w14:textId="77777777" w:rsidR="00AE7E23" w:rsidRPr="00351FE0" w:rsidRDefault="00AE7E23" w:rsidP="00084859"/>
    <w:sectPr w:rsidR="00AE7E23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4E3BC9" w16cid:durableId="216C0E74"/>
  <w16cid:commentId w16cid:paraId="6E0D3513" w16cid:durableId="216C17FF"/>
  <w16cid:commentId w16cid:paraId="77BE20C6" w16cid:durableId="216C111C"/>
  <w16cid:commentId w16cid:paraId="1CB4B227" w16cid:durableId="216C1A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E48AD" w14:textId="77777777" w:rsidR="002B0FDA" w:rsidRDefault="002B0FDA" w:rsidP="00F43AD5">
      <w:pPr>
        <w:spacing w:after="0" w:line="240" w:lineRule="auto"/>
      </w:pPr>
      <w:r>
        <w:separator/>
      </w:r>
    </w:p>
  </w:endnote>
  <w:endnote w:type="continuationSeparator" w:id="0">
    <w:p w14:paraId="0BF619A5" w14:textId="77777777" w:rsidR="002B0FDA" w:rsidRDefault="002B0FDA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4A4A4" w14:textId="77777777" w:rsidR="004869D7" w:rsidRDefault="00486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1C11EA2" w14:textId="6FFDF2BF" w:rsidR="008A36CF" w:rsidRDefault="000D49BE" w:rsidP="0034744C">
        <w:pPr>
          <w:pStyle w:val="Footer"/>
          <w:rPr>
            <w:sz w:val="18"/>
            <w:szCs w:val="18"/>
          </w:rPr>
        </w:pPr>
        <w:proofErr w:type="spellStart"/>
        <w:r w:rsidRPr="000D49BE">
          <w:rPr>
            <w:b/>
            <w:sz w:val="18"/>
            <w:szCs w:val="18"/>
          </w:rPr>
          <w:t>Disulfoton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0D49BE">
          <w:rPr>
            <w:b/>
            <w:sz w:val="18"/>
            <w:szCs w:val="18"/>
          </w:rPr>
          <w:t>298-04-4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28C0F8AE" w14:textId="0BCCF40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B23B78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06F06" w14:textId="77777777" w:rsidR="004869D7" w:rsidRDefault="00486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2557F" w14:textId="77777777" w:rsidR="002B0FDA" w:rsidRDefault="002B0FDA" w:rsidP="00F43AD5">
      <w:pPr>
        <w:spacing w:after="0" w:line="240" w:lineRule="auto"/>
      </w:pPr>
      <w:r>
        <w:separator/>
      </w:r>
    </w:p>
  </w:footnote>
  <w:footnote w:type="continuationSeparator" w:id="0">
    <w:p w14:paraId="407BF971" w14:textId="77777777" w:rsidR="002B0FDA" w:rsidRDefault="002B0FDA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D9F0" w14:textId="57F1475A" w:rsidR="004869D7" w:rsidRDefault="00B23B78">
    <w:pPr>
      <w:pStyle w:val="Header"/>
    </w:pPr>
    <w:r>
      <w:rPr>
        <w:noProof/>
      </w:rPr>
      <w:pict w14:anchorId="28296A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835579" o:spid="_x0000_s1843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20DEB" w14:textId="56492743" w:rsidR="008A36CF" w:rsidRDefault="00B23B78" w:rsidP="00F43AD5">
    <w:pPr>
      <w:pStyle w:val="Header"/>
      <w:jc w:val="right"/>
    </w:pPr>
    <w:r>
      <w:rPr>
        <w:noProof/>
      </w:rPr>
      <w:pict w14:anchorId="305F62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835580" o:spid="_x0000_s1843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4EBF5" w14:textId="56146E0B" w:rsidR="004869D7" w:rsidRDefault="00B23B78">
    <w:pPr>
      <w:pStyle w:val="Header"/>
    </w:pPr>
    <w:r>
      <w:rPr>
        <w:noProof/>
      </w:rPr>
      <w:pict w14:anchorId="0AB17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835578" o:spid="_x0000_s1843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1DDB3" w14:textId="1EB9CA9D" w:rsidR="004C3241" w:rsidRDefault="00B23B78">
    <w:pPr>
      <w:pStyle w:val="Header"/>
    </w:pPr>
    <w:r>
      <w:rPr>
        <w:noProof/>
      </w:rPr>
      <w:pict w14:anchorId="793FC6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835582" o:spid="_x0000_s1843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A515" w14:textId="40AA33DE" w:rsidR="008A36CF" w:rsidRDefault="00B23B78" w:rsidP="00F43AD5">
    <w:pPr>
      <w:pStyle w:val="Header"/>
      <w:jc w:val="right"/>
    </w:pPr>
    <w:r>
      <w:rPr>
        <w:noProof/>
      </w:rPr>
      <w:pict w14:anchorId="08EE7F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835583" o:spid="_x0000_s1843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63BED" w14:textId="3876AAA5" w:rsidR="004C3241" w:rsidRDefault="00B23B78">
    <w:pPr>
      <w:pStyle w:val="Header"/>
    </w:pPr>
    <w:r>
      <w:rPr>
        <w:noProof/>
      </w:rPr>
      <w:pict w14:anchorId="4BC750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835581" o:spid="_x0000_s1843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8CAA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F010D1"/>
    <w:multiLevelType w:val="hybridMultilevel"/>
    <w:tmpl w:val="B2502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10B10"/>
    <w:multiLevelType w:val="hybridMultilevel"/>
    <w:tmpl w:val="3B08F2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18439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A3E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C40D1"/>
    <w:rsid w:val="000D291C"/>
    <w:rsid w:val="000D49BE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3F14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0E7D"/>
    <w:rsid w:val="001D56F0"/>
    <w:rsid w:val="001D663B"/>
    <w:rsid w:val="001D7B41"/>
    <w:rsid w:val="001E46DA"/>
    <w:rsid w:val="001E7D80"/>
    <w:rsid w:val="001E7FE5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669B"/>
    <w:rsid w:val="00277B0C"/>
    <w:rsid w:val="002B0FDA"/>
    <w:rsid w:val="002B1A2C"/>
    <w:rsid w:val="002C34F2"/>
    <w:rsid w:val="002C58FF"/>
    <w:rsid w:val="002C7AFE"/>
    <w:rsid w:val="002D05D2"/>
    <w:rsid w:val="002E0D61"/>
    <w:rsid w:val="002E2271"/>
    <w:rsid w:val="002E4C7B"/>
    <w:rsid w:val="0030740C"/>
    <w:rsid w:val="00315833"/>
    <w:rsid w:val="003215EE"/>
    <w:rsid w:val="003224BF"/>
    <w:rsid w:val="003241A8"/>
    <w:rsid w:val="003253F0"/>
    <w:rsid w:val="0033045C"/>
    <w:rsid w:val="003337DA"/>
    <w:rsid w:val="00334EFB"/>
    <w:rsid w:val="00335CDE"/>
    <w:rsid w:val="003365A5"/>
    <w:rsid w:val="003440E1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2629"/>
    <w:rsid w:val="003E51FB"/>
    <w:rsid w:val="003E6B39"/>
    <w:rsid w:val="003F07E1"/>
    <w:rsid w:val="004030BC"/>
    <w:rsid w:val="00403F7D"/>
    <w:rsid w:val="00406785"/>
    <w:rsid w:val="00406B6D"/>
    <w:rsid w:val="004079B4"/>
    <w:rsid w:val="0041774F"/>
    <w:rsid w:val="00417A56"/>
    <w:rsid w:val="00420957"/>
    <w:rsid w:val="00422A10"/>
    <w:rsid w:val="00430179"/>
    <w:rsid w:val="00437FDE"/>
    <w:rsid w:val="00440A8C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69D7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241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6429D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22C4"/>
    <w:rsid w:val="006363A8"/>
    <w:rsid w:val="00636DB7"/>
    <w:rsid w:val="00650905"/>
    <w:rsid w:val="00651D19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6F3C20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C739E"/>
    <w:rsid w:val="007E0381"/>
    <w:rsid w:val="007E063C"/>
    <w:rsid w:val="007E2A4B"/>
    <w:rsid w:val="007E307D"/>
    <w:rsid w:val="007E69A7"/>
    <w:rsid w:val="007E6A4E"/>
    <w:rsid w:val="007E6C94"/>
    <w:rsid w:val="007F1005"/>
    <w:rsid w:val="007F25E0"/>
    <w:rsid w:val="007F3B3F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04E4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A3EAC"/>
    <w:rsid w:val="008B403C"/>
    <w:rsid w:val="008B7983"/>
    <w:rsid w:val="008C2511"/>
    <w:rsid w:val="008D026D"/>
    <w:rsid w:val="008D23AB"/>
    <w:rsid w:val="008D4B8B"/>
    <w:rsid w:val="008D5A78"/>
    <w:rsid w:val="008E2DA4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52E1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1E5B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2F85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35E07"/>
    <w:rsid w:val="00A402A3"/>
    <w:rsid w:val="00A40730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E7E23"/>
    <w:rsid w:val="00AF0293"/>
    <w:rsid w:val="00AF42CB"/>
    <w:rsid w:val="00AF483F"/>
    <w:rsid w:val="00AF5E07"/>
    <w:rsid w:val="00AF5F06"/>
    <w:rsid w:val="00B00A25"/>
    <w:rsid w:val="00B1422A"/>
    <w:rsid w:val="00B1765C"/>
    <w:rsid w:val="00B213C4"/>
    <w:rsid w:val="00B23B78"/>
    <w:rsid w:val="00B40C60"/>
    <w:rsid w:val="00B479A9"/>
    <w:rsid w:val="00B52EDF"/>
    <w:rsid w:val="00B71188"/>
    <w:rsid w:val="00B75F15"/>
    <w:rsid w:val="00B76A41"/>
    <w:rsid w:val="00B87BE7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339BD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BE6"/>
    <w:rsid w:val="00D91CB9"/>
    <w:rsid w:val="00D97989"/>
    <w:rsid w:val="00D97D8D"/>
    <w:rsid w:val="00DA352E"/>
    <w:rsid w:val="00DC7694"/>
    <w:rsid w:val="00DD1BF6"/>
    <w:rsid w:val="00DD2F9B"/>
    <w:rsid w:val="00DE0B0C"/>
    <w:rsid w:val="00DE2513"/>
    <w:rsid w:val="00DE26E8"/>
    <w:rsid w:val="00DF6F36"/>
    <w:rsid w:val="00E0084C"/>
    <w:rsid w:val="00E025AB"/>
    <w:rsid w:val="00E02B23"/>
    <w:rsid w:val="00E05F59"/>
    <w:rsid w:val="00E06F40"/>
    <w:rsid w:val="00E07CE8"/>
    <w:rsid w:val="00E133E3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46873"/>
    <w:rsid w:val="00F56DD0"/>
    <w:rsid w:val="00F6491C"/>
    <w:rsid w:val="00F67BBB"/>
    <w:rsid w:val="00F73763"/>
    <w:rsid w:val="00F87D92"/>
    <w:rsid w:val="00F90AA7"/>
    <w:rsid w:val="00F92498"/>
    <w:rsid w:val="00F9496B"/>
    <w:rsid w:val="00F970C9"/>
    <w:rsid w:val="00FA06A8"/>
    <w:rsid w:val="00FA3DF5"/>
    <w:rsid w:val="00FA4896"/>
    <w:rsid w:val="00FA741F"/>
    <w:rsid w:val="00FB4E07"/>
    <w:rsid w:val="00FB755A"/>
    <w:rsid w:val="00FC1341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9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6322C4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B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B0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B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3FAB1BD174649A4873E74591B1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CE2DB-0016-4861-B4D0-B13895A59B78}"/>
      </w:docPartPr>
      <w:docPartBody>
        <w:p w:rsidR="00BC5B4B" w:rsidRDefault="00F86D17" w:rsidP="00F86D17">
          <w:pPr>
            <w:pStyle w:val="71A3FAB1BD174649A4873E74591B1964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BC5B4B"/>
    <w:rsid w:val="00C4503B"/>
    <w:rsid w:val="00CA66A0"/>
    <w:rsid w:val="00D21A9F"/>
    <w:rsid w:val="00EB6F35"/>
    <w:rsid w:val="00F8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D17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2896D3C357954989A2491C9943B1C51D">
    <w:name w:val="2896D3C357954989A2491C9943B1C51D"/>
    <w:rsid w:val="00EB6F35"/>
  </w:style>
  <w:style w:type="paragraph" w:customStyle="1" w:styleId="ECC359D343A14EC09F69A99DB0BD1DF4">
    <w:name w:val="ECC359D343A14EC09F69A99DB0BD1DF4"/>
    <w:rsid w:val="00EB6F35"/>
  </w:style>
  <w:style w:type="paragraph" w:customStyle="1" w:styleId="141CF791EE274F83AA2FB821303A9F8C">
    <w:name w:val="141CF791EE274F83AA2FB821303A9F8C"/>
    <w:rsid w:val="00EB6F35"/>
  </w:style>
  <w:style w:type="paragraph" w:customStyle="1" w:styleId="71A3FAB1BD174649A4873E74591B1964">
    <w:name w:val="71A3FAB1BD174649A4873E74591B1964"/>
    <w:rsid w:val="00F86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3FBC-387B-4CFD-8893-C43069D9E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A342B-0C0B-4DF8-A5A6-56219A7B576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C920B0-8959-445A-97EB-9A2D0A232B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25E05-7E73-4E3C-BA0F-94CDFE09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D46AE55A.dotm</Template>
  <TotalTime>0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2019-11-08T03:21:00Z</dcterms:created>
  <dcterms:modified xsi:type="dcterms:W3CDTF">2019-11-22T01:16:00Z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