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BBF9C72" w14:textId="75271808" w:rsidR="00BD499F" w:rsidRPr="004C23F4" w:rsidRDefault="00277E81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lang w:val="en-US"/>
            </w:rPr>
            <w:t>Enflurane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4"/>
        <w:gridCol w:w="5042"/>
      </w:tblGrid>
      <w:tr w:rsidR="00F43AD5" w:rsidRPr="004C23F4" w14:paraId="0024B95E" w14:textId="77777777" w:rsidTr="00935DF8">
        <w:trPr>
          <w:cantSplit/>
          <w:tblHeader/>
        </w:trPr>
        <w:tc>
          <w:tcPr>
            <w:tcW w:w="3984" w:type="dxa"/>
          </w:tcPr>
          <w:p w14:paraId="70E185B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2" w:type="dxa"/>
          </w:tcPr>
          <w:p w14:paraId="16D4E368" w14:textId="2DDE368E" w:rsidR="00F43AD5" w:rsidRPr="00717D45" w:rsidRDefault="008E540D" w:rsidP="00B76A41">
            <w:pPr>
              <w:pStyle w:val="Tablefont"/>
            </w:pPr>
            <w:r w:rsidRPr="008E540D">
              <w:t>13838-16-9</w:t>
            </w:r>
          </w:p>
        </w:tc>
      </w:tr>
      <w:tr w:rsidR="00F43AD5" w:rsidRPr="004C23F4" w14:paraId="6C11C89E" w14:textId="77777777" w:rsidTr="00935DF8">
        <w:trPr>
          <w:cantSplit/>
        </w:trPr>
        <w:tc>
          <w:tcPr>
            <w:tcW w:w="3984" w:type="dxa"/>
          </w:tcPr>
          <w:p w14:paraId="1BE8018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2" w:type="dxa"/>
          </w:tcPr>
          <w:p w14:paraId="2E902CC2" w14:textId="3FDD9A4A" w:rsidR="00F43AD5" w:rsidRPr="00717D45" w:rsidRDefault="008E540D" w:rsidP="00B76A41">
            <w:pPr>
              <w:pStyle w:val="Tablefont"/>
            </w:pPr>
            <w:r w:rsidRPr="008E540D">
              <w:t xml:space="preserve">2-Chloro-1,1,2-trifluoroethyl </w:t>
            </w:r>
            <w:proofErr w:type="spellStart"/>
            <w:r w:rsidRPr="008E540D">
              <w:t>difluoromethyl</w:t>
            </w:r>
            <w:proofErr w:type="spellEnd"/>
            <w:r w:rsidRPr="008E540D">
              <w:t xml:space="preserve"> ether</w:t>
            </w:r>
            <w:r>
              <w:t xml:space="preserve">, </w:t>
            </w:r>
            <w:proofErr w:type="spellStart"/>
            <w:r>
              <w:t>Ethrane</w:t>
            </w:r>
            <w:proofErr w:type="spellEnd"/>
          </w:p>
        </w:tc>
      </w:tr>
      <w:tr w:rsidR="00F43AD5" w:rsidRPr="004C23F4" w14:paraId="43B36749" w14:textId="77777777" w:rsidTr="00935DF8">
        <w:trPr>
          <w:cantSplit/>
        </w:trPr>
        <w:tc>
          <w:tcPr>
            <w:tcW w:w="3984" w:type="dxa"/>
          </w:tcPr>
          <w:p w14:paraId="014A53C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2" w:type="dxa"/>
          </w:tcPr>
          <w:p w14:paraId="1B7DC9CC" w14:textId="498D1B52" w:rsidR="00F43AD5" w:rsidRPr="00717D45" w:rsidRDefault="008E540D" w:rsidP="00B76A41">
            <w:pPr>
              <w:pStyle w:val="Tablefont"/>
            </w:pPr>
            <w:r>
              <w:t>C</w:t>
            </w:r>
            <w:r w:rsidRPr="008E540D">
              <w:rPr>
                <w:vertAlign w:val="subscript"/>
              </w:rPr>
              <w:t>3</w:t>
            </w:r>
            <w:r>
              <w:t>H</w:t>
            </w:r>
            <w:r w:rsidRPr="008E540D">
              <w:rPr>
                <w:vertAlign w:val="subscript"/>
              </w:rPr>
              <w:t>2</w:t>
            </w:r>
            <w:r>
              <w:t>ClF</w:t>
            </w:r>
            <w:r w:rsidRPr="008E540D">
              <w:rPr>
                <w:vertAlign w:val="subscript"/>
              </w:rPr>
              <w:t>5</w:t>
            </w:r>
            <w:r>
              <w:t>O</w:t>
            </w:r>
          </w:p>
        </w:tc>
      </w:tr>
    </w:tbl>
    <w:p w14:paraId="127E0FA2" w14:textId="5079816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77E81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D8DF4A0" w14:textId="77777777" w:rsidTr="00175ABE">
        <w:trPr>
          <w:cantSplit/>
          <w:tblHeader/>
        </w:trPr>
        <w:tc>
          <w:tcPr>
            <w:tcW w:w="4005" w:type="dxa"/>
            <w:vAlign w:val="center"/>
          </w:tcPr>
          <w:p w14:paraId="092A6E2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BD09FC4" w14:textId="29723AE0" w:rsidR="002C7AFE" w:rsidRPr="00EB3D1B" w:rsidRDefault="00277E81" w:rsidP="00017C82">
            <w:pPr>
              <w:pStyle w:val="Tablefont"/>
              <w:rPr>
                <w:b/>
              </w:rPr>
            </w:pPr>
            <w:r w:rsidRPr="00277E81">
              <w:rPr>
                <w:b/>
              </w:rPr>
              <w:t>20 ppm (150 mg/m</w:t>
            </w:r>
            <w:r w:rsidRPr="00277E81">
              <w:rPr>
                <w:b/>
                <w:vertAlign w:val="superscript"/>
              </w:rPr>
              <w:t>3</w:t>
            </w:r>
            <w:r w:rsidRPr="00277E81">
              <w:rPr>
                <w:b/>
              </w:rPr>
              <w:t>)</w:t>
            </w:r>
          </w:p>
        </w:tc>
      </w:tr>
      <w:tr w:rsidR="002C7AFE" w:rsidRPr="004C23F4" w14:paraId="4169BBBE" w14:textId="77777777" w:rsidTr="00175ABE">
        <w:trPr>
          <w:cantSplit/>
        </w:trPr>
        <w:tc>
          <w:tcPr>
            <w:tcW w:w="4005" w:type="dxa"/>
            <w:vAlign w:val="center"/>
          </w:tcPr>
          <w:p w14:paraId="59EE707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B5D9D56" w14:textId="7B05C293" w:rsidR="002C7AFE" w:rsidRPr="00EB3D1B" w:rsidRDefault="00277E81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382A4608" w14:textId="77777777" w:rsidTr="00175ABE">
        <w:trPr>
          <w:cantSplit/>
        </w:trPr>
        <w:tc>
          <w:tcPr>
            <w:tcW w:w="4005" w:type="dxa"/>
            <w:vAlign w:val="center"/>
          </w:tcPr>
          <w:p w14:paraId="1054372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09D47F74" w14:textId="02304A46" w:rsidR="002C7AFE" w:rsidRPr="00EB3D1B" w:rsidRDefault="00277E81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4BD1DAFB" w14:textId="77777777" w:rsidTr="00175ABE">
        <w:trPr>
          <w:cantSplit/>
        </w:trPr>
        <w:tc>
          <w:tcPr>
            <w:tcW w:w="4005" w:type="dxa"/>
          </w:tcPr>
          <w:p w14:paraId="48CD5FEC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09E5B15C" w14:textId="3A6F895E" w:rsidR="002C7AFE" w:rsidRPr="00EB3D1B" w:rsidRDefault="00277E81" w:rsidP="008A36CF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578B4B52" w14:textId="77777777" w:rsidTr="00175ABE">
        <w:trPr>
          <w:cantSplit/>
        </w:trPr>
        <w:tc>
          <w:tcPr>
            <w:tcW w:w="4005" w:type="dxa"/>
            <w:vAlign w:val="center"/>
          </w:tcPr>
          <w:p w14:paraId="4CCAB0BD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6EB2F89" w14:textId="4A8A352E" w:rsidR="002C7AFE" w:rsidRPr="00EB3D1B" w:rsidRDefault="008E540D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175ABE" w:rsidRPr="004C23F4" w14:paraId="5253C2EC" w14:textId="77777777" w:rsidTr="003E654C">
        <w:trPr>
          <w:cantSplit/>
        </w:trPr>
        <w:tc>
          <w:tcPr>
            <w:tcW w:w="9026" w:type="dxa"/>
            <w:gridSpan w:val="2"/>
            <w:vAlign w:val="center"/>
          </w:tcPr>
          <w:p w14:paraId="3A405D9A" w14:textId="5F69C5D7" w:rsidR="00175ABE" w:rsidRPr="00EB3D1B" w:rsidRDefault="00175ABE" w:rsidP="00017C82">
            <w:pPr>
              <w:pStyle w:val="Tablefont"/>
              <w:rPr>
                <w:b/>
              </w:rPr>
            </w:pPr>
            <w:r w:rsidRPr="00B409AC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39AF42DBE745B581BE6221783D8470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B409AC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269B9B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E62287F" w14:textId="05272919" w:rsidR="00277E81" w:rsidRDefault="00277E81" w:rsidP="003365A5">
      <w:pPr>
        <w:pStyle w:val="Heading2"/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</w:pP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A TWA of 20 ppm (150 mg/m</w:t>
      </w: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vertAlign w:val="superscript"/>
          <w:lang w:eastAsia="en-US"/>
        </w:rPr>
        <w:t>3</w:t>
      </w: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)</w:t>
      </w:r>
      <w:r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 </w:t>
      </w: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is recommended to protect for </w:t>
      </w:r>
      <w:r w:rsidR="003D0560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liver</w:t>
      </w:r>
      <w:r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, </w:t>
      </w: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central nervous system (CNS) and cardiovascular system effects in exposed work</w:t>
      </w:r>
      <w:r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>ers</w:t>
      </w:r>
      <w:r w:rsidRPr="00277E81">
        <w:rPr>
          <w:rFonts w:eastAsiaTheme="minorHAnsi"/>
          <w:b w:val="0"/>
          <w:bCs w:val="0"/>
          <w:iCs w:val="0"/>
          <w:color w:val="auto"/>
          <w:sz w:val="20"/>
          <w:szCs w:val="22"/>
          <w:lang w:eastAsia="en-US"/>
        </w:rPr>
        <w:t xml:space="preserve">. </w:t>
      </w:r>
    </w:p>
    <w:p w14:paraId="02929674" w14:textId="3528EEE9" w:rsidR="00C7155E" w:rsidRPr="004C23F4" w:rsidRDefault="00F10C97" w:rsidP="003365A5">
      <w:pPr>
        <w:pStyle w:val="Heading2"/>
      </w:pPr>
      <w:r>
        <w:t>Discussion and conclusions</w:t>
      </w:r>
    </w:p>
    <w:p w14:paraId="1EE626E0" w14:textId="77777777" w:rsidR="00EF7CF5" w:rsidRDefault="00277E81" w:rsidP="00277E81">
      <w:pPr>
        <w:rPr>
          <w:rFonts w:cs="Arial"/>
        </w:rPr>
      </w:pPr>
      <w:proofErr w:type="spellStart"/>
      <w:r w:rsidRPr="00277E81">
        <w:rPr>
          <w:rFonts w:cs="Arial"/>
        </w:rPr>
        <w:t>Enflurane</w:t>
      </w:r>
      <w:proofErr w:type="spellEnd"/>
      <w:r w:rsidRPr="00277E81">
        <w:rPr>
          <w:rFonts w:cs="Arial"/>
        </w:rPr>
        <w:t xml:space="preserve"> </w:t>
      </w:r>
      <w:r w:rsidRPr="005C1A3F">
        <w:rPr>
          <w:rFonts w:cs="Arial"/>
        </w:rPr>
        <w:t xml:space="preserve">is commonly </w:t>
      </w:r>
      <w:r w:rsidRPr="00277E81">
        <w:rPr>
          <w:rFonts w:cs="Arial"/>
        </w:rPr>
        <w:t xml:space="preserve">used as an anaesthetic. </w:t>
      </w:r>
    </w:p>
    <w:p w14:paraId="276823E2" w14:textId="1E6D9E4E" w:rsidR="00124651" w:rsidRDefault="00277E81" w:rsidP="00277E81">
      <w:pPr>
        <w:rPr>
          <w:rFonts w:cs="Arial"/>
        </w:rPr>
      </w:pPr>
      <w:r>
        <w:rPr>
          <w:rFonts w:cs="Arial"/>
        </w:rPr>
        <w:t xml:space="preserve">Data from humans and animal studies indicate that </w:t>
      </w:r>
      <w:proofErr w:type="spellStart"/>
      <w:r w:rsidR="003D0560">
        <w:rPr>
          <w:rFonts w:cs="Arial"/>
        </w:rPr>
        <w:t>e</w:t>
      </w:r>
      <w:r w:rsidRPr="00277E81">
        <w:rPr>
          <w:rFonts w:cs="Arial"/>
        </w:rPr>
        <w:t>nflurane</w:t>
      </w:r>
      <w:proofErr w:type="spellEnd"/>
      <w:r w:rsidRPr="00277E81">
        <w:rPr>
          <w:rFonts w:cs="Arial"/>
        </w:rPr>
        <w:t xml:space="preserve"> </w:t>
      </w:r>
      <w:r>
        <w:rPr>
          <w:rFonts w:cs="Arial"/>
        </w:rPr>
        <w:t>has low acute, chronic and inhalation toxicity (DFG, 1998)</w:t>
      </w:r>
      <w:r w:rsidR="00124651">
        <w:rPr>
          <w:rFonts w:cs="Arial"/>
        </w:rPr>
        <w:t>.</w:t>
      </w:r>
      <w:r w:rsidR="00EF7CF5">
        <w:rPr>
          <w:rFonts w:cs="Arial"/>
        </w:rPr>
        <w:t xml:space="preserve"> </w:t>
      </w:r>
      <w:r w:rsidR="00EB6F2E">
        <w:rPr>
          <w:rFonts w:cs="Arial"/>
          <w:color w:val="1C1D1E"/>
          <w:shd w:val="clear" w:color="auto" w:fill="FFFFFF"/>
        </w:rPr>
        <w:t>No hepato</w:t>
      </w:r>
      <w:r w:rsidR="00FD162D">
        <w:rPr>
          <w:rFonts w:cs="Arial"/>
          <w:color w:val="1C1D1E"/>
          <w:shd w:val="clear" w:color="auto" w:fill="FFFFFF"/>
        </w:rPr>
        <w:t>to</w:t>
      </w:r>
      <w:r w:rsidR="00EB6F2E">
        <w:rPr>
          <w:rFonts w:cs="Arial"/>
          <w:color w:val="1C1D1E"/>
          <w:shd w:val="clear" w:color="auto" w:fill="FFFFFF"/>
        </w:rPr>
        <w:t>xic effects</w:t>
      </w:r>
      <w:r w:rsidR="003D0560">
        <w:rPr>
          <w:rFonts w:cs="Arial"/>
          <w:color w:val="1C1D1E"/>
          <w:shd w:val="clear" w:color="auto" w:fill="FFFFFF"/>
        </w:rPr>
        <w:t xml:space="preserve"> are reported</w:t>
      </w:r>
      <w:r w:rsidR="00EB6F2E">
        <w:rPr>
          <w:rFonts w:cs="Arial"/>
          <w:color w:val="1C1D1E"/>
          <w:shd w:val="clear" w:color="auto" w:fill="FFFFFF"/>
        </w:rPr>
        <w:t xml:space="preserve"> in operating theatre personnel exposed at 20 ppm (DFG, 1998).</w:t>
      </w:r>
      <w:r w:rsidR="005469FC" w:rsidRPr="00277E81">
        <w:rPr>
          <w:rFonts w:cs="Arial"/>
        </w:rPr>
        <w:t xml:space="preserve"> </w:t>
      </w:r>
      <w:r w:rsidR="00EB6F2E">
        <w:rPr>
          <w:rFonts w:cs="Arial"/>
        </w:rPr>
        <w:t xml:space="preserve">An acute behavioural effect study </w:t>
      </w:r>
      <w:r w:rsidR="003D0560">
        <w:rPr>
          <w:rFonts w:cs="Arial"/>
        </w:rPr>
        <w:t>report</w:t>
      </w:r>
      <w:r w:rsidR="00EB6F2E">
        <w:rPr>
          <w:rFonts w:cs="Arial"/>
        </w:rPr>
        <w:t>ed a LOAE</w:t>
      </w:r>
      <w:r w:rsidR="008E5FAD">
        <w:rPr>
          <w:rFonts w:cs="Arial"/>
        </w:rPr>
        <w:t>C</w:t>
      </w:r>
      <w:r w:rsidR="00EB6F2E">
        <w:rPr>
          <w:rFonts w:cs="Arial"/>
        </w:rPr>
        <w:t xml:space="preserve"> for the sedation effect at 2,000 ppm (ACGIH, 2018). </w:t>
      </w:r>
      <w:r w:rsidR="00EF7CF5">
        <w:rPr>
          <w:rFonts w:cs="Arial"/>
        </w:rPr>
        <w:t>M</w:t>
      </w:r>
      <w:r w:rsidR="005469FC">
        <w:rPr>
          <w:rFonts w:cs="Arial"/>
        </w:rPr>
        <w:t xml:space="preserve">ultiple animal studies </w:t>
      </w:r>
      <w:r w:rsidR="00EF7CF5">
        <w:rPr>
          <w:rFonts w:cs="Arial"/>
        </w:rPr>
        <w:t>report</w:t>
      </w:r>
      <w:r w:rsidR="005469FC">
        <w:rPr>
          <w:rFonts w:cs="Arial"/>
        </w:rPr>
        <w:t>ed no</w:t>
      </w:r>
      <w:r w:rsidRPr="00277E81">
        <w:rPr>
          <w:rFonts w:cs="Arial"/>
        </w:rPr>
        <w:t xml:space="preserve"> adverse effects, including organ toxicity, with repeated exposure in the range</w:t>
      </w:r>
      <w:r w:rsidR="00124651">
        <w:rPr>
          <w:rFonts w:cs="Arial"/>
        </w:rPr>
        <w:t xml:space="preserve"> 20</w:t>
      </w:r>
      <w:r w:rsidR="00EF7CF5">
        <w:rPr>
          <w:rFonts w:cs="Arial"/>
        </w:rPr>
        <w:t xml:space="preserve"> to </w:t>
      </w:r>
      <w:r w:rsidR="00124651">
        <w:rPr>
          <w:rFonts w:cs="Arial"/>
        </w:rPr>
        <w:t xml:space="preserve">200 ppm (DFG, 1998). </w:t>
      </w:r>
    </w:p>
    <w:p w14:paraId="796E2CFF" w14:textId="4DCBAFA8" w:rsidR="00277E81" w:rsidRPr="004C23F4" w:rsidRDefault="00124651" w:rsidP="006639B4">
      <w:pPr>
        <w:rPr>
          <w:rFonts w:cs="Arial"/>
        </w:rPr>
      </w:pPr>
      <w:r w:rsidRPr="00124651">
        <w:rPr>
          <w:rFonts w:cs="Arial"/>
        </w:rPr>
        <w:t xml:space="preserve">Based on the </w:t>
      </w:r>
      <w:r w:rsidR="003D0560">
        <w:rPr>
          <w:rFonts w:cs="Arial"/>
        </w:rPr>
        <w:t>weight of evidence presented in human and animal studies,</w:t>
      </w:r>
      <w:r w:rsidRPr="00124651">
        <w:rPr>
          <w:rFonts w:cs="Arial"/>
        </w:rPr>
        <w:t xml:space="preserve"> </w:t>
      </w:r>
      <w:r w:rsidR="00EB6F2E">
        <w:rPr>
          <w:rFonts w:cs="Arial"/>
        </w:rPr>
        <w:t>a</w:t>
      </w:r>
      <w:r w:rsidR="00EB6F2E" w:rsidRPr="00124651">
        <w:rPr>
          <w:rFonts w:cs="Arial"/>
        </w:rPr>
        <w:t xml:space="preserve"> </w:t>
      </w:r>
      <w:r w:rsidRPr="00124651">
        <w:rPr>
          <w:rFonts w:cs="Arial"/>
        </w:rPr>
        <w:t xml:space="preserve">TWA </w:t>
      </w:r>
      <w:r w:rsidR="00EB6F2E">
        <w:rPr>
          <w:rFonts w:cs="Arial"/>
        </w:rPr>
        <w:t xml:space="preserve">of 20 ppm </w:t>
      </w:r>
      <w:r w:rsidR="003D0560">
        <w:rPr>
          <w:rFonts w:cs="Arial"/>
        </w:rPr>
        <w:t>is</w:t>
      </w:r>
      <w:r w:rsidRPr="00124651">
        <w:rPr>
          <w:rFonts w:cs="Arial"/>
        </w:rPr>
        <w:t xml:space="preserve"> </w:t>
      </w:r>
      <w:r>
        <w:rPr>
          <w:rFonts w:cs="Arial"/>
        </w:rPr>
        <w:t>recommended</w:t>
      </w:r>
      <w:r w:rsidRPr="00124651">
        <w:rPr>
          <w:rFonts w:cs="Arial"/>
        </w:rPr>
        <w:t xml:space="preserve"> and is </w:t>
      </w:r>
      <w:r w:rsidRPr="00175ABE">
        <w:rPr>
          <w:rFonts w:cs="Arial"/>
        </w:rPr>
        <w:t xml:space="preserve">considered sufficiently low to minimise the potential for </w:t>
      </w:r>
      <w:r w:rsidR="00011A75">
        <w:rPr>
          <w:bCs/>
          <w:iCs/>
        </w:rPr>
        <w:t>liver</w:t>
      </w:r>
      <w:r w:rsidRPr="00175ABE">
        <w:rPr>
          <w:bCs/>
          <w:iCs/>
        </w:rPr>
        <w:t xml:space="preserve">, </w:t>
      </w:r>
      <w:r w:rsidR="00175ABE" w:rsidRPr="00175ABE">
        <w:t>CNS</w:t>
      </w:r>
      <w:r w:rsidRPr="00175ABE">
        <w:t xml:space="preserve"> and cardiovascular system effects in exposed work</w:t>
      </w:r>
      <w:r w:rsidRPr="00175ABE">
        <w:rPr>
          <w:bCs/>
          <w:iCs/>
        </w:rPr>
        <w:t>ers</w:t>
      </w:r>
      <w:r w:rsidRPr="00175ABE">
        <w:rPr>
          <w:rFonts w:cs="Arial"/>
        </w:rPr>
        <w:t>.</w:t>
      </w:r>
    </w:p>
    <w:p w14:paraId="13B289D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A952A0D" w14:textId="7AC92944" w:rsidR="008E540D" w:rsidRPr="00A70823" w:rsidRDefault="008E540D" w:rsidP="008E540D">
      <w:pPr>
        <w:rPr>
          <w:rFonts w:cs="Arial"/>
        </w:rPr>
      </w:pPr>
      <w:r w:rsidRPr="00A70823">
        <w:rPr>
          <w:rFonts w:cs="Arial"/>
        </w:rPr>
        <w:t>Not classified as a carcinogen according to the Globally Harmonized System of</w:t>
      </w:r>
      <w:r w:rsidR="00175ABE">
        <w:rPr>
          <w:rFonts w:cs="Arial"/>
        </w:rPr>
        <w:t xml:space="preserve"> Classification and Labelling of</w:t>
      </w:r>
      <w:r w:rsidRPr="00A70823">
        <w:rPr>
          <w:rFonts w:cs="Arial"/>
        </w:rPr>
        <w:t xml:space="preserve"> Chemicals (GHS). </w:t>
      </w:r>
    </w:p>
    <w:p w14:paraId="777B33B9" w14:textId="116DBA89" w:rsidR="008E540D" w:rsidRPr="00A70823" w:rsidRDefault="008E540D" w:rsidP="008E540D">
      <w:pPr>
        <w:rPr>
          <w:rFonts w:cs="Arial"/>
        </w:rPr>
      </w:pPr>
      <w:r w:rsidRPr="00A70823">
        <w:rPr>
          <w:rFonts w:cs="Arial"/>
        </w:rPr>
        <w:t xml:space="preserve">Not classified as a skin </w:t>
      </w:r>
      <w:r w:rsidR="00175ABE" w:rsidRPr="00A70823">
        <w:rPr>
          <w:rFonts w:cs="Arial"/>
        </w:rPr>
        <w:t xml:space="preserve">sensitiser </w:t>
      </w:r>
      <w:r w:rsidRPr="00A70823">
        <w:rPr>
          <w:rFonts w:cs="Arial"/>
        </w:rPr>
        <w:t>or respiratory sensitiser according to the GHS.</w:t>
      </w:r>
    </w:p>
    <w:p w14:paraId="0FB4F01B" w14:textId="1A1EA27D" w:rsidR="0025734A" w:rsidRPr="004C23F4" w:rsidRDefault="00FD162D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51566E6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BD74F6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E0DC2F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8E5A814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0FC44BC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B72D9B4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D6DE18F" w14:textId="188E20C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E540D">
                  <w:t>TWA: 0.5 ppm (3.8 mg/m</w:t>
                </w:r>
                <w:r w:rsidR="008E540D" w:rsidRPr="008E540D">
                  <w:rPr>
                    <w:vertAlign w:val="superscript"/>
                  </w:rPr>
                  <w:t>3</w:t>
                </w:r>
                <w:r w:rsidR="008E540D">
                  <w:t>)</w:t>
                </w:r>
              </w:sdtContent>
            </w:sdt>
          </w:p>
        </w:tc>
      </w:tr>
      <w:tr w:rsidR="00C978F0" w:rsidRPr="00DA352E" w14:paraId="523A9A5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016B56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B24C07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3FFEF5" w14:textId="447EB69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E540D">
                  <w:t>TLV-TWA: 75 ppm (566 mg/m</w:t>
                </w:r>
                <w:r w:rsidR="008E540D" w:rsidRPr="008E540D">
                  <w:rPr>
                    <w:vertAlign w:val="superscript"/>
                  </w:rPr>
                  <w:t>3</w:t>
                </w:r>
                <w:r w:rsidR="008E540D">
                  <w:t>)</w:t>
                </w:r>
              </w:sdtContent>
            </w:sdt>
          </w:p>
        </w:tc>
      </w:tr>
      <w:tr w:rsidR="00C978F0" w:rsidRPr="00DA352E" w14:paraId="7F4907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0DD2A5E" w14:textId="42F372A5" w:rsidR="0049552F" w:rsidRDefault="0049552F" w:rsidP="0049552F">
            <w:pPr>
              <w:pStyle w:val="Tabletextprimarysource"/>
            </w:pPr>
            <w:r>
              <w:t xml:space="preserve">TLV-TWA recommended to minimise the risk of </w:t>
            </w:r>
            <w:r w:rsidR="00175ABE">
              <w:t xml:space="preserve">CNS </w:t>
            </w:r>
            <w:r>
              <w:t>and cardiovascular system effects in exposed workers.</w:t>
            </w:r>
          </w:p>
          <w:p w14:paraId="4FAF4279" w14:textId="77777777" w:rsidR="0049552F" w:rsidRDefault="0049552F" w:rsidP="0049552F">
            <w:pPr>
              <w:pStyle w:val="Tabletextprimarysource"/>
            </w:pPr>
            <w:r>
              <w:t>Summary of data:</w:t>
            </w:r>
          </w:p>
          <w:p w14:paraId="3F909577" w14:textId="77777777" w:rsidR="0049552F" w:rsidRDefault="0049552F" w:rsidP="0049552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0CC5932E" w14:textId="1D1CD2D8" w:rsidR="0049552F" w:rsidRDefault="0049552F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15,000</w:t>
            </w:r>
            <w:r w:rsidR="00FD162D">
              <w:t>–</w:t>
            </w:r>
            <w:r>
              <w:t>20,000 ppm causes anaesthesia</w:t>
            </w:r>
          </w:p>
          <w:p w14:paraId="18908799" w14:textId="0FFDC34F" w:rsidR="0049552F" w:rsidRDefault="0049552F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LOAEL: 2,000 ppm (inhalation) for behavioural effects</w:t>
            </w:r>
            <w:r w:rsidR="00EF7CF5">
              <w:t>.</w:t>
            </w:r>
          </w:p>
          <w:p w14:paraId="3A1A87A5" w14:textId="77777777" w:rsidR="0049552F" w:rsidRDefault="0049552F" w:rsidP="0049552F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787CDA05" w14:textId="77777777" w:rsidR="00563D49" w:rsidRDefault="00563D49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563D49">
              <w:rPr>
                <w:vertAlign w:val="subscript"/>
              </w:rPr>
              <w:t>50</w:t>
            </w:r>
            <w:r>
              <w:t>: 3,900 mg/kg (mice, intravenous)</w:t>
            </w:r>
          </w:p>
          <w:p w14:paraId="49780D55" w14:textId="7896EA06" w:rsidR="00563D49" w:rsidRDefault="00563D49" w:rsidP="00EF7CF5">
            <w:pPr>
              <w:pStyle w:val="ListBullet"/>
              <w:spacing w:before="60" w:after="60"/>
              <w:ind w:left="714" w:hanging="357"/>
              <w:contextualSpacing w:val="0"/>
            </w:pPr>
            <w:r w:rsidRPr="00563D49">
              <w:t>Negative</w:t>
            </w:r>
            <w:r>
              <w:t xml:space="preserve"> results in mutagenicity assays</w:t>
            </w:r>
          </w:p>
          <w:p w14:paraId="6EB3CAA5" w14:textId="483B04EA" w:rsidR="00563D49" w:rsidRDefault="001764DC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TLV-TWA is recommended based on the assumption of lower toxicity than halothane or trichloroethylene</w:t>
            </w:r>
            <w:r w:rsidR="00EF7CF5">
              <w:t>.</w:t>
            </w:r>
          </w:p>
          <w:p w14:paraId="7848A480" w14:textId="77777777" w:rsidR="00EF7CF5" w:rsidRDefault="00EF7CF5" w:rsidP="001764DC">
            <w:pPr>
              <w:pStyle w:val="Tabletextprimarysource"/>
            </w:pPr>
          </w:p>
          <w:p w14:paraId="5449CF6D" w14:textId="77F11F3F" w:rsidR="001764DC" w:rsidRDefault="001764DC" w:rsidP="001764DC">
            <w:pPr>
              <w:pStyle w:val="Tabletextprimarysource"/>
            </w:pPr>
            <w:r>
              <w:t>Assigned an A4, not classified as human carcinogen.</w:t>
            </w:r>
          </w:p>
          <w:p w14:paraId="5C527AF4" w14:textId="77777777" w:rsidR="00C978F0" w:rsidRDefault="001764DC" w:rsidP="001764DC">
            <w:pPr>
              <w:pStyle w:val="Tabletextprimarysource"/>
            </w:pPr>
            <w:r>
              <w:t>Insufficient data to recommend a skin or sensitiser notation.</w:t>
            </w:r>
          </w:p>
          <w:p w14:paraId="1BF774D0" w14:textId="6AD08385" w:rsidR="00EF7CF5" w:rsidRPr="00DA352E" w:rsidRDefault="00EF7CF5" w:rsidP="001764DC">
            <w:pPr>
              <w:pStyle w:val="Tabletextprimarysource"/>
            </w:pPr>
          </w:p>
        </w:tc>
      </w:tr>
      <w:tr w:rsidR="00C978F0" w:rsidRPr="00DA352E" w14:paraId="54FD11C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FA48131" w14:textId="5BA80BC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1994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F33D15">
                  <w:t>MAK: 20 ppm (150 mg/m</w:t>
                </w:r>
                <w:r w:rsidR="00F33D15" w:rsidRPr="00F33D15">
                  <w:rPr>
                    <w:vertAlign w:val="superscript"/>
                  </w:rPr>
                  <w:t>3</w:t>
                </w:r>
                <w:r w:rsidR="00F33D15">
                  <w:t>)</w:t>
                </w:r>
              </w:sdtContent>
            </w:sdt>
          </w:p>
        </w:tc>
      </w:tr>
      <w:tr w:rsidR="00C978F0" w:rsidRPr="00DA352E" w14:paraId="1C3D7F0D" w14:textId="77777777" w:rsidTr="00EF7CF5">
        <w:trPr>
          <w:gridAfter w:val="1"/>
          <w:wAfter w:w="8" w:type="pct"/>
        </w:trPr>
        <w:tc>
          <w:tcPr>
            <w:tcW w:w="4992" w:type="pct"/>
          </w:tcPr>
          <w:p w14:paraId="7BE601DB" w14:textId="77777777" w:rsidR="00277E81" w:rsidRDefault="00277E81" w:rsidP="00277E81">
            <w:pPr>
              <w:pStyle w:val="Tabletextprimarysource"/>
            </w:pPr>
            <w:r>
              <w:t>Summary of additional data:</w:t>
            </w:r>
          </w:p>
          <w:p w14:paraId="41E22DF0" w14:textId="77777777" w:rsidR="00277E81" w:rsidRDefault="00277E81" w:rsidP="00277E8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Human data:</w:t>
            </w:r>
          </w:p>
          <w:p w14:paraId="06E0FFAC" w14:textId="507727F4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Anaesthesia at 12,000 </w:t>
            </w:r>
            <w:r w:rsidR="00EB6F2E">
              <w:t xml:space="preserve">ppm </w:t>
            </w:r>
            <w:r>
              <w:t>(8 h) produced</w:t>
            </w:r>
            <w:r w:rsidRPr="00277E81">
              <w:t xml:space="preserve"> mild reversible renal function</w:t>
            </w:r>
            <w:r>
              <w:t xml:space="preserve"> impairment </w:t>
            </w:r>
          </w:p>
          <w:p w14:paraId="07C4B250" w14:textId="0C5785E2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</w:t>
            </w:r>
            <w:r w:rsidRPr="00277E81">
              <w:t>naesthesia</w:t>
            </w:r>
            <w:r>
              <w:t xml:space="preserve"> (unknown concentration for 30 min) resulted in a </w:t>
            </w:r>
            <w:r w:rsidRPr="00277E81">
              <w:t>reduction of the plasma concentration of corpus luteum hormone to 75%</w:t>
            </w:r>
          </w:p>
          <w:p w14:paraId="14B7EA00" w14:textId="628AD242" w:rsidR="00277E81" w:rsidRPr="005E4DCF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An</w:t>
            </w:r>
            <w:r w:rsidR="00175ABE">
              <w:rPr>
                <w:rFonts w:cs="Arial"/>
                <w:color w:val="1C1D1E"/>
                <w:shd w:val="clear" w:color="auto" w:fill="FFFFFF"/>
              </w:rPr>
              <w:t>aesthetists exposed to 3.6</w:t>
            </w:r>
            <w:r w:rsidR="00FD162D">
              <w:rPr>
                <w:rFonts w:cs="Arial"/>
                <w:color w:val="1C1D1E"/>
                <w:shd w:val="clear" w:color="auto" w:fill="FFFFFF"/>
              </w:rPr>
              <w:t>–</w:t>
            </w:r>
            <w:r w:rsidR="00175ABE">
              <w:rPr>
                <w:rFonts w:cs="Arial"/>
                <w:color w:val="1C1D1E"/>
                <w:shd w:val="clear" w:color="auto" w:fill="FFFFFF"/>
              </w:rPr>
              <w:t xml:space="preserve">22 </w:t>
            </w:r>
            <w:r w:rsidR="00EB6F2E">
              <w:rPr>
                <w:rFonts w:cs="Arial"/>
                <w:color w:val="1C1D1E"/>
                <w:shd w:val="clear" w:color="auto" w:fill="FFFFFF"/>
              </w:rPr>
              <w:t>ppm</w:t>
            </w:r>
            <w:r>
              <w:rPr>
                <w:rFonts w:cs="Arial"/>
                <w:color w:val="1C1D1E"/>
                <w:shd w:val="clear" w:color="auto" w:fill="FFFFFF"/>
              </w:rPr>
              <w:t> did not show abnormal liver function and haematological parameters</w:t>
            </w:r>
          </w:p>
          <w:p w14:paraId="0BD3E883" w14:textId="7B3DE57F" w:rsidR="00EB6F2E" w:rsidRPr="00277E81" w:rsidRDefault="00EB6F2E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>No hepatotoxicity effects observed in occupationally exposed personnel at 20 ppm</w:t>
            </w:r>
          </w:p>
          <w:p w14:paraId="070493D1" w14:textId="0DBE71B9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mutagenicity assays</w:t>
            </w:r>
            <w:r w:rsidR="00321D8B">
              <w:t>.</w:t>
            </w:r>
          </w:p>
          <w:p w14:paraId="0267AE30" w14:textId="77777777" w:rsidR="00277E81" w:rsidRDefault="00277E81" w:rsidP="00277E81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Animal data:</w:t>
            </w:r>
          </w:p>
          <w:p w14:paraId="5E920B2D" w14:textId="307CA0EB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3A1DAE">
              <w:rPr>
                <w:vertAlign w:val="subscript"/>
              </w:rPr>
              <w:t>50</w:t>
            </w:r>
            <w:r>
              <w:t>: 14,000 and 8,100 ppm (rats and mice, 3 h)</w:t>
            </w:r>
          </w:p>
          <w:p w14:paraId="23C3AFD8" w14:textId="4DC59F94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3A1DAE">
              <w:rPr>
                <w:vertAlign w:val="subscript"/>
              </w:rPr>
              <w:t>50</w:t>
            </w:r>
            <w:r>
              <w:t>: 5,450 and 5,000 mg/kg (rats and mice, oral)</w:t>
            </w:r>
          </w:p>
          <w:p w14:paraId="7782A697" w14:textId="20B1A366" w:rsidR="00277E81" w:rsidRDefault="00EF7CF5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</w:t>
            </w:r>
            <w:r w:rsidR="00277E81">
              <w:t xml:space="preserve"> 20 ppm (rats, </w:t>
            </w:r>
            <w:r w:rsidR="00277E81" w:rsidRPr="00277E81">
              <w:t>8 h/d, 5 d/w</w:t>
            </w:r>
            <w:r w:rsidR="00277E81">
              <w:t xml:space="preserve">, up to 99 </w:t>
            </w:r>
            <w:proofErr w:type="spellStart"/>
            <w:r w:rsidR="00277E81">
              <w:t>wk</w:t>
            </w:r>
            <w:proofErr w:type="spellEnd"/>
            <w:r w:rsidR="00277E81">
              <w:t xml:space="preserve">) produced no symptoms, parameters included </w:t>
            </w:r>
            <w:r w:rsidR="00277E81" w:rsidRPr="00277E81">
              <w:t>pathological changes in liver, kidney, lung, heart, spleen or testes</w:t>
            </w:r>
          </w:p>
          <w:p w14:paraId="637CDC7A" w14:textId="12EC490E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NOAEC: 5,000 ppm (mice, 4</w:t>
            </w:r>
            <w:r w:rsidRPr="00277E81">
              <w:t xml:space="preserve"> h</w:t>
            </w:r>
            <w:r>
              <w:t>r</w:t>
            </w:r>
            <w:r w:rsidRPr="00277E81">
              <w:t>/d, 5 d/w</w:t>
            </w:r>
            <w:r>
              <w:t xml:space="preserve">, 76 d) parameters included </w:t>
            </w:r>
            <w:r w:rsidRPr="00277E81">
              <w:t>pathologica</w:t>
            </w:r>
            <w:r>
              <w:t xml:space="preserve">l changes in the liver, kidneys, </w:t>
            </w:r>
            <w:r w:rsidRPr="00277E81">
              <w:t>testes</w:t>
            </w:r>
          </w:p>
          <w:p w14:paraId="5306FE7C" w14:textId="02B11B4D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to 140</w:t>
            </w:r>
            <w:r w:rsidR="00797A03">
              <w:t>–</w:t>
            </w:r>
            <w:r>
              <w:t>33,000 ppm (dogs and monkeys, 3 d/</w:t>
            </w:r>
            <w:proofErr w:type="spellStart"/>
            <w:r>
              <w:t>wk</w:t>
            </w:r>
            <w:proofErr w:type="spellEnd"/>
            <w:r>
              <w:t xml:space="preserve">, 4 </w:t>
            </w:r>
            <w:proofErr w:type="spellStart"/>
            <w:r>
              <w:t>wk</w:t>
            </w:r>
            <w:proofErr w:type="spellEnd"/>
            <w:r>
              <w:t>) produced no symptoms, parameters included</w:t>
            </w:r>
            <w:r w:rsidRPr="00277E81">
              <w:t xml:space="preserve"> </w:t>
            </w:r>
            <w:r>
              <w:t>bone marrow, urine values ​, liver enzymes,</w:t>
            </w:r>
            <w:r w:rsidRPr="00277E81">
              <w:t xml:space="preserve"> histopathological, haematological or ophthalmological effects</w:t>
            </w:r>
          </w:p>
          <w:p w14:paraId="576D4427" w14:textId="08174209" w:rsidR="00EF7CF5" w:rsidRDefault="00EF7CF5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</w:t>
            </w:r>
            <w:r w:rsidR="00277E81">
              <w:t xml:space="preserve"> </w:t>
            </w:r>
            <w:r w:rsidR="00277E81" w:rsidRPr="00277E81">
              <w:t>700 and 2</w:t>
            </w:r>
            <w:r w:rsidR="00277E81">
              <w:t>,</w:t>
            </w:r>
            <w:r w:rsidR="00277E81" w:rsidRPr="00277E81">
              <w:t xml:space="preserve">000 </w:t>
            </w:r>
            <w:r w:rsidR="00277E81">
              <w:t>ppm (m</w:t>
            </w:r>
            <w:r w:rsidR="00277E81" w:rsidRPr="00277E81">
              <w:t>ice, rats and guinea pigs</w:t>
            </w:r>
            <w:r w:rsidR="00277E81">
              <w:t xml:space="preserve">, </w:t>
            </w:r>
            <w:r w:rsidR="00277E81" w:rsidRPr="00277E81">
              <w:t>35 d</w:t>
            </w:r>
            <w:r w:rsidR="00277E81">
              <w:t>)</w:t>
            </w:r>
            <w:r w:rsidR="00321D8B">
              <w:t>:</w:t>
            </w:r>
          </w:p>
          <w:p w14:paraId="276A0389" w14:textId="77739102" w:rsidR="00EF7CF5" w:rsidRDefault="00EF7CF5" w:rsidP="00F1123E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277E81" w:rsidRPr="00277E81">
              <w:t>ll animals had a reduced weight gain at 2</w:t>
            </w:r>
            <w:r w:rsidR="00797A03">
              <w:t>,</w:t>
            </w:r>
            <w:r w:rsidR="00277E81" w:rsidRPr="00277E81">
              <w:t xml:space="preserve">000 </w:t>
            </w:r>
            <w:r w:rsidR="00277E81">
              <w:t>ppm</w:t>
            </w:r>
          </w:p>
          <w:p w14:paraId="7408D781" w14:textId="6E785D2A" w:rsidR="00277E81" w:rsidRDefault="00EF7CF5" w:rsidP="00F1123E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i</w:t>
            </w:r>
            <w:r w:rsidR="00277E81" w:rsidRPr="00277E81">
              <w:t>n mice, weight loss and mortality were recorded in both dose groups after 5 d</w:t>
            </w:r>
          </w:p>
          <w:p w14:paraId="23DB8D48" w14:textId="039EBF92" w:rsidR="00277E81" w:rsidRPr="00277E81" w:rsidRDefault="00EF7CF5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Exposure at</w:t>
            </w:r>
            <w:r w:rsidR="00277E81">
              <w:t xml:space="preserve"> 3,</w:t>
            </w:r>
            <w:r w:rsidR="00277E81" w:rsidRPr="00277E81">
              <w:t xml:space="preserve">000 </w:t>
            </w:r>
            <w:r w:rsidR="00277E81">
              <w:t>ppm (m</w:t>
            </w:r>
            <w:r w:rsidR="00277E81" w:rsidRPr="00277E81">
              <w:t>ice</w:t>
            </w:r>
            <w:r w:rsidR="00277E81">
              <w:t xml:space="preserve">, 4 hr/d, 52 </w:t>
            </w:r>
            <w:proofErr w:type="spellStart"/>
            <w:r w:rsidR="00277E81">
              <w:t>wk</w:t>
            </w:r>
            <w:proofErr w:type="spellEnd"/>
            <w:r w:rsidR="00277E81">
              <w:t>)</w:t>
            </w:r>
            <w:r w:rsidR="00277E81">
              <w:rPr>
                <w:rFonts w:cs="Arial"/>
                <w:color w:val="1C1D1E"/>
                <w:shd w:val="clear" w:color="auto" w:fill="FFFFFF"/>
              </w:rPr>
              <w:t xml:space="preserve"> no effects on the h</w:t>
            </w:r>
            <w:r w:rsidR="00175ABE">
              <w:rPr>
                <w:rFonts w:cs="Arial"/>
                <w:color w:val="1C1D1E"/>
                <w:shd w:val="clear" w:color="auto" w:fill="FFFFFF"/>
              </w:rPr>
              <w:t>a</w:t>
            </w:r>
            <w:r w:rsidR="00277E81">
              <w:rPr>
                <w:rFonts w:cs="Arial"/>
                <w:color w:val="1C1D1E"/>
                <w:shd w:val="clear" w:color="auto" w:fill="FFFFFF"/>
              </w:rPr>
              <w:t>ematopoietic system</w:t>
            </w:r>
          </w:p>
          <w:p w14:paraId="4F5ED401" w14:textId="1195D733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Multiple reproductive toxicity studies produce no result with one exception, reproductive toxicity (slight </w:t>
            </w:r>
            <w:proofErr w:type="spellStart"/>
            <w:r>
              <w:rPr>
                <w:rFonts w:cs="Arial"/>
                <w:color w:val="1C1D1E"/>
                <w:shd w:val="clear" w:color="auto" w:fill="FFFFFF"/>
              </w:rPr>
              <w:t>fetotoxicity</w:t>
            </w:r>
            <w:proofErr w:type="spellEnd"/>
            <w:r>
              <w:rPr>
                <w:rFonts w:cs="Arial"/>
                <w:color w:val="1C1D1E"/>
                <w:shd w:val="clear" w:color="auto" w:fill="FFFFFF"/>
              </w:rPr>
              <w:t>) occurred after inhalation exposure at 3,200 ppm in rats</w:t>
            </w:r>
          </w:p>
          <w:p w14:paraId="2966F79A" w14:textId="0060756E" w:rsidR="00277E81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rFonts w:cs="Arial"/>
                <w:color w:val="1C1D1E"/>
                <w:shd w:val="clear" w:color="auto" w:fill="FFFFFF"/>
              </w:rPr>
              <w:t xml:space="preserve">An indication of a DNA-damaging effect </w:t>
            </w:r>
            <w:r w:rsidRPr="00B409AC">
              <w:rPr>
                <w:rFonts w:cs="Arial"/>
                <w:i/>
                <w:color w:val="1C1D1E"/>
                <w:shd w:val="clear" w:color="auto" w:fill="FFFFFF"/>
              </w:rPr>
              <w:t>in vitro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is offset by several negative </w:t>
            </w:r>
            <w:r w:rsidRPr="00B409AC">
              <w:rPr>
                <w:rFonts w:cs="Arial"/>
                <w:i/>
                <w:color w:val="1C1D1E"/>
                <w:shd w:val="clear" w:color="auto" w:fill="FFFFFF"/>
              </w:rPr>
              <w:t>in vitro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or </w:t>
            </w:r>
            <w:r w:rsidRPr="00B409AC">
              <w:rPr>
                <w:rFonts w:cs="Arial"/>
                <w:i/>
                <w:color w:val="1C1D1E"/>
                <w:shd w:val="clear" w:color="auto" w:fill="FFFFFF"/>
              </w:rPr>
              <w:t>in vivo</w:t>
            </w:r>
            <w:r>
              <w:rPr>
                <w:rFonts w:cs="Arial"/>
                <w:color w:val="1C1D1E"/>
                <w:shd w:val="clear" w:color="auto" w:fill="FFFFFF"/>
              </w:rPr>
              <w:t xml:space="preserve"> findings on </w:t>
            </w:r>
            <w:proofErr w:type="spellStart"/>
            <w:r>
              <w:rPr>
                <w:rFonts w:cs="Arial"/>
                <w:color w:val="1C1D1E"/>
                <w:shd w:val="clear" w:color="auto" w:fill="FFFFFF"/>
              </w:rPr>
              <w:t>genotoxicity</w:t>
            </w:r>
            <w:proofErr w:type="spellEnd"/>
          </w:p>
          <w:p w14:paraId="0F4B92C5" w14:textId="77777777" w:rsidR="00277E81" w:rsidRPr="00EF7CF5" w:rsidRDefault="00277E81" w:rsidP="00EF7CF5">
            <w:pPr>
              <w:pStyle w:val="ListBullet"/>
              <w:spacing w:before="60" w:after="60"/>
              <w:ind w:left="714" w:hanging="357"/>
              <w:contextualSpacing w:val="0"/>
            </w:pPr>
            <w:r w:rsidRPr="00277E81">
              <w:rPr>
                <w:rFonts w:cs="Arial"/>
                <w:color w:val="1C1D1E"/>
                <w:shd w:val="clear" w:color="auto" w:fill="FFFFFF"/>
              </w:rPr>
              <w:t>In long-term carcinogenicity study, no statistically significant increase in tumours could be detected</w:t>
            </w:r>
            <w:r w:rsidR="00B409AC">
              <w:rPr>
                <w:rFonts w:cs="Arial"/>
                <w:color w:val="1C1D1E"/>
                <w:shd w:val="clear" w:color="auto" w:fill="FFFFFF"/>
              </w:rPr>
              <w:t>.</w:t>
            </w:r>
          </w:p>
          <w:p w14:paraId="0BA035D2" w14:textId="6C6239AD" w:rsidR="00EF7CF5" w:rsidRPr="00DA352E" w:rsidRDefault="00EF7CF5" w:rsidP="00EF7CF5">
            <w:pPr>
              <w:pStyle w:val="ListBullet"/>
              <w:numPr>
                <w:ilvl w:val="0"/>
                <w:numId w:val="0"/>
              </w:numPr>
              <w:spacing w:before="60" w:after="60"/>
              <w:ind w:left="357"/>
              <w:contextualSpacing w:val="0"/>
            </w:pPr>
          </w:p>
        </w:tc>
      </w:tr>
      <w:tr w:rsidR="00C978F0" w:rsidRPr="00DA352E" w14:paraId="70B4941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E3FCD51" w14:textId="008EFD4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33D15">
                  <w:t>NA</w:t>
                </w:r>
              </w:sdtContent>
            </w:sdt>
          </w:p>
        </w:tc>
      </w:tr>
      <w:tr w:rsidR="00C978F0" w:rsidRPr="00DA352E" w14:paraId="110D1CB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AA1ECFA" w14:textId="0FCAD105" w:rsidR="00C978F0" w:rsidRPr="00DA352E" w:rsidRDefault="00F33D15" w:rsidP="003365A5">
            <w:pPr>
              <w:pStyle w:val="Tabletextprimarysource"/>
            </w:pPr>
            <w:r>
              <w:t>No report</w:t>
            </w:r>
            <w:r w:rsidR="00175ABE">
              <w:t>.</w:t>
            </w:r>
          </w:p>
        </w:tc>
      </w:tr>
      <w:tr w:rsidR="00DA352E" w:rsidRPr="00DA352E" w14:paraId="495FC72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F12A564" w14:textId="3E373A9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F33D15">
                  <w:t>NA</w:t>
                </w:r>
              </w:sdtContent>
            </w:sdt>
          </w:p>
        </w:tc>
      </w:tr>
      <w:tr w:rsidR="00DA352E" w:rsidRPr="00DA352E" w14:paraId="1827ACA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A688E4A" w14:textId="70C2D5AB" w:rsidR="00DA352E" w:rsidRPr="00DA352E" w:rsidRDefault="00F33D15" w:rsidP="003365A5">
            <w:pPr>
              <w:pStyle w:val="Tabletextprimarysource"/>
            </w:pPr>
            <w:r>
              <w:t>No report</w:t>
            </w:r>
            <w:r w:rsidR="00175ABE">
              <w:t>.</w:t>
            </w:r>
          </w:p>
        </w:tc>
      </w:tr>
      <w:tr w:rsidR="00DA352E" w:rsidRPr="00DA352E" w14:paraId="138B15A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516B784" w14:textId="48CA7ED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77E81">
                  <w:rPr>
                    <w:lang w:val="en-US"/>
                  </w:rPr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33D15">
                  <w:t>NA</w:t>
                </w:r>
              </w:sdtContent>
            </w:sdt>
          </w:p>
        </w:tc>
      </w:tr>
      <w:tr w:rsidR="00DA352E" w:rsidRPr="00DA352E" w14:paraId="68A3BBA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CB55B4" w14:textId="04AF25CF" w:rsidR="00DA352E" w:rsidRPr="00DA352E" w:rsidRDefault="00F33D15" w:rsidP="003365A5">
            <w:pPr>
              <w:pStyle w:val="Tabletextprimarysource"/>
            </w:pPr>
            <w:r>
              <w:t>No report</w:t>
            </w:r>
            <w:r w:rsidR="00175ABE">
              <w:t>.</w:t>
            </w:r>
          </w:p>
        </w:tc>
      </w:tr>
    </w:tbl>
    <w:p w14:paraId="6C62A04D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p w14:paraId="6D95A625" w14:textId="4C77E350" w:rsidR="007E2A4B" w:rsidRDefault="00277E81">
      <w:r>
        <w:t>N</w:t>
      </w:r>
      <w:r w:rsidR="00175ABE">
        <w:t>IL</w:t>
      </w:r>
      <w:r w:rsidR="00625000">
        <w:t>.</w:t>
      </w:r>
    </w:p>
    <w:bookmarkEnd w:id="0"/>
    <w:p w14:paraId="2113C9FC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7D7BD3A" w14:textId="77777777" w:rsidTr="00277E81">
        <w:trPr>
          <w:trHeight w:val="454"/>
          <w:tblHeader/>
        </w:trPr>
        <w:tc>
          <w:tcPr>
            <w:tcW w:w="6603" w:type="dxa"/>
            <w:vAlign w:val="center"/>
          </w:tcPr>
          <w:p w14:paraId="0F389BCC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09BD8D05" w14:textId="3EA39C4A" w:rsidR="002E0D61" w:rsidRDefault="00277E8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B286E7A" w14:textId="77777777" w:rsidTr="00277E8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E984653" w14:textId="01B85018" w:rsidR="008A36CF" w:rsidRPr="006901A2" w:rsidRDefault="00277E81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2CE9B4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6A2FC8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06A54C0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5BF6A11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B54D48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1249A06" w14:textId="77777777" w:rsidTr="00812887">
        <w:trPr>
          <w:cantSplit/>
        </w:trPr>
        <w:tc>
          <w:tcPr>
            <w:tcW w:w="3227" w:type="dxa"/>
          </w:tcPr>
          <w:p w14:paraId="2A42207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5E36EF5" w14:textId="20A85216" w:rsidR="00687890" w:rsidRPr="00DD2F9B" w:rsidRDefault="00F33D15" w:rsidP="00DD2F9B">
            <w:pPr>
              <w:pStyle w:val="Tablefont"/>
            </w:pPr>
            <w:r w:rsidRPr="00F33D15">
              <w:t>—</w:t>
            </w:r>
          </w:p>
        </w:tc>
      </w:tr>
      <w:tr w:rsidR="007925F0" w:rsidRPr="004C23F4" w14:paraId="3594D1BA" w14:textId="77777777" w:rsidTr="00812887">
        <w:trPr>
          <w:cantSplit/>
        </w:trPr>
        <w:tc>
          <w:tcPr>
            <w:tcW w:w="3227" w:type="dxa"/>
          </w:tcPr>
          <w:p w14:paraId="3435BD09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CA1C87B" w14:textId="6C31A590" w:rsidR="007925F0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8EBDAE1" w14:textId="77777777" w:rsidTr="00812887">
        <w:trPr>
          <w:cantSplit/>
        </w:trPr>
        <w:tc>
          <w:tcPr>
            <w:tcW w:w="3227" w:type="dxa"/>
          </w:tcPr>
          <w:p w14:paraId="293EAB8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4465305" w14:textId="4ECD60A6" w:rsidR="00AF483F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E18E5DA" w14:textId="77777777" w:rsidTr="00812887">
        <w:trPr>
          <w:cantSplit/>
        </w:trPr>
        <w:tc>
          <w:tcPr>
            <w:tcW w:w="3227" w:type="dxa"/>
          </w:tcPr>
          <w:p w14:paraId="0B38D171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DC79E84" w14:textId="53C3DC69" w:rsidR="00687890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5080EB6" w14:textId="77777777" w:rsidTr="00812887">
        <w:trPr>
          <w:cantSplit/>
        </w:trPr>
        <w:tc>
          <w:tcPr>
            <w:tcW w:w="3227" w:type="dxa"/>
          </w:tcPr>
          <w:p w14:paraId="6C36A30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71829CB" w14:textId="6D204DE0" w:rsidR="00E41A26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758B519" w14:textId="77777777" w:rsidTr="00812887">
        <w:trPr>
          <w:cantSplit/>
        </w:trPr>
        <w:tc>
          <w:tcPr>
            <w:tcW w:w="3227" w:type="dxa"/>
          </w:tcPr>
          <w:p w14:paraId="61293E46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0646DB53" w14:textId="0021C837" w:rsidR="002E0D61" w:rsidRPr="00DD2F9B" w:rsidRDefault="00F33D15" w:rsidP="00DD2F9B">
            <w:pPr>
              <w:pStyle w:val="Tablefont"/>
            </w:pPr>
            <w:r w:rsidRPr="00F33D15">
              <w:t>Carcinogenicity – A4</w:t>
            </w:r>
          </w:p>
        </w:tc>
      </w:tr>
      <w:tr w:rsidR="002E0D61" w:rsidRPr="004C23F4" w14:paraId="59FFD76F" w14:textId="77777777" w:rsidTr="00812887">
        <w:trPr>
          <w:cantSplit/>
        </w:trPr>
        <w:tc>
          <w:tcPr>
            <w:tcW w:w="3227" w:type="dxa"/>
          </w:tcPr>
          <w:p w14:paraId="512877E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88C50AE" w14:textId="0849A0B4" w:rsidR="002E0D61" w:rsidRPr="00DD2F9B" w:rsidRDefault="004F313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BF10F11" w14:textId="77777777" w:rsidTr="00812887">
        <w:trPr>
          <w:cantSplit/>
        </w:trPr>
        <w:tc>
          <w:tcPr>
            <w:tcW w:w="3227" w:type="dxa"/>
          </w:tcPr>
          <w:p w14:paraId="46F8AE51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4D442FF8" w14:textId="280D8686" w:rsidR="002E0D61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C7D80FA" w14:textId="77777777" w:rsidTr="00812887">
        <w:trPr>
          <w:cantSplit/>
        </w:trPr>
        <w:tc>
          <w:tcPr>
            <w:tcW w:w="3227" w:type="dxa"/>
          </w:tcPr>
          <w:p w14:paraId="79DBCE12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07D9303" w14:textId="58C74EA2" w:rsidR="002E0D61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D635173" w14:textId="77777777" w:rsidTr="00812887">
        <w:trPr>
          <w:cantSplit/>
        </w:trPr>
        <w:tc>
          <w:tcPr>
            <w:tcW w:w="3227" w:type="dxa"/>
          </w:tcPr>
          <w:p w14:paraId="25C9DB14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BE64EA1" w14:textId="24F782EE" w:rsidR="00386093" w:rsidRPr="00DD2F9B" w:rsidRDefault="00F33D1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6942049" w14:textId="77777777" w:rsidTr="00812887">
        <w:trPr>
          <w:cantSplit/>
        </w:trPr>
        <w:tc>
          <w:tcPr>
            <w:tcW w:w="3227" w:type="dxa"/>
          </w:tcPr>
          <w:p w14:paraId="4638963F" w14:textId="77777777" w:rsidR="004079B4" w:rsidRDefault="00386093" w:rsidP="00F4402E">
            <w:pPr>
              <w:pStyle w:val="Tablefont"/>
              <w:keepNext/>
            </w:pPr>
            <w:r>
              <w:lastRenderedPageBreak/>
              <w:t>US NIOSH</w:t>
            </w:r>
          </w:p>
        </w:tc>
        <w:tc>
          <w:tcPr>
            <w:tcW w:w="6015" w:type="dxa"/>
          </w:tcPr>
          <w:p w14:paraId="03E8D731" w14:textId="1B6193CB" w:rsidR="00386093" w:rsidRPr="00DD2F9B" w:rsidRDefault="00F33D1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BA74DC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C60EE5D" w14:textId="211A4C6A" w:rsidR="00474E33" w:rsidRDefault="00474E33" w:rsidP="00474E33">
      <w:pPr>
        <w:pStyle w:val="Heading3"/>
      </w:pPr>
      <w:r>
        <w:t>Skin notation assessment</w:t>
      </w:r>
    </w:p>
    <w:p w14:paraId="08F23416" w14:textId="46801378" w:rsidR="00277E81" w:rsidRPr="00277E81" w:rsidRDefault="00277E81" w:rsidP="00277E81">
      <w:pPr>
        <w:rPr>
          <w:lang w:eastAsia="en-AU"/>
        </w:rPr>
      </w:pPr>
      <w:r w:rsidRPr="00277E81">
        <w:rPr>
          <w:lang w:eastAsia="en-AU"/>
        </w:rPr>
        <w:t xml:space="preserve">There </w:t>
      </w:r>
      <w:r w:rsidR="003D0560">
        <w:rPr>
          <w:lang w:eastAsia="en-AU"/>
        </w:rPr>
        <w:t>are</w:t>
      </w:r>
      <w:r w:rsidRPr="00277E81">
        <w:rPr>
          <w:lang w:eastAsia="en-AU"/>
        </w:rPr>
        <w:t xml:space="preserve"> insufficient evidence to recommend a skin notation.</w:t>
      </w:r>
    </w:p>
    <w:p w14:paraId="798130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E24E2B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C2CCF1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E12B134" w14:textId="6FD9A541" w:rsidR="00EB3D1B" w:rsidRDefault="00277E81" w:rsidP="00EB3D1B">
                <w:pPr>
                  <w:pStyle w:val="Tablefont"/>
                </w:pPr>
                <w:r>
                  <w:rPr>
                    <w:lang w:val="en-US"/>
                  </w:rPr>
                  <w:t>No</w:t>
                </w:r>
              </w:p>
            </w:tc>
          </w:sdtContent>
        </w:sdt>
      </w:tr>
    </w:tbl>
    <w:p w14:paraId="681B7E78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584775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1CFADB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7482371" w14:textId="1091EC26" w:rsidR="001B79E5" w:rsidRDefault="00F33D15" w:rsidP="001B79E5">
                <w:pPr>
                  <w:pStyle w:val="Tablefont"/>
                </w:pPr>
                <w:r w:rsidRPr="00F33D15">
                  <w:t>184.49</w:t>
                </w:r>
              </w:p>
            </w:tc>
          </w:sdtContent>
        </w:sdt>
      </w:tr>
      <w:tr w:rsidR="00A31D99" w:rsidRPr="004C23F4" w14:paraId="150F206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5E3854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47B9BA8" w14:textId="487E1173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F33D15">
                  <w:t>7.57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F33D15">
                  <w:t>0.132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4285702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059BA0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D42460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018368F" w14:textId="77777777" w:rsidTr="00EA6243">
        <w:trPr>
          <w:cantSplit/>
        </w:trPr>
        <w:tc>
          <w:tcPr>
            <w:tcW w:w="4077" w:type="dxa"/>
            <w:vAlign w:val="center"/>
          </w:tcPr>
          <w:p w14:paraId="142D83A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121286A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E8D7407" w14:textId="77777777" w:rsidTr="00EA6243">
        <w:trPr>
          <w:cantSplit/>
        </w:trPr>
        <w:tc>
          <w:tcPr>
            <w:tcW w:w="4077" w:type="dxa"/>
            <w:vAlign w:val="center"/>
          </w:tcPr>
          <w:p w14:paraId="1BF1F3C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C22CFDF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D0CE884" w14:textId="77777777" w:rsidTr="00EA6243">
        <w:trPr>
          <w:cantSplit/>
        </w:trPr>
        <w:tc>
          <w:tcPr>
            <w:tcW w:w="4077" w:type="dxa"/>
            <w:vAlign w:val="center"/>
          </w:tcPr>
          <w:p w14:paraId="23A91E7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A02809E" w14:textId="77777777" w:rsidR="00E06F40" w:rsidRPr="00A006A0" w:rsidRDefault="009312D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340F5D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667D536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E24AD98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02494A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DA2A5F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686B4CD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76F8DD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33C4C0D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E265A49" w14:textId="39954895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F0E518C" w14:textId="728E2121" w:rsidR="00F33D15" w:rsidRPr="00351FE0" w:rsidRDefault="00F33D15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(1998) </w:t>
      </w:r>
      <w:proofErr w:type="spellStart"/>
      <w:r w:rsidRPr="00F33D15">
        <w:t>Enflurane</w:t>
      </w:r>
      <w:proofErr w:type="spellEnd"/>
      <w:r>
        <w:t xml:space="preserve"> – MAK value documentation.</w:t>
      </w:r>
    </w:p>
    <w:sectPr w:rsidR="00F33D1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B7251" w14:textId="77777777" w:rsidR="00F87AFF" w:rsidRDefault="00F87AFF" w:rsidP="00F43AD5">
      <w:pPr>
        <w:spacing w:after="0" w:line="240" w:lineRule="auto"/>
      </w:pPr>
      <w:r>
        <w:separator/>
      </w:r>
    </w:p>
  </w:endnote>
  <w:endnote w:type="continuationSeparator" w:id="0">
    <w:p w14:paraId="3CAB58AF" w14:textId="77777777" w:rsidR="00F87AFF" w:rsidRDefault="00F87AF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3AC3" w14:textId="77777777" w:rsidR="009312DF" w:rsidRDefault="0093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DAFB0E0" w14:textId="5C34A470" w:rsidR="008A36CF" w:rsidRDefault="008E540D" w:rsidP="0034744C">
        <w:pPr>
          <w:pStyle w:val="Footer"/>
          <w:rPr>
            <w:sz w:val="18"/>
            <w:szCs w:val="18"/>
          </w:rPr>
        </w:pPr>
        <w:proofErr w:type="spellStart"/>
        <w:r w:rsidRPr="008E540D">
          <w:rPr>
            <w:b/>
            <w:sz w:val="18"/>
            <w:szCs w:val="18"/>
          </w:rPr>
          <w:t>Enflurane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8E540D">
          <w:rPr>
            <w:b/>
            <w:sz w:val="18"/>
            <w:szCs w:val="18"/>
          </w:rPr>
          <w:t>13838-16-9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8215213" w14:textId="0CC9DAC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9312DF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2213" w14:textId="77777777" w:rsidR="009312DF" w:rsidRDefault="0093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8B73" w14:textId="77777777" w:rsidR="00F87AFF" w:rsidRDefault="00F87AFF" w:rsidP="00F43AD5">
      <w:pPr>
        <w:spacing w:after="0" w:line="240" w:lineRule="auto"/>
      </w:pPr>
      <w:r>
        <w:separator/>
      </w:r>
    </w:p>
  </w:footnote>
  <w:footnote w:type="continuationSeparator" w:id="0">
    <w:p w14:paraId="3E6FAEE5" w14:textId="77777777" w:rsidR="00F87AFF" w:rsidRDefault="00F87AF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F81D" w14:textId="77777777" w:rsidR="009312DF" w:rsidRDefault="0093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A485" w14:textId="34C36411" w:rsidR="009312DF" w:rsidRDefault="009312DF" w:rsidP="009312DF">
    <w:pPr>
      <w:pStyle w:val="Header"/>
      <w:jc w:val="right"/>
    </w:pPr>
    <w:r>
      <w:pict w14:anchorId="436D0A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945E6F8" wp14:editId="3B8D3F55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9403D" w14:textId="42C96679" w:rsidR="008A36CF" w:rsidRPr="009312DF" w:rsidRDefault="008A36CF" w:rsidP="00931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F6B3" w14:textId="77777777" w:rsidR="009312DF" w:rsidRDefault="009312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1BA3" w14:textId="45FDBE54" w:rsidR="009312DF" w:rsidRDefault="009312DF" w:rsidP="009312DF">
    <w:pPr>
      <w:pStyle w:val="Header"/>
      <w:jc w:val="right"/>
    </w:pPr>
    <w:r>
      <w:pict w14:anchorId="3A170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03F9A67" wp14:editId="6BFC3803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A7A7F" w14:textId="22E0D3F7" w:rsidR="008A36CF" w:rsidRDefault="008A36CF" w:rsidP="00F43AD5">
    <w:pPr>
      <w:pStyle w:val="Header"/>
      <w:jc w:val="right"/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90DB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EE38FD"/>
    <w:multiLevelType w:val="hybridMultilevel"/>
    <w:tmpl w:val="F8B61EA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A75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4651"/>
    <w:rsid w:val="001269A7"/>
    <w:rsid w:val="00131092"/>
    <w:rsid w:val="00140E6A"/>
    <w:rsid w:val="00146545"/>
    <w:rsid w:val="00146B75"/>
    <w:rsid w:val="0015266D"/>
    <w:rsid w:val="0015288A"/>
    <w:rsid w:val="00160F47"/>
    <w:rsid w:val="00175ABE"/>
    <w:rsid w:val="001764DC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77E81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1D8B"/>
    <w:rsid w:val="003224BF"/>
    <w:rsid w:val="003241A8"/>
    <w:rsid w:val="003253F0"/>
    <w:rsid w:val="003337DA"/>
    <w:rsid w:val="00334EFB"/>
    <w:rsid w:val="00335CDE"/>
    <w:rsid w:val="003365A5"/>
    <w:rsid w:val="00341E7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0560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552F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2E50"/>
    <w:rsid w:val="004E4BA2"/>
    <w:rsid w:val="004E5EDD"/>
    <w:rsid w:val="004F3135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469FC"/>
    <w:rsid w:val="00551BD8"/>
    <w:rsid w:val="00555B9D"/>
    <w:rsid w:val="00563D4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4DCF"/>
    <w:rsid w:val="005E6979"/>
    <w:rsid w:val="005E75CB"/>
    <w:rsid w:val="006013C1"/>
    <w:rsid w:val="0060669E"/>
    <w:rsid w:val="00610F2E"/>
    <w:rsid w:val="00611399"/>
    <w:rsid w:val="00624C4E"/>
    <w:rsid w:val="00625000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11D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A03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540D"/>
    <w:rsid w:val="008E5FAD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2DF"/>
    <w:rsid w:val="00931B03"/>
    <w:rsid w:val="009323B9"/>
    <w:rsid w:val="00932DCE"/>
    <w:rsid w:val="0093327E"/>
    <w:rsid w:val="00934028"/>
    <w:rsid w:val="00935DF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9AC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6F2E"/>
    <w:rsid w:val="00EC057F"/>
    <w:rsid w:val="00ED1D89"/>
    <w:rsid w:val="00ED66BC"/>
    <w:rsid w:val="00EF233A"/>
    <w:rsid w:val="00EF303E"/>
    <w:rsid w:val="00EF3A40"/>
    <w:rsid w:val="00EF7CF5"/>
    <w:rsid w:val="00EF7F78"/>
    <w:rsid w:val="00F01B08"/>
    <w:rsid w:val="00F01C4D"/>
    <w:rsid w:val="00F053FA"/>
    <w:rsid w:val="00F10C97"/>
    <w:rsid w:val="00F1123E"/>
    <w:rsid w:val="00F11C71"/>
    <w:rsid w:val="00F16019"/>
    <w:rsid w:val="00F20E68"/>
    <w:rsid w:val="00F22093"/>
    <w:rsid w:val="00F236DF"/>
    <w:rsid w:val="00F33D15"/>
    <w:rsid w:val="00F43AD5"/>
    <w:rsid w:val="00F4402E"/>
    <w:rsid w:val="00F56DD0"/>
    <w:rsid w:val="00F6491C"/>
    <w:rsid w:val="00F67BBB"/>
    <w:rsid w:val="00F87AFF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62D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77391123-8396-4609-9FCF-FAB366B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9552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F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F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F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39AF42DBE745B581BE6221783D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F510-7155-4849-95B2-36C075277B45}"/>
      </w:docPartPr>
      <w:docPartBody>
        <w:p w:rsidR="00393848" w:rsidRDefault="00310EA8" w:rsidP="00310EA8">
          <w:pPr>
            <w:pStyle w:val="DA39AF42DBE745B581BE6221783D8470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10EA8"/>
    <w:rsid w:val="00393848"/>
    <w:rsid w:val="004463F2"/>
    <w:rsid w:val="00750E81"/>
    <w:rsid w:val="00C205A5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EA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DAEB13BA4464A4F81F5550D1B398749">
    <w:name w:val="8DAEB13BA4464A4F81F5550D1B398749"/>
    <w:rsid w:val="00C205A5"/>
  </w:style>
  <w:style w:type="paragraph" w:customStyle="1" w:styleId="052597349B714040AE5425E3DA3C4459">
    <w:name w:val="052597349B714040AE5425E3DA3C4459"/>
    <w:rsid w:val="00C205A5"/>
  </w:style>
  <w:style w:type="paragraph" w:customStyle="1" w:styleId="DA39AF42DBE745B581BE6221783D8470">
    <w:name w:val="DA39AF42DBE745B581BE6221783D8470"/>
    <w:rsid w:val="00310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1160A-23F1-4C17-BC53-8C143087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5CA146-ABAD-42F8-BF5B-A541614A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6D46A5C8.dotm</Template>
  <TotalTime>11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3</cp:revision>
  <cp:lastPrinted>2018-10-22T22:41:00Z</cp:lastPrinted>
  <dcterms:created xsi:type="dcterms:W3CDTF">2019-11-19T05:21:00Z</dcterms:created>
  <dcterms:modified xsi:type="dcterms:W3CDTF">2019-11-19T22:38:00Z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