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977F6C8" w14:textId="00285052" w:rsidR="00BD499F" w:rsidRPr="004C23F4" w:rsidRDefault="0066417C" w:rsidP="00B40C60">
          <w:pPr>
            <w:pStyle w:val="Heading1"/>
            <w:jc w:val="center"/>
            <w:rPr>
              <w:rFonts w:ascii="Arial" w:hAnsi="Arial" w:cs="Arial"/>
            </w:rPr>
          </w:pPr>
          <w:r w:rsidRPr="0066417C">
            <w:rPr>
              <w:rFonts w:ascii="Arial" w:hAnsi="Arial" w:cs="Arial"/>
            </w:rPr>
            <w:t>Ethyl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5DBDC69E" w14:textId="77777777" w:rsidTr="00B76A41">
        <w:trPr>
          <w:cantSplit/>
          <w:tblHeader/>
        </w:trPr>
        <w:tc>
          <w:tcPr>
            <w:tcW w:w="4077" w:type="dxa"/>
          </w:tcPr>
          <w:p w14:paraId="2A430C2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9362888" w14:textId="5F8AECA9" w:rsidR="00F43AD5" w:rsidRPr="00717D45" w:rsidRDefault="00E61617" w:rsidP="00B76A41">
            <w:pPr>
              <w:pStyle w:val="Tablefont"/>
            </w:pPr>
            <w:r w:rsidRPr="00E61617">
              <w:t>64-17-5</w:t>
            </w:r>
          </w:p>
        </w:tc>
      </w:tr>
      <w:tr w:rsidR="00F43AD5" w:rsidRPr="004C23F4" w14:paraId="60C25CF4" w14:textId="77777777" w:rsidTr="00B76A41">
        <w:trPr>
          <w:cantSplit/>
        </w:trPr>
        <w:tc>
          <w:tcPr>
            <w:tcW w:w="4077" w:type="dxa"/>
          </w:tcPr>
          <w:p w14:paraId="547973B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259F96B" w14:textId="2BDB911B" w:rsidR="00F43AD5" w:rsidRPr="00717D45" w:rsidRDefault="00C2032F" w:rsidP="00E61617">
            <w:pPr>
              <w:pStyle w:val="Tablefont"/>
            </w:pPr>
            <w:r>
              <w:t>Ethanol</w:t>
            </w:r>
            <w:r w:rsidR="00E61617">
              <w:t xml:space="preserve">, </w:t>
            </w:r>
            <w:r>
              <w:t>a</w:t>
            </w:r>
            <w:r w:rsidR="00E61617">
              <w:t xml:space="preserve">bsolute ethanol, </w:t>
            </w:r>
            <w:r>
              <w:t>a</w:t>
            </w:r>
            <w:r w:rsidR="00E61617">
              <w:t xml:space="preserve">nhydrous ethanol, alcohol, </w:t>
            </w:r>
            <w:r>
              <w:t>d</w:t>
            </w:r>
            <w:r w:rsidR="000C6E06">
              <w:t xml:space="preserve">enatured alcohol, </w:t>
            </w:r>
            <w:r>
              <w:t>m</w:t>
            </w:r>
            <w:r w:rsidR="00E61617">
              <w:t xml:space="preserve">ethyl </w:t>
            </w:r>
            <w:proofErr w:type="spellStart"/>
            <w:r w:rsidR="00E61617">
              <w:t>carbinol</w:t>
            </w:r>
            <w:proofErr w:type="spellEnd"/>
            <w:r w:rsidR="00E61617">
              <w:t xml:space="preserve">, </w:t>
            </w:r>
            <w:proofErr w:type="spellStart"/>
            <w:r>
              <w:t>s</w:t>
            </w:r>
            <w:r w:rsidR="000C6E06">
              <w:t>ynasol</w:t>
            </w:r>
            <w:proofErr w:type="spellEnd"/>
          </w:p>
        </w:tc>
      </w:tr>
      <w:tr w:rsidR="00F43AD5" w:rsidRPr="004C23F4" w14:paraId="485F1059" w14:textId="77777777" w:rsidTr="00B76A41">
        <w:trPr>
          <w:cantSplit/>
        </w:trPr>
        <w:tc>
          <w:tcPr>
            <w:tcW w:w="4077" w:type="dxa"/>
          </w:tcPr>
          <w:p w14:paraId="1B74E9B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F37BD1E" w14:textId="0501C54D" w:rsidR="00F43AD5" w:rsidRPr="00717D45" w:rsidRDefault="00E61617" w:rsidP="00B76A41">
            <w:pPr>
              <w:pStyle w:val="Tablefont"/>
            </w:pPr>
            <w:r>
              <w:t>C</w:t>
            </w:r>
            <w:r w:rsidRPr="00E61617">
              <w:rPr>
                <w:vertAlign w:val="subscript"/>
              </w:rPr>
              <w:t>2</w:t>
            </w:r>
            <w:r>
              <w:t>H</w:t>
            </w:r>
            <w:r w:rsidRPr="00E61617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14:paraId="23D8D79E" w14:textId="77777777" w:rsidTr="00B76A41">
        <w:trPr>
          <w:cantSplit/>
        </w:trPr>
        <w:tc>
          <w:tcPr>
            <w:tcW w:w="4077" w:type="dxa"/>
          </w:tcPr>
          <w:p w14:paraId="0203084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960DBB0" w14:textId="2AABC698" w:rsidR="00F43AD5" w:rsidRPr="00C2032F" w:rsidRDefault="00E61617" w:rsidP="00B76A41">
            <w:pPr>
              <w:pStyle w:val="Tablerowheading"/>
              <w:rPr>
                <w:b w:val="0"/>
              </w:rPr>
            </w:pPr>
            <w:r w:rsidRPr="00C2032F">
              <w:rPr>
                <w:b w:val="0"/>
              </w:rPr>
              <w:t>—</w:t>
            </w:r>
          </w:p>
        </w:tc>
      </w:tr>
    </w:tbl>
    <w:p w14:paraId="50D4895C" w14:textId="4C5BCB3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2435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6630B79" w14:textId="77777777" w:rsidTr="00832B59">
        <w:trPr>
          <w:cantSplit/>
          <w:tblHeader/>
        </w:trPr>
        <w:tc>
          <w:tcPr>
            <w:tcW w:w="4005" w:type="dxa"/>
            <w:vAlign w:val="center"/>
          </w:tcPr>
          <w:p w14:paraId="04A67AC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1C0A413" w14:textId="7E1715BA" w:rsidR="002C7AFE" w:rsidRPr="00EB3D1B" w:rsidRDefault="00B24354" w:rsidP="00017C82">
            <w:pPr>
              <w:pStyle w:val="Tablefont"/>
              <w:rPr>
                <w:b/>
              </w:rPr>
            </w:pPr>
            <w:r w:rsidRPr="00B24354">
              <w:rPr>
                <w:b/>
              </w:rPr>
              <w:t>200 ppm (380 mg/m</w:t>
            </w:r>
            <w:r w:rsidRPr="00B24354">
              <w:rPr>
                <w:b/>
                <w:vertAlign w:val="superscript"/>
              </w:rPr>
              <w:t>3</w:t>
            </w:r>
            <w:r w:rsidRPr="00B24354">
              <w:rPr>
                <w:b/>
              </w:rPr>
              <w:t>)</w:t>
            </w:r>
          </w:p>
        </w:tc>
      </w:tr>
      <w:tr w:rsidR="002C7AFE" w:rsidRPr="004C23F4" w14:paraId="1EA2B539" w14:textId="77777777" w:rsidTr="00832B59">
        <w:trPr>
          <w:cantSplit/>
        </w:trPr>
        <w:tc>
          <w:tcPr>
            <w:tcW w:w="4005" w:type="dxa"/>
            <w:vAlign w:val="center"/>
          </w:tcPr>
          <w:p w14:paraId="30BBFEF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732458B" w14:textId="41DA220D" w:rsidR="002C7AFE" w:rsidRPr="00EB3D1B" w:rsidRDefault="00B24354" w:rsidP="00017C82">
            <w:pPr>
              <w:pStyle w:val="Tablefont"/>
              <w:rPr>
                <w:b/>
              </w:rPr>
            </w:pPr>
            <w:r w:rsidRPr="00B24354">
              <w:rPr>
                <w:b/>
              </w:rPr>
              <w:t>800 ppm (1,500 mg/m</w:t>
            </w:r>
            <w:r w:rsidRPr="00B24354">
              <w:rPr>
                <w:b/>
                <w:vertAlign w:val="superscript"/>
              </w:rPr>
              <w:t>3</w:t>
            </w:r>
            <w:r w:rsidRPr="00B24354">
              <w:rPr>
                <w:b/>
              </w:rPr>
              <w:t>)</w:t>
            </w:r>
          </w:p>
        </w:tc>
      </w:tr>
      <w:tr w:rsidR="002C7AFE" w:rsidRPr="004C23F4" w14:paraId="1379DCE9" w14:textId="77777777" w:rsidTr="00832B59">
        <w:trPr>
          <w:cantSplit/>
        </w:trPr>
        <w:tc>
          <w:tcPr>
            <w:tcW w:w="4005" w:type="dxa"/>
            <w:vAlign w:val="center"/>
          </w:tcPr>
          <w:p w14:paraId="630F095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2E76E28" w14:textId="3EA776CE" w:rsidR="002C7AFE" w:rsidRPr="00EB3D1B" w:rsidRDefault="00B2435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CEA42CA" w14:textId="77777777" w:rsidTr="00832B59">
        <w:trPr>
          <w:cantSplit/>
        </w:trPr>
        <w:tc>
          <w:tcPr>
            <w:tcW w:w="4005" w:type="dxa"/>
          </w:tcPr>
          <w:p w14:paraId="451C8B1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310F740" w14:textId="7ED9DBEA" w:rsidR="002C7AFE" w:rsidRPr="00EB3D1B" w:rsidRDefault="00B2435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809B138" w14:textId="77777777" w:rsidTr="00832B59">
        <w:trPr>
          <w:cantSplit/>
        </w:trPr>
        <w:tc>
          <w:tcPr>
            <w:tcW w:w="4005" w:type="dxa"/>
            <w:vAlign w:val="center"/>
          </w:tcPr>
          <w:p w14:paraId="721138F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9C43A9F" w14:textId="56649257" w:rsidR="002C7AFE" w:rsidRPr="00EB3D1B" w:rsidRDefault="00B355F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</w:t>
            </w:r>
            <w:r w:rsidR="00C2032F">
              <w:rPr>
                <w:b/>
              </w:rPr>
              <w:t>,</w:t>
            </w:r>
            <w:r>
              <w:rPr>
                <w:b/>
              </w:rPr>
              <w:t>300 ppm</w:t>
            </w:r>
            <w:r w:rsidR="008D6927">
              <w:rPr>
                <w:b/>
              </w:rPr>
              <w:t xml:space="preserve"> </w:t>
            </w:r>
            <w:r w:rsidR="005E6C2D">
              <w:rPr>
                <w:b/>
              </w:rPr>
              <w:t>(LEL)</w:t>
            </w:r>
          </w:p>
        </w:tc>
      </w:tr>
      <w:tr w:rsidR="00832B59" w:rsidRPr="004C23F4" w14:paraId="16C022AE" w14:textId="77777777" w:rsidTr="00330DB6">
        <w:trPr>
          <w:cantSplit/>
        </w:trPr>
        <w:tc>
          <w:tcPr>
            <w:tcW w:w="9026" w:type="dxa"/>
            <w:gridSpan w:val="2"/>
            <w:vAlign w:val="center"/>
          </w:tcPr>
          <w:p w14:paraId="290743C8" w14:textId="6FDF34B6" w:rsidR="00832B59" w:rsidRPr="008F4C2D" w:rsidRDefault="00832B59" w:rsidP="00B24354">
            <w:pPr>
              <w:pStyle w:val="Tablefont"/>
              <w:jc w:val="both"/>
              <w:rPr>
                <w:b/>
              </w:rPr>
            </w:pPr>
            <w:r w:rsidRPr="008F4C2D">
              <w:rPr>
                <w:b/>
              </w:rPr>
              <w:t>Sampling and analysis:</w:t>
            </w:r>
            <w:r w:rsidRPr="008F4C2D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3208F7D9C464FE595D138FED379F04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C14C2" w:rsidRPr="008F4C2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3FF2A9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5243580" w14:textId="6DB30C98" w:rsidR="006D2153" w:rsidRDefault="009435F3" w:rsidP="009435F3">
      <w:pPr>
        <w:rPr>
          <w:rFonts w:cs="Arial"/>
        </w:rPr>
      </w:pPr>
      <w:r w:rsidRPr="009435F3">
        <w:rPr>
          <w:rFonts w:cs="Arial"/>
        </w:rPr>
        <w:t xml:space="preserve">A TWA of </w:t>
      </w:r>
      <w:r w:rsidR="000C6E06">
        <w:rPr>
          <w:rFonts w:cs="Arial"/>
        </w:rPr>
        <w:t>200</w:t>
      </w:r>
      <w:r w:rsidRPr="009435F3">
        <w:rPr>
          <w:rFonts w:cs="Arial"/>
        </w:rPr>
        <w:t xml:space="preserve"> ppm (</w:t>
      </w:r>
      <w:r w:rsidR="000C6E06">
        <w:rPr>
          <w:rFonts w:cs="Arial"/>
        </w:rPr>
        <w:t>380 mg/m</w:t>
      </w:r>
      <w:r w:rsidR="00B24354">
        <w:rPr>
          <w:rFonts w:cs="Arial"/>
          <w:vertAlign w:val="superscript"/>
        </w:rPr>
        <w:t>3</w:t>
      </w:r>
      <w:r w:rsidRPr="009435F3">
        <w:rPr>
          <w:rFonts w:cs="Arial"/>
        </w:rPr>
        <w:t xml:space="preserve">) is recommended to protect for </w:t>
      </w:r>
      <w:r w:rsidR="00513632">
        <w:rPr>
          <w:rFonts w:cs="Arial"/>
        </w:rPr>
        <w:t>central nervous system effects</w:t>
      </w:r>
      <w:r w:rsidR="00D95BB0">
        <w:rPr>
          <w:rFonts w:cs="Arial"/>
        </w:rPr>
        <w:t>,</w:t>
      </w:r>
      <w:r w:rsidR="00513632">
        <w:rPr>
          <w:rFonts w:cs="Arial"/>
        </w:rPr>
        <w:t xml:space="preserve"> </w:t>
      </w:r>
      <w:r w:rsidR="000C6E06">
        <w:rPr>
          <w:rFonts w:cs="Arial"/>
        </w:rPr>
        <w:t>carcinogenicity</w:t>
      </w:r>
      <w:r w:rsidR="00804514">
        <w:rPr>
          <w:rFonts w:cs="Arial"/>
        </w:rPr>
        <w:t xml:space="preserve"> and live</w:t>
      </w:r>
      <w:r w:rsidR="000375E8">
        <w:rPr>
          <w:rFonts w:cs="Arial"/>
        </w:rPr>
        <w:t>r</w:t>
      </w:r>
      <w:r w:rsidR="00804514">
        <w:rPr>
          <w:rFonts w:cs="Arial"/>
        </w:rPr>
        <w:t xml:space="preserve"> effects</w:t>
      </w:r>
      <w:r w:rsidR="000C6E06">
        <w:rPr>
          <w:rFonts w:cs="Arial"/>
        </w:rPr>
        <w:t xml:space="preserve"> in chronically exposed </w:t>
      </w:r>
      <w:r w:rsidRPr="009435F3">
        <w:rPr>
          <w:rFonts w:cs="Arial"/>
        </w:rPr>
        <w:t xml:space="preserve">workers. </w:t>
      </w:r>
    </w:p>
    <w:p w14:paraId="4F11408A" w14:textId="72835882" w:rsidR="006639B4" w:rsidRPr="004C23F4" w:rsidRDefault="000C6E06" w:rsidP="009435F3">
      <w:pPr>
        <w:rPr>
          <w:rFonts w:cs="Arial"/>
        </w:rPr>
      </w:pPr>
      <w:r>
        <w:rPr>
          <w:rFonts w:cs="Arial"/>
        </w:rPr>
        <w:t xml:space="preserve">A </w:t>
      </w:r>
      <w:r w:rsidR="009435F3" w:rsidRPr="009435F3">
        <w:rPr>
          <w:rFonts w:cs="Arial"/>
        </w:rPr>
        <w:t>STEL of</w:t>
      </w:r>
      <w:r>
        <w:rPr>
          <w:rFonts w:cs="Arial"/>
        </w:rPr>
        <w:t xml:space="preserve"> 800</w:t>
      </w:r>
      <w:r w:rsidR="009435F3" w:rsidRPr="009435F3">
        <w:rPr>
          <w:rFonts w:cs="Arial"/>
        </w:rPr>
        <w:t xml:space="preserve"> ppm (</w:t>
      </w:r>
      <w:r>
        <w:rPr>
          <w:rFonts w:cs="Arial"/>
        </w:rPr>
        <w:t>1,500</w:t>
      </w:r>
      <w:r w:rsidR="009435F3" w:rsidRPr="009435F3">
        <w:rPr>
          <w:rFonts w:cs="Arial"/>
        </w:rPr>
        <w:t xml:space="preserve"> mg/m</w:t>
      </w:r>
      <w:r w:rsidR="009435F3" w:rsidRPr="000C6E06">
        <w:rPr>
          <w:rFonts w:cs="Arial"/>
          <w:vertAlign w:val="superscript"/>
        </w:rPr>
        <w:t>3</w:t>
      </w:r>
      <w:r w:rsidR="009435F3" w:rsidRPr="009435F3">
        <w:rPr>
          <w:rFonts w:cs="Arial"/>
        </w:rPr>
        <w:t xml:space="preserve">) is recommended to protect for </w:t>
      </w:r>
      <w:r>
        <w:rPr>
          <w:rFonts w:cs="Arial"/>
        </w:rPr>
        <w:t>transient irritation</w:t>
      </w:r>
      <w:r w:rsidR="009435F3" w:rsidRPr="009435F3">
        <w:rPr>
          <w:rFonts w:cs="Arial"/>
        </w:rPr>
        <w:t xml:space="preserve"> </w:t>
      </w:r>
      <w:r w:rsidR="000A34B4">
        <w:rPr>
          <w:rFonts w:cs="Arial"/>
        </w:rPr>
        <w:t>from acute exposures</w:t>
      </w:r>
      <w:r w:rsidR="009435F3">
        <w:rPr>
          <w:rFonts w:cs="Arial"/>
        </w:rPr>
        <w:t>.</w:t>
      </w:r>
    </w:p>
    <w:p w14:paraId="63E5C0A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1D141B2" w14:textId="77777777" w:rsidR="006D2153" w:rsidRDefault="00772545" w:rsidP="006639B4">
      <w:pPr>
        <w:rPr>
          <w:rFonts w:cs="Arial"/>
        </w:rPr>
      </w:pPr>
      <w:r>
        <w:rPr>
          <w:rFonts w:cs="Arial"/>
        </w:rPr>
        <w:t xml:space="preserve">Ethyl alcohol </w:t>
      </w:r>
      <w:r w:rsidR="00A50F6C">
        <w:rPr>
          <w:rFonts w:cs="Arial"/>
        </w:rPr>
        <w:t xml:space="preserve">encountered in the workplace is used as a solvent, additive to disinfectants or as a starting material in various chemical manufacture and pharmaceutical settings. </w:t>
      </w:r>
    </w:p>
    <w:p w14:paraId="746F508D" w14:textId="38172E71" w:rsidR="00492FA5" w:rsidRDefault="000375E8" w:rsidP="006639B4">
      <w:pPr>
        <w:rPr>
          <w:rFonts w:cs="Arial"/>
        </w:rPr>
      </w:pPr>
      <w:r>
        <w:rPr>
          <w:rFonts w:cs="Arial"/>
        </w:rPr>
        <w:t xml:space="preserve">Adverse </w:t>
      </w:r>
      <w:r w:rsidR="00287C1A">
        <w:rPr>
          <w:rFonts w:cs="Arial"/>
        </w:rPr>
        <w:t xml:space="preserve">effects </w:t>
      </w:r>
      <w:r w:rsidR="000A34B4">
        <w:rPr>
          <w:rFonts w:cs="Arial"/>
        </w:rPr>
        <w:t xml:space="preserve">are </w:t>
      </w:r>
      <w:r w:rsidR="00B845E0">
        <w:rPr>
          <w:rFonts w:cs="Arial"/>
        </w:rPr>
        <w:t xml:space="preserve">transient </w:t>
      </w:r>
      <w:r w:rsidR="000F05EF">
        <w:rPr>
          <w:rFonts w:cs="Arial"/>
        </w:rPr>
        <w:t xml:space="preserve">eye </w:t>
      </w:r>
      <w:r w:rsidR="00F01853">
        <w:rPr>
          <w:rFonts w:cs="Arial"/>
        </w:rPr>
        <w:t>irritation and depression of</w:t>
      </w:r>
      <w:r w:rsidR="00513632">
        <w:rPr>
          <w:rFonts w:cs="Arial"/>
        </w:rPr>
        <w:t xml:space="preserve"> CNS </w:t>
      </w:r>
      <w:r w:rsidR="00264A1D">
        <w:rPr>
          <w:rFonts w:cs="Arial"/>
        </w:rPr>
        <w:t>after short exposure and a</w:t>
      </w:r>
      <w:r w:rsidR="00F01853">
        <w:rPr>
          <w:rFonts w:cs="Arial"/>
        </w:rPr>
        <w:t>fter long-term exposure,</w:t>
      </w:r>
      <w:r w:rsidR="00513632">
        <w:rPr>
          <w:rFonts w:cs="Arial"/>
        </w:rPr>
        <w:t xml:space="preserve"> </w:t>
      </w:r>
      <w:r w:rsidR="000F05EF">
        <w:rPr>
          <w:rFonts w:cs="Arial"/>
        </w:rPr>
        <w:t xml:space="preserve">potential </w:t>
      </w:r>
      <w:r>
        <w:rPr>
          <w:rFonts w:cs="Arial"/>
        </w:rPr>
        <w:t xml:space="preserve">hepatotoxicity, developmental effects </w:t>
      </w:r>
      <w:r w:rsidR="00F01853">
        <w:rPr>
          <w:rFonts w:cs="Arial"/>
        </w:rPr>
        <w:t xml:space="preserve">and </w:t>
      </w:r>
      <w:r w:rsidR="000F05EF">
        <w:rPr>
          <w:rFonts w:cs="Arial"/>
        </w:rPr>
        <w:t>carcinogenicity.</w:t>
      </w:r>
      <w:r w:rsidR="006D2153">
        <w:rPr>
          <w:rFonts w:cs="Arial"/>
        </w:rPr>
        <w:t xml:space="preserve"> </w:t>
      </w:r>
      <w:r w:rsidR="000F05EF">
        <w:rPr>
          <w:rFonts w:cs="Arial"/>
        </w:rPr>
        <w:t>Carcinogenic</w:t>
      </w:r>
      <w:r w:rsidR="00A754C6">
        <w:rPr>
          <w:rFonts w:cs="Arial"/>
        </w:rPr>
        <w:t xml:space="preserve"> and developmental</w:t>
      </w:r>
      <w:r w:rsidR="000F05EF">
        <w:rPr>
          <w:rFonts w:cs="Arial"/>
        </w:rPr>
        <w:t xml:space="preserve"> effects </w:t>
      </w:r>
      <w:r w:rsidR="006D2153">
        <w:rPr>
          <w:rFonts w:cs="Arial"/>
        </w:rPr>
        <w:t>resulting from</w:t>
      </w:r>
      <w:r w:rsidR="000F05EF">
        <w:rPr>
          <w:rFonts w:cs="Arial"/>
        </w:rPr>
        <w:t xml:space="preserve"> the consumption of alcoholic beverages are discussed in most source material</w:t>
      </w:r>
      <w:r w:rsidR="0004392D">
        <w:rPr>
          <w:rFonts w:cs="Arial"/>
        </w:rPr>
        <w:t>. However,</w:t>
      </w:r>
      <w:r w:rsidR="000F05EF">
        <w:rPr>
          <w:rFonts w:cs="Arial"/>
        </w:rPr>
        <w:t xml:space="preserve"> </w:t>
      </w:r>
      <w:r w:rsidR="00F01853">
        <w:rPr>
          <w:rFonts w:cs="Arial"/>
        </w:rPr>
        <w:t>these</w:t>
      </w:r>
      <w:r w:rsidR="00F01853" w:rsidRPr="00F01853">
        <w:rPr>
          <w:rFonts w:cs="Arial"/>
        </w:rPr>
        <w:t xml:space="preserve"> effects are only observed at extremely high </w:t>
      </w:r>
      <w:r w:rsidR="00264A1D">
        <w:rPr>
          <w:rFonts w:cs="Arial"/>
        </w:rPr>
        <w:t xml:space="preserve">levels of alcohol </w:t>
      </w:r>
      <w:r>
        <w:rPr>
          <w:rFonts w:cs="Arial"/>
        </w:rPr>
        <w:t>consumption</w:t>
      </w:r>
      <w:r w:rsidR="00264A1D">
        <w:rPr>
          <w:rFonts w:cs="Arial"/>
        </w:rPr>
        <w:t xml:space="preserve"> and are</w:t>
      </w:r>
      <w:r w:rsidRPr="00F01853">
        <w:rPr>
          <w:rFonts w:cs="Arial"/>
        </w:rPr>
        <w:t xml:space="preserve"> </w:t>
      </w:r>
      <w:r w:rsidR="00F01853" w:rsidRPr="00F01853">
        <w:rPr>
          <w:rFonts w:cs="Arial"/>
        </w:rPr>
        <w:t>unlikely to occur from inhalational or dermal exposure in the workplace</w:t>
      </w:r>
      <w:r w:rsidR="00F01853" w:rsidRPr="00F01853" w:rsidDel="00F01853">
        <w:rPr>
          <w:rFonts w:cs="Arial"/>
        </w:rPr>
        <w:t xml:space="preserve"> </w:t>
      </w:r>
      <w:r w:rsidR="000F05EF">
        <w:rPr>
          <w:rFonts w:cs="Arial"/>
        </w:rPr>
        <w:t xml:space="preserve">(ACGIH, 2018; </w:t>
      </w:r>
      <w:r w:rsidR="00B268C4">
        <w:rPr>
          <w:rFonts w:cs="Arial"/>
        </w:rPr>
        <w:t xml:space="preserve">HCOTN, 2005, </w:t>
      </w:r>
      <w:r w:rsidR="000F05EF">
        <w:rPr>
          <w:rFonts w:cs="Arial"/>
        </w:rPr>
        <w:t xml:space="preserve">NICNAS, 2014). </w:t>
      </w:r>
      <w:r w:rsidR="00A754C6">
        <w:rPr>
          <w:rFonts w:cs="Arial"/>
        </w:rPr>
        <w:t>Local irritation is</w:t>
      </w:r>
      <w:r w:rsidR="000F05EF">
        <w:rPr>
          <w:rFonts w:cs="Arial"/>
        </w:rPr>
        <w:t xml:space="preserve"> demonstrated at concentrations between 1,000</w:t>
      </w:r>
      <w:r w:rsidR="006D2153">
        <w:rPr>
          <w:rFonts w:cs="Arial"/>
        </w:rPr>
        <w:t xml:space="preserve"> and </w:t>
      </w:r>
      <w:r w:rsidR="000F05EF">
        <w:rPr>
          <w:rFonts w:cs="Arial"/>
        </w:rPr>
        <w:t>1,900</w:t>
      </w:r>
      <w:r w:rsidR="00832B59">
        <w:rPr>
          <w:rFonts w:cs="Arial"/>
        </w:rPr>
        <w:t xml:space="preserve"> </w:t>
      </w:r>
      <w:r w:rsidR="000F05EF">
        <w:rPr>
          <w:rFonts w:cs="Arial"/>
        </w:rPr>
        <w:t xml:space="preserve">ppm in </w:t>
      </w:r>
      <w:r w:rsidR="00A754C6">
        <w:rPr>
          <w:rFonts w:cs="Arial"/>
        </w:rPr>
        <w:t>volunteers, which is the basis of the</w:t>
      </w:r>
      <w:r w:rsidR="006D2153">
        <w:rPr>
          <w:rFonts w:cs="Arial"/>
        </w:rPr>
        <w:t xml:space="preserve"> ACGIH </w:t>
      </w:r>
      <w:r w:rsidR="00A754C6">
        <w:rPr>
          <w:rFonts w:cs="Arial"/>
        </w:rPr>
        <w:t>TLV-STEL (</w:t>
      </w:r>
      <w:r w:rsidR="000F05EF">
        <w:rPr>
          <w:rFonts w:cs="Arial"/>
        </w:rPr>
        <w:t>2018)</w:t>
      </w:r>
      <w:r w:rsidR="00A754C6">
        <w:rPr>
          <w:rFonts w:cs="Arial"/>
        </w:rPr>
        <w:t xml:space="preserve">. Translation of oral toxicity </w:t>
      </w:r>
      <w:r w:rsidR="00B268C4">
        <w:rPr>
          <w:rFonts w:cs="Arial"/>
        </w:rPr>
        <w:t xml:space="preserve">in humans </w:t>
      </w:r>
      <w:r w:rsidR="00A754C6">
        <w:rPr>
          <w:rFonts w:cs="Arial"/>
        </w:rPr>
        <w:t xml:space="preserve">to an inhalational </w:t>
      </w:r>
      <w:r w:rsidR="00F01853">
        <w:rPr>
          <w:rFonts w:cs="Arial"/>
        </w:rPr>
        <w:t>equivalent suggests</w:t>
      </w:r>
      <w:r w:rsidR="00B268C4">
        <w:rPr>
          <w:rFonts w:cs="Arial"/>
        </w:rPr>
        <w:t xml:space="preserve"> an occupational exposure of 690</w:t>
      </w:r>
      <w:r w:rsidR="006D2153">
        <w:rPr>
          <w:rFonts w:cs="Arial"/>
        </w:rPr>
        <w:t xml:space="preserve"> to </w:t>
      </w:r>
      <w:r w:rsidR="00B268C4">
        <w:rPr>
          <w:rFonts w:cs="Arial"/>
        </w:rPr>
        <w:t xml:space="preserve">790 ppm would not increase the risk of cancer appreciably above the </w:t>
      </w:r>
      <w:r w:rsidR="00492FA5">
        <w:rPr>
          <w:rFonts w:cs="Arial"/>
        </w:rPr>
        <w:t xml:space="preserve">existing </w:t>
      </w:r>
      <w:r w:rsidR="00B268C4">
        <w:rPr>
          <w:rFonts w:cs="Arial"/>
        </w:rPr>
        <w:t xml:space="preserve">risk associated with internal exposure to endogenous </w:t>
      </w:r>
      <w:r w:rsidR="00492FA5">
        <w:rPr>
          <w:rFonts w:cs="Arial"/>
        </w:rPr>
        <w:t>ethyl alcohol (DFG, 2017; HCOTN, 2005). On this basis, the HCOTN (2005) recommends a 15</w:t>
      </w:r>
      <w:r w:rsidR="00832B59">
        <w:rPr>
          <w:rFonts w:cs="Arial"/>
        </w:rPr>
        <w:t xml:space="preserve"> </w:t>
      </w:r>
      <w:r w:rsidR="00492FA5">
        <w:rPr>
          <w:rFonts w:cs="Arial"/>
        </w:rPr>
        <w:t xml:space="preserve">minute STEL of 1,000 ppm, whereas the DFG (2017) has amended the previous MAK of 500 ppm to 200 ppm to account for a </w:t>
      </w:r>
      <w:r w:rsidR="006D2153">
        <w:rPr>
          <w:rFonts w:cs="Arial"/>
        </w:rPr>
        <w:t>two to three</w:t>
      </w:r>
      <w:r w:rsidR="00492FA5">
        <w:rPr>
          <w:rFonts w:cs="Arial"/>
        </w:rPr>
        <w:t>-fold increased body burden resulting from higher bioavailability under exertion</w:t>
      </w:r>
      <w:r w:rsidR="00B845E0">
        <w:rPr>
          <w:rFonts w:cs="Arial"/>
        </w:rPr>
        <w:t xml:space="preserve"> as</w:t>
      </w:r>
      <w:r w:rsidR="00492FA5">
        <w:rPr>
          <w:rFonts w:cs="Arial"/>
        </w:rPr>
        <w:t xml:space="preserve"> </w:t>
      </w:r>
      <w:r w:rsidR="00B845E0">
        <w:rPr>
          <w:rFonts w:cs="Arial"/>
        </w:rPr>
        <w:t>demonstrated in</w:t>
      </w:r>
      <w:r w:rsidR="00492FA5">
        <w:rPr>
          <w:rFonts w:cs="Arial"/>
        </w:rPr>
        <w:t xml:space="preserve"> a volunteer study. </w:t>
      </w:r>
    </w:p>
    <w:p w14:paraId="6996CCC8" w14:textId="2EF5085B" w:rsidR="000F05EF" w:rsidRPr="004C23F4" w:rsidRDefault="006D2153" w:rsidP="006639B4">
      <w:pPr>
        <w:rPr>
          <w:rFonts w:cs="Arial"/>
        </w:rPr>
      </w:pPr>
      <w:r>
        <w:rPr>
          <w:rFonts w:cs="Arial"/>
        </w:rPr>
        <w:t xml:space="preserve">It is recommended that the </w:t>
      </w:r>
      <w:r w:rsidR="00492FA5">
        <w:rPr>
          <w:rFonts w:cs="Arial"/>
        </w:rPr>
        <w:t xml:space="preserve">TWA is amended in alignment with the approach presented by the DFG (2017) </w:t>
      </w:r>
      <w:r w:rsidR="00264A1D">
        <w:rPr>
          <w:rFonts w:cs="Arial"/>
        </w:rPr>
        <w:t>as it</w:t>
      </w:r>
      <w:bookmarkStart w:id="0" w:name="_GoBack"/>
      <w:bookmarkEnd w:id="0"/>
      <w:r w:rsidR="00492FA5">
        <w:rPr>
          <w:rFonts w:cs="Arial"/>
        </w:rPr>
        <w:t xml:space="preserve"> is anticipated to be protective </w:t>
      </w:r>
      <w:r w:rsidR="00B845E0">
        <w:rPr>
          <w:rFonts w:cs="Arial"/>
        </w:rPr>
        <w:t>of</w:t>
      </w:r>
      <w:r w:rsidR="00492FA5">
        <w:rPr>
          <w:rFonts w:cs="Arial"/>
        </w:rPr>
        <w:t xml:space="preserve"> </w:t>
      </w:r>
      <w:r w:rsidR="00945034">
        <w:rPr>
          <w:rFonts w:cs="Arial"/>
        </w:rPr>
        <w:t xml:space="preserve">effects on the </w:t>
      </w:r>
      <w:r w:rsidR="00F01853">
        <w:rPr>
          <w:rFonts w:cs="Arial"/>
        </w:rPr>
        <w:t xml:space="preserve">CNS and </w:t>
      </w:r>
      <w:r w:rsidR="00945034">
        <w:rPr>
          <w:rFonts w:cs="Arial"/>
        </w:rPr>
        <w:t xml:space="preserve">liver. This value will also be </w:t>
      </w:r>
      <w:r w:rsidR="00945034">
        <w:rPr>
          <w:rFonts w:cs="Arial"/>
        </w:rPr>
        <w:lastRenderedPageBreak/>
        <w:t xml:space="preserve">protective of any potential </w:t>
      </w:r>
      <w:r w:rsidR="00B845E0">
        <w:rPr>
          <w:rFonts w:cs="Arial"/>
        </w:rPr>
        <w:t>carcinogenic</w:t>
      </w:r>
      <w:r w:rsidR="00945034">
        <w:rPr>
          <w:rFonts w:cs="Arial"/>
        </w:rPr>
        <w:t xml:space="preserve"> associated with long-term exposure</w:t>
      </w:r>
      <w:r w:rsidR="00FF0633">
        <w:rPr>
          <w:rFonts w:cs="Arial"/>
        </w:rPr>
        <w:t xml:space="preserve">. </w:t>
      </w:r>
      <w:r w:rsidR="00B845E0">
        <w:rPr>
          <w:rFonts w:cs="Arial"/>
        </w:rPr>
        <w:t>A STEL of 800 ppm is also recommended and expected to be protective of transient irritation effects</w:t>
      </w:r>
      <w:r w:rsidR="009435F3">
        <w:rPr>
          <w:rFonts w:cs="Arial"/>
        </w:rPr>
        <w:t xml:space="preserve"> resulting from</w:t>
      </w:r>
      <w:r w:rsidR="00B845E0">
        <w:rPr>
          <w:rFonts w:cs="Arial"/>
        </w:rPr>
        <w:t xml:space="preserve"> </w:t>
      </w:r>
      <w:r w:rsidR="000C6E06">
        <w:rPr>
          <w:rFonts w:cs="Arial"/>
        </w:rPr>
        <w:t xml:space="preserve">acute exposures and </w:t>
      </w:r>
      <w:r w:rsidR="009435F3">
        <w:rPr>
          <w:rFonts w:cs="Arial"/>
        </w:rPr>
        <w:t>is supported by the evaluations of the ACGIH (2018) and HCOTN (2005).</w:t>
      </w:r>
      <w:r w:rsidR="00B845E0">
        <w:rPr>
          <w:rFonts w:cs="Arial"/>
        </w:rPr>
        <w:t xml:space="preserve"> </w:t>
      </w:r>
    </w:p>
    <w:p w14:paraId="42B3DB1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9C97207" w14:textId="3946BAD0" w:rsidR="00E61617" w:rsidRPr="00A70823" w:rsidRDefault="00E61617" w:rsidP="00E61617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3C435D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14:paraId="0028454C" w14:textId="0CFD8A3F" w:rsidR="00E61617" w:rsidRPr="00A70823" w:rsidRDefault="00E61617" w:rsidP="00E61617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3C435D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6C6F5C35" w14:textId="05DCA3C3" w:rsidR="0025734A" w:rsidRPr="004C23F4" w:rsidRDefault="000C6E06">
      <w:pPr>
        <w:rPr>
          <w:rFonts w:cs="Arial"/>
        </w:rPr>
      </w:pPr>
      <w:r w:rsidRPr="000C6E06">
        <w:rPr>
          <w:rFonts w:cs="Arial"/>
        </w:rPr>
        <w:t xml:space="preserve">A skin notation is not </w:t>
      </w:r>
      <w:r w:rsidR="006D2153">
        <w:rPr>
          <w:rFonts w:cs="Arial"/>
        </w:rPr>
        <w:t>recommende</w:t>
      </w:r>
      <w:r w:rsidRPr="000C6E06">
        <w:rPr>
          <w:rFonts w:cs="Arial"/>
        </w:rPr>
        <w:t>d as there is no indication of systemic effects</w:t>
      </w:r>
      <w:r>
        <w:rPr>
          <w:rFonts w:cs="Arial"/>
        </w:rPr>
        <w:t xml:space="preserve"> resulting from skin absorption at </w:t>
      </w:r>
      <w:r w:rsidR="000A34B4">
        <w:rPr>
          <w:rFonts w:cs="Arial"/>
        </w:rPr>
        <w:t>exposures</w:t>
      </w:r>
      <w:r>
        <w:rPr>
          <w:rFonts w:cs="Arial"/>
        </w:rPr>
        <w:t xml:space="preserve"> relevant to the workplace.</w:t>
      </w:r>
    </w:p>
    <w:p w14:paraId="7B73B60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11AB58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8B3FD6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C93B61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C0D12B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998E18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BD98BA" w14:textId="0483B21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6161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61617">
                  <w:t>TWA: 1</w:t>
                </w:r>
                <w:r w:rsidR="00C2032F">
                  <w:t>,</w:t>
                </w:r>
                <w:r w:rsidR="00E61617">
                  <w:t>000 ppm (1</w:t>
                </w:r>
                <w:r w:rsidR="00C2032F">
                  <w:t>,</w:t>
                </w:r>
                <w:r w:rsidR="00E61617">
                  <w:t>880 mg/m</w:t>
                </w:r>
                <w:r w:rsidR="00E61617" w:rsidRPr="00E61617">
                  <w:rPr>
                    <w:vertAlign w:val="superscript"/>
                  </w:rPr>
                  <w:t>3</w:t>
                </w:r>
                <w:r w:rsidR="00E61617">
                  <w:t>)</w:t>
                </w:r>
              </w:sdtContent>
            </w:sdt>
          </w:p>
        </w:tc>
      </w:tr>
      <w:tr w:rsidR="00C978F0" w:rsidRPr="00DA352E" w14:paraId="512BEC7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10B63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BC04A3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D1C8FAB" w14:textId="1945FD3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61617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61617">
                  <w:t>TLV-STEL: 1</w:t>
                </w:r>
                <w:r w:rsidR="00C2032F">
                  <w:t>,</w:t>
                </w:r>
                <w:r w:rsidR="00E61617">
                  <w:t>000 ppm (1</w:t>
                </w:r>
                <w:r w:rsidR="00C2032F">
                  <w:t>,</w:t>
                </w:r>
                <w:r w:rsidR="00E61617">
                  <w:t>880 mg/m</w:t>
                </w:r>
                <w:r w:rsidR="00E61617" w:rsidRPr="00E61617">
                  <w:rPr>
                    <w:vertAlign w:val="superscript"/>
                  </w:rPr>
                  <w:t>3</w:t>
                </w:r>
                <w:r w:rsidR="00E61617">
                  <w:t>)</w:t>
                </w:r>
              </w:sdtContent>
            </w:sdt>
          </w:p>
        </w:tc>
      </w:tr>
      <w:tr w:rsidR="00C978F0" w:rsidRPr="00DA352E" w14:paraId="3A45CAE8" w14:textId="77777777" w:rsidTr="005E6C2D">
        <w:trPr>
          <w:gridAfter w:val="1"/>
          <w:wAfter w:w="8" w:type="pct"/>
        </w:trPr>
        <w:tc>
          <w:tcPr>
            <w:tcW w:w="4992" w:type="pct"/>
          </w:tcPr>
          <w:p w14:paraId="6731475C" w14:textId="77777777" w:rsidR="006D2153" w:rsidRDefault="00847BF0" w:rsidP="003365A5">
            <w:pPr>
              <w:pStyle w:val="Tabletextprimarysource"/>
            </w:pPr>
            <w:r>
              <w:t xml:space="preserve">TLV-STEL intended to protect for irritation to eyes and upper respiratory tract. </w:t>
            </w:r>
          </w:p>
          <w:p w14:paraId="6B0CEBB2" w14:textId="0728048B" w:rsidR="006D2153" w:rsidRDefault="00847BF0" w:rsidP="003365A5">
            <w:pPr>
              <w:pStyle w:val="Tabletextprimarysource"/>
            </w:pPr>
            <w:r>
              <w:t xml:space="preserve">Chronic exposure leads to liver cirrhosis and adverse developmental and fertility effects in animals. </w:t>
            </w:r>
          </w:p>
          <w:p w14:paraId="1867B3AA" w14:textId="77777777" w:rsidR="006D2153" w:rsidRDefault="00847BF0" w:rsidP="003365A5">
            <w:pPr>
              <w:pStyle w:val="Tabletextprimarysource"/>
            </w:pPr>
            <w:r>
              <w:t xml:space="preserve">A TLV-TWA is not recommended as the TLV-STEL is expected to be protective of both acute </w:t>
            </w:r>
            <w:proofErr w:type="spellStart"/>
            <w:r>
              <w:t>irritational</w:t>
            </w:r>
            <w:proofErr w:type="spellEnd"/>
            <w:r>
              <w:t xml:space="preserve"> and chronic systemic effects. </w:t>
            </w:r>
          </w:p>
          <w:p w14:paraId="4B36002B" w14:textId="6D6009DF" w:rsidR="00C978F0" w:rsidRDefault="00847BF0" w:rsidP="003365A5">
            <w:pPr>
              <w:pStyle w:val="Tabletextprimarysource"/>
            </w:pPr>
            <w:r>
              <w:t>Confirmed animal carcinogen with unknown relevance to humans</w:t>
            </w:r>
            <w:r w:rsidR="00A25878">
              <w:t xml:space="preserve">. </w:t>
            </w:r>
            <w:r w:rsidR="00A50F6C">
              <w:t xml:space="preserve">Carcinogenic classification of alcoholic beverages </w:t>
            </w:r>
            <w:r w:rsidR="00A25878">
              <w:t>considered</w:t>
            </w:r>
            <w:r w:rsidR="00A50F6C">
              <w:t xml:space="preserve"> irrelevant to workplace</w:t>
            </w:r>
            <w:r w:rsidR="00A25878">
              <w:t xml:space="preserve"> exposure</w:t>
            </w:r>
            <w:r w:rsidR="00A50F6C">
              <w:t>.</w:t>
            </w:r>
          </w:p>
          <w:p w14:paraId="36B5DFD3" w14:textId="77777777" w:rsidR="00A50F6C" w:rsidRDefault="00A50F6C" w:rsidP="003365A5">
            <w:pPr>
              <w:pStyle w:val="Tabletextprimarysource"/>
            </w:pPr>
            <w:r>
              <w:t>Summary of data:</w:t>
            </w:r>
          </w:p>
          <w:p w14:paraId="2B0F431E" w14:textId="536822F7" w:rsidR="006D2153" w:rsidRDefault="00A50F6C" w:rsidP="003365A5">
            <w:pPr>
              <w:pStyle w:val="Tabletextprimarysource"/>
            </w:pPr>
            <w:r>
              <w:t xml:space="preserve">TLV-STEL </w:t>
            </w:r>
            <w:r w:rsidR="00A25878">
              <w:t xml:space="preserve">based on weight of evidence from volunteer studies that generally showed no irritation effects at 1,000 ppm. </w:t>
            </w:r>
          </w:p>
          <w:p w14:paraId="7173C809" w14:textId="263531D9" w:rsidR="00A50F6C" w:rsidRDefault="00A25878" w:rsidP="003365A5">
            <w:pPr>
              <w:pStyle w:val="Tabletextprimarysource"/>
            </w:pPr>
            <w:r>
              <w:t xml:space="preserve">No </w:t>
            </w:r>
            <w:r w:rsidR="00A50F6C">
              <w:t>excess cancer risk</w:t>
            </w:r>
            <w:r>
              <w:t xml:space="preserve"> expected</w:t>
            </w:r>
            <w:r w:rsidR="00A50F6C">
              <w:t xml:space="preserve"> from workplace exposure, excessive alcohol consumption may elevate this risk if internal exposures are compounded.</w:t>
            </w:r>
          </w:p>
          <w:p w14:paraId="4515EABB" w14:textId="228505BA" w:rsidR="00772545" w:rsidRDefault="00772545" w:rsidP="003365A5">
            <w:pPr>
              <w:pStyle w:val="Tabletextprimarysource"/>
            </w:pPr>
            <w:r>
              <w:t>Human data:</w:t>
            </w:r>
          </w:p>
          <w:p w14:paraId="64396B2A" w14:textId="61C60BFA" w:rsidR="005F4361" w:rsidRDefault="005F4361" w:rsidP="000E258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evidence for developmental toxicity </w:t>
            </w:r>
            <w:r w:rsidR="006D2153">
              <w:t xml:space="preserve">at </w:t>
            </w:r>
            <w:r>
              <w:t>workplace exposure levels</w:t>
            </w:r>
          </w:p>
          <w:p w14:paraId="52F94F73" w14:textId="77777777" w:rsidR="0058365D" w:rsidRPr="0058365D" w:rsidRDefault="000E2583" w:rsidP="000E258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Lung absorption rate: 62%, </w:t>
            </w:r>
            <w:r w:rsidR="0058365D">
              <w:t>assuming a respiratory volume of 10 m</w:t>
            </w:r>
            <w:r w:rsidR="0058365D">
              <w:rPr>
                <w:vertAlign w:val="superscript"/>
              </w:rPr>
              <w:t>3</w:t>
            </w:r>
            <w:r w:rsidR="0058365D">
              <w:t xml:space="preserve"> during an 8 h shift </w:t>
            </w:r>
            <w:r>
              <w:t xml:space="preserve">effective dose at 1,000 ppm </w:t>
            </w:r>
            <w:r>
              <w:rPr>
                <w:rFonts w:cs="Arial"/>
              </w:rPr>
              <w:t>≡</w:t>
            </w:r>
            <w:r w:rsidR="0058365D">
              <w:t xml:space="preserve">12 </w:t>
            </w:r>
            <w:r>
              <w:t>g</w:t>
            </w:r>
            <w:r w:rsidR="0058365D">
              <w:t xml:space="preserve"> </w:t>
            </w:r>
            <w:r w:rsidR="0058365D">
              <w:rPr>
                <w:rFonts w:cs="Arial"/>
              </w:rPr>
              <w:t>≈1 standard alcoholic beverage</w:t>
            </w:r>
          </w:p>
          <w:p w14:paraId="79A1F7C7" w14:textId="77777777" w:rsidR="0058365D" w:rsidRPr="0058365D" w:rsidRDefault="0058365D" w:rsidP="000E2583">
            <w:pPr>
              <w:pStyle w:val="Tabletextprimarysource"/>
              <w:numPr>
                <w:ilvl w:val="0"/>
                <w:numId w:val="1"/>
              </w:numPr>
            </w:pPr>
            <w:r>
              <w:rPr>
                <w:rFonts w:cs="Arial"/>
              </w:rPr>
              <w:t>No accumulation in tissue expected at 1,000 ppm due to rapid clearance and metabolism</w:t>
            </w:r>
          </w:p>
          <w:p w14:paraId="778155C0" w14:textId="77777777" w:rsidR="006D2153" w:rsidRDefault="0058365D" w:rsidP="000E2583">
            <w:pPr>
              <w:pStyle w:val="Tabletextprimarysource"/>
              <w:numPr>
                <w:ilvl w:val="0"/>
                <w:numId w:val="1"/>
              </w:numPr>
            </w:pPr>
            <w:r>
              <w:rPr>
                <w:rFonts w:cs="Arial"/>
              </w:rPr>
              <w:t xml:space="preserve">Transient coughing and stinging in eyes at 5,000–10,000 </w:t>
            </w:r>
            <w:r>
              <w:t xml:space="preserve">ppm in volunteer inhalation study; </w:t>
            </w:r>
          </w:p>
          <w:p w14:paraId="06E9E398" w14:textId="77777777" w:rsidR="006D2153" w:rsidRDefault="0058365D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symptoms subsided after 5–10 min</w:t>
            </w:r>
          </w:p>
          <w:p w14:paraId="446B4E64" w14:textId="05C64DDD" w:rsidR="000E2583" w:rsidRDefault="0058365D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continuous lachrymation and coughing at 15,000 ppm (durations not specified</w:t>
            </w:r>
            <w:r w:rsidR="005726BD">
              <w:t>)</w:t>
            </w:r>
          </w:p>
          <w:p w14:paraId="790486EB" w14:textId="77777777" w:rsidR="006D2153" w:rsidRDefault="0058365D" w:rsidP="000E258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adverse effects at 80–1,000 ppm in volunteer inhalation study (n=12/sex, </w:t>
            </w:r>
            <w:r w:rsidR="005726BD">
              <w:t xml:space="preserve">4 h); </w:t>
            </w:r>
          </w:p>
          <w:p w14:paraId="415E9B63" w14:textId="4EF67218" w:rsidR="0058365D" w:rsidRDefault="005726BD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increasing</w:t>
            </w:r>
            <w:r w:rsidR="002A5EEB">
              <w:t>-</w:t>
            </w:r>
            <w:r>
              <w:t>dose experiment of same study showed 100–1,900 ppm (average: 1,</w:t>
            </w:r>
            <w:r w:rsidR="006D2153">
              <w:t>000 </w:t>
            </w:r>
            <w:r>
              <w:t>ppm) to be a nuisance</w:t>
            </w:r>
          </w:p>
          <w:p w14:paraId="336ACCB8" w14:textId="790155BC" w:rsidR="002A5EEB" w:rsidRDefault="002A5EEB" w:rsidP="000E2583">
            <w:pPr>
              <w:pStyle w:val="Tabletextprimarysource"/>
              <w:numPr>
                <w:ilvl w:val="0"/>
                <w:numId w:val="1"/>
              </w:numPr>
            </w:pPr>
            <w:r>
              <w:t>Dermal sensitisation in 6/93 volunteers to 50% aqueous solution; 2 had allergic reactions</w:t>
            </w:r>
          </w:p>
          <w:p w14:paraId="43430F86" w14:textId="3DD3F1B4" w:rsidR="002A5EEB" w:rsidRDefault="00A25878" w:rsidP="000E2583">
            <w:pPr>
              <w:pStyle w:val="Tabletextprimarysource"/>
              <w:numPr>
                <w:ilvl w:val="0"/>
                <w:numId w:val="1"/>
              </w:numPr>
            </w:pPr>
            <w:r>
              <w:t>No epidemiological studies with vapour, but a</w:t>
            </w:r>
            <w:r w:rsidR="002A5EEB">
              <w:t>lcoholic beverages shown to cause cancer of the mouth, oesophagus and liver and liver cirrhosis</w:t>
            </w:r>
            <w:r w:rsidR="006D2153">
              <w:t>.</w:t>
            </w:r>
          </w:p>
          <w:p w14:paraId="2073E932" w14:textId="77777777" w:rsidR="00772545" w:rsidRDefault="00772545" w:rsidP="003365A5">
            <w:pPr>
              <w:pStyle w:val="Tabletextprimarysource"/>
            </w:pPr>
            <w:r>
              <w:t>Animal data:</w:t>
            </w:r>
          </w:p>
          <w:p w14:paraId="52E5882A" w14:textId="77777777" w:rsidR="00772545" w:rsidRDefault="00772545" w:rsidP="000E2583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13,000 ppm (rats, 22 h); 22,000 ppm (guinea pigs, 9 h); 29,000 ppm (mice, 7 h)</w:t>
            </w:r>
          </w:p>
          <w:p w14:paraId="4CE0D1FE" w14:textId="6C1CB33D" w:rsidR="00772545" w:rsidRDefault="008F4C2D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s</w:t>
            </w:r>
            <w:r w:rsidR="00772545">
              <w:t>igns of intoxication are ataxia, incoordination, drowsiness; narcotic dose: 20,000</w:t>
            </w:r>
            <w:r w:rsidR="00963D8E">
              <w:t xml:space="preserve"> </w:t>
            </w:r>
            <w:r w:rsidR="00772545">
              <w:t xml:space="preserve">ppm </w:t>
            </w:r>
            <w:r w:rsidR="00C118C8">
              <w:t>(rats, 2 h)</w:t>
            </w:r>
          </w:p>
          <w:p w14:paraId="60B4439F" w14:textId="77777777" w:rsidR="00C118C8" w:rsidRDefault="00C118C8" w:rsidP="000E2583">
            <w:pPr>
              <w:pStyle w:val="Tabletextprimarysource"/>
              <w:numPr>
                <w:ilvl w:val="0"/>
                <w:numId w:val="1"/>
              </w:numPr>
            </w:pPr>
            <w:r>
              <w:t>Median respiratory depression (RD</w:t>
            </w:r>
            <w:r>
              <w:rPr>
                <w:vertAlign w:val="subscript"/>
              </w:rPr>
              <w:t>50</w:t>
            </w:r>
            <w:r>
              <w:t>): 13,000–27,000 ppm (mice); sensory irritant</w:t>
            </w:r>
          </w:p>
          <w:p w14:paraId="507E607D" w14:textId="5A0389C1" w:rsidR="00C118C8" w:rsidRDefault="00C118C8" w:rsidP="000E2583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6,200–17,800 mg/kg (various unspecified species</w:t>
            </w:r>
            <w:r w:rsidR="008F4C2D">
              <w:t>, oral</w:t>
            </w:r>
            <w:r>
              <w:t>)</w:t>
            </w:r>
          </w:p>
          <w:p w14:paraId="2ED8722C" w14:textId="31E6A791" w:rsidR="000E2583" w:rsidRDefault="000E2583" w:rsidP="000E2583">
            <w:pPr>
              <w:pStyle w:val="Tabletextprimarysource"/>
              <w:numPr>
                <w:ilvl w:val="0"/>
                <w:numId w:val="1"/>
              </w:numPr>
            </w:pPr>
            <w:r w:rsidRPr="000E2583">
              <w:rPr>
                <w:i/>
              </w:rPr>
              <w:t>In vitro</w:t>
            </w:r>
            <w:r>
              <w:t xml:space="preserve"> dermal absorption </w:t>
            </w:r>
            <w:r>
              <w:rPr>
                <w:rFonts w:cs="Arial"/>
              </w:rPr>
              <w:t>≈1% (guinea pig skin, 19 h)</w:t>
            </w:r>
          </w:p>
          <w:p w14:paraId="63341D95" w14:textId="77777777" w:rsidR="00C118C8" w:rsidRDefault="007370C8" w:rsidP="000E2583">
            <w:pPr>
              <w:pStyle w:val="Tabletextprimarysource"/>
              <w:numPr>
                <w:ilvl w:val="0"/>
                <w:numId w:val="1"/>
              </w:numPr>
            </w:pPr>
            <w:r>
              <w:t>No histological or haematological toxicity in continuous inhalation studies at 46 ppm (rats, guinea pigs, rabbits, monkey, dogs, 90 d)</w:t>
            </w:r>
          </w:p>
          <w:p w14:paraId="05DC4D40" w14:textId="4C830C14" w:rsidR="00C77616" w:rsidRDefault="008F4C2D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s</w:t>
            </w:r>
            <w:r w:rsidR="00574BD6">
              <w:t>eparate inhalation study also reported no adverse effects at 3,000 ppm (guinea pigs, 4 h/d, 6 d/wk, 10.5 wk)</w:t>
            </w:r>
          </w:p>
          <w:p w14:paraId="745A6F6B" w14:textId="77777777" w:rsidR="00C77616" w:rsidRDefault="00C77616" w:rsidP="000E2583">
            <w:pPr>
              <w:pStyle w:val="Tabletextprimarysource"/>
              <w:numPr>
                <w:ilvl w:val="0"/>
                <w:numId w:val="1"/>
              </w:numPr>
            </w:pPr>
            <w:r>
              <w:t>No changes to fertility at 10,000–16,000 ppm (male rats, 7 h/d, 6 wk)</w:t>
            </w:r>
          </w:p>
          <w:p w14:paraId="74F4EB2C" w14:textId="0A06FB88" w:rsidR="00C77616" w:rsidRDefault="00C77616" w:rsidP="000E258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Rate of resorptions increased but no foetal malformations at </w:t>
            </w:r>
            <w:r w:rsidR="005F4361">
              <w:t>7</w:t>
            </w:r>
            <w:r w:rsidR="00963D8E">
              <w:t>,</w:t>
            </w:r>
            <w:r w:rsidR="005F4361">
              <w:t xml:space="preserve">950 ppm continuous exposure (mice, </w:t>
            </w:r>
            <w:r w:rsidR="006D2153">
              <w:t>GD</w:t>
            </w:r>
            <w:r w:rsidR="005F4361">
              <w:t xml:space="preserve"> 7–9 or 7–12);</w:t>
            </w:r>
          </w:p>
          <w:p w14:paraId="7FC68CC8" w14:textId="21C87B8D" w:rsidR="005F4361" w:rsidRDefault="008F4C2D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lastRenderedPageBreak/>
              <w:t>c</w:t>
            </w:r>
            <w:r w:rsidR="005F4361">
              <w:t xml:space="preserve">ongenital malformations in inhalational study at 20,000 ppm (rats, 7 h/d, </w:t>
            </w:r>
            <w:r w:rsidR="006D2153">
              <w:t>GD</w:t>
            </w:r>
            <w:r w:rsidR="005F4361">
              <w:t xml:space="preserve"> 1–19), NOAEL: 10,000 ppm</w:t>
            </w:r>
          </w:p>
          <w:p w14:paraId="6702006A" w14:textId="12AD1CF2" w:rsidR="006D2153" w:rsidRDefault="005B087D" w:rsidP="000E2583">
            <w:pPr>
              <w:pStyle w:val="Tabletextprimarysource"/>
              <w:numPr>
                <w:ilvl w:val="0"/>
                <w:numId w:val="1"/>
              </w:numPr>
            </w:pPr>
            <w:r>
              <w:t>Generally n</w:t>
            </w:r>
            <w:r w:rsidR="00574BD6">
              <w:t xml:space="preserve">on-genotoxic </w:t>
            </w:r>
            <w:r w:rsidR="00574BD6">
              <w:rPr>
                <w:i/>
              </w:rPr>
              <w:t>in vivo</w:t>
            </w:r>
            <w:r w:rsidR="00574BD6">
              <w:t xml:space="preserve">, but can induce </w:t>
            </w:r>
            <w:r w:rsidR="006D2153">
              <w:t>SCE</w:t>
            </w:r>
            <w:r w:rsidR="00574BD6">
              <w:t xml:space="preserve"> (no further information)</w:t>
            </w:r>
          </w:p>
          <w:p w14:paraId="1A932FE9" w14:textId="3878E6E2" w:rsidR="00C77616" w:rsidRDefault="00574BD6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proofErr w:type="gramStart"/>
            <w:r>
              <w:t>genotoxic</w:t>
            </w:r>
            <w:proofErr w:type="gramEnd"/>
            <w:r>
              <w:t xml:space="preserve"> </w:t>
            </w:r>
            <w:r>
              <w:rPr>
                <w:i/>
              </w:rPr>
              <w:t>in vitro</w:t>
            </w:r>
            <w:r>
              <w:t xml:space="preserve"> if test system can metabolise ethanol</w:t>
            </w:r>
            <w:r w:rsidR="00A25878">
              <w:t>.</w:t>
            </w:r>
          </w:p>
          <w:p w14:paraId="4AEB270C" w14:textId="695C7220" w:rsidR="006D2153" w:rsidRPr="00DA352E" w:rsidRDefault="006D2153" w:rsidP="005E6C2D">
            <w:pPr>
              <w:pStyle w:val="Tabletextprimarysource"/>
            </w:pPr>
          </w:p>
        </w:tc>
      </w:tr>
      <w:tr w:rsidR="00C978F0" w:rsidRPr="00DA352E" w14:paraId="070AB61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85EE11" w14:textId="4FB0F5C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47BF0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47BF0">
                  <w:t>MAK: 200 ppm (380 mg/m</w:t>
                </w:r>
                <w:r w:rsidR="00847BF0">
                  <w:rPr>
                    <w:vertAlign w:val="superscript"/>
                  </w:rPr>
                  <w:t>3</w:t>
                </w:r>
                <w:r w:rsidR="00847BF0">
                  <w:t>)</w:t>
                </w:r>
              </w:sdtContent>
            </w:sdt>
          </w:p>
        </w:tc>
      </w:tr>
      <w:tr w:rsidR="00C978F0" w:rsidRPr="00DA352E" w14:paraId="2598F35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DC1AB6" w14:textId="77777777" w:rsidR="00C978F0" w:rsidRDefault="001968F3" w:rsidP="003365A5">
            <w:pPr>
              <w:pStyle w:val="Tabletextprimarysource"/>
            </w:pPr>
            <w:r>
              <w:t>Summary of additional data:</w:t>
            </w:r>
          </w:p>
          <w:p w14:paraId="68A6729D" w14:textId="77777777" w:rsidR="006D2153" w:rsidRDefault="004C14C2" w:rsidP="003365A5">
            <w:pPr>
              <w:pStyle w:val="Tabletextprimarysource"/>
            </w:pPr>
            <w:r>
              <w:t>CNS</w:t>
            </w:r>
            <w:r w:rsidR="005B087D">
              <w:t xml:space="preserve"> effects and long-term carcinogenicity considered as critical effects. </w:t>
            </w:r>
          </w:p>
          <w:p w14:paraId="6FC907B1" w14:textId="2AE1008C" w:rsidR="005B087D" w:rsidRDefault="009D08DB" w:rsidP="003365A5">
            <w:pPr>
              <w:pStyle w:val="Tabletextprimarysource"/>
            </w:pPr>
            <w:r>
              <w:t xml:space="preserve">MAK derived </w:t>
            </w:r>
            <w:r w:rsidR="005B087D">
              <w:t xml:space="preserve">from lifetime body burden calculation to minimise potential for excess carcinogenicity above endogenous baseline levels. </w:t>
            </w:r>
            <w:r w:rsidR="008B36A2">
              <w:t>Exposure at 790 ppm during an 8</w:t>
            </w:r>
            <w:r w:rsidR="00963D8E">
              <w:t xml:space="preserve"> </w:t>
            </w:r>
            <w:r w:rsidR="005B087D">
              <w:t xml:space="preserve">h shift with a respiratory volume of 10 </w:t>
            </w:r>
            <w:r w:rsidR="005B087D" w:rsidRPr="005B087D">
              <w:t>m</w:t>
            </w:r>
            <w:r w:rsidR="005B087D" w:rsidRPr="005B087D">
              <w:rPr>
                <w:vertAlign w:val="superscript"/>
              </w:rPr>
              <w:t>3</w:t>
            </w:r>
            <w:r w:rsidR="005B087D">
              <w:t xml:space="preserve"> and 62% lung absorption results in blood ethanol levels within a standard deviation of the endogenous baseline concentrations. The previous MAK of 500 ppm was therefore preventative of </w:t>
            </w:r>
            <w:r w:rsidR="00492FA5">
              <w:t xml:space="preserve">potential </w:t>
            </w:r>
            <w:r w:rsidR="005B087D">
              <w:t>carcinogenic effects and irritation effects observed above 1,000 ppm in volunteer studies (also cited by ACGIH, 2018)</w:t>
            </w:r>
            <w:r w:rsidR="00963D8E">
              <w:t>.</w:t>
            </w:r>
          </w:p>
          <w:p w14:paraId="4D65A277" w14:textId="77777777" w:rsidR="006D2153" w:rsidRDefault="005B087D" w:rsidP="003365A5">
            <w:pPr>
              <w:pStyle w:val="Tabletextprimarysource"/>
            </w:pPr>
            <w:r>
              <w:t>The c</w:t>
            </w:r>
            <w:r w:rsidR="000A01A4">
              <w:t>urrent MAK is derived similarly</w:t>
            </w:r>
            <w:r>
              <w:t xml:space="preserve"> by dividing </w:t>
            </w:r>
            <w:r w:rsidR="000A01A4">
              <w:t>the previous value by 2.5 regarding additional</w:t>
            </w:r>
            <w:r>
              <w:t xml:space="preserve"> data that indicate </w:t>
            </w:r>
            <w:r w:rsidR="000A01A4">
              <w:t>body burden rises 2–3-fold during exercise.</w:t>
            </w:r>
            <w:r>
              <w:t xml:space="preserve"> </w:t>
            </w:r>
          </w:p>
          <w:p w14:paraId="7FD2CE3D" w14:textId="36CC0EEE" w:rsidR="00E35D40" w:rsidRDefault="00D374BF" w:rsidP="003365A5">
            <w:pPr>
              <w:pStyle w:val="Tabletextprimarysource"/>
            </w:pPr>
            <w:r>
              <w:t>S</w:t>
            </w:r>
            <w:r w:rsidR="00E35D40">
              <w:t xml:space="preserve">kin notation </w:t>
            </w:r>
            <w:r>
              <w:t xml:space="preserve">not warranted </w:t>
            </w:r>
            <w:r w:rsidR="00E35D40">
              <w:t xml:space="preserve">based on </w:t>
            </w:r>
            <w:r>
              <w:t xml:space="preserve">derivation using </w:t>
            </w:r>
            <w:r w:rsidR="00E35D40">
              <w:t>previous MAK value.</w:t>
            </w:r>
          </w:p>
          <w:p w14:paraId="623E5BB3" w14:textId="3A90CE8E" w:rsidR="001968F3" w:rsidRDefault="001968F3" w:rsidP="003365A5">
            <w:pPr>
              <w:pStyle w:val="Tabletextprimarysource"/>
            </w:pPr>
            <w:r>
              <w:t>Human data:</w:t>
            </w:r>
          </w:p>
          <w:p w14:paraId="4FBEC18C" w14:textId="16AABB08" w:rsidR="00F67D56" w:rsidRDefault="00F67D56" w:rsidP="001968F3">
            <w:pPr>
              <w:pStyle w:val="Tabletextprimarysource"/>
              <w:numPr>
                <w:ilvl w:val="0"/>
                <w:numId w:val="1"/>
              </w:numPr>
            </w:pPr>
            <w:r>
              <w:t>Odour threshold: 80 ppm, eye irritation threshold: 80,000 ppm</w:t>
            </w:r>
          </w:p>
          <w:p w14:paraId="2BEDFAFC" w14:textId="7F592E35" w:rsidR="006D2153" w:rsidRDefault="001968F3" w:rsidP="001968F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Body burden shown to be 2–3 times higher during exercise than at rest in volunteer </w:t>
            </w:r>
            <w:r w:rsidR="00007404">
              <w:t xml:space="preserve">chamber </w:t>
            </w:r>
            <w:r>
              <w:t xml:space="preserve">study </w:t>
            </w:r>
            <w:r w:rsidR="00B14B4B">
              <w:t xml:space="preserve">125, 250, 500, 750 and 1,000 ppm at rest or 750 ppm </w:t>
            </w:r>
            <w:r w:rsidR="00D374BF">
              <w:t xml:space="preserve">during </w:t>
            </w:r>
            <w:r w:rsidR="00B14B4B">
              <w:t xml:space="preserve">exercise </w:t>
            </w:r>
            <w:r>
              <w:t>(n=5/sex</w:t>
            </w:r>
            <w:r w:rsidR="00B14B4B">
              <w:t>, 4</w:t>
            </w:r>
            <w:r w:rsidR="00963D8E">
              <w:t xml:space="preserve"> </w:t>
            </w:r>
            <w:r w:rsidR="00B14B4B">
              <w:t>h</w:t>
            </w:r>
            <w:r>
              <w:t>)</w:t>
            </w:r>
          </w:p>
          <w:p w14:paraId="6901DDC0" w14:textId="2DD979EC" w:rsidR="001968F3" w:rsidRDefault="00B14B4B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blood ethanol concentrations return to baseline within 1 h after cessation</w:t>
            </w:r>
          </w:p>
          <w:p w14:paraId="77F8F8D3" w14:textId="3FAB4A43" w:rsidR="006D2153" w:rsidRDefault="00903096" w:rsidP="001968F3">
            <w:pPr>
              <w:pStyle w:val="Tabletextprimarysource"/>
              <w:numPr>
                <w:ilvl w:val="0"/>
                <w:numId w:val="1"/>
              </w:numPr>
            </w:pPr>
            <w:r>
              <w:t>L</w:t>
            </w:r>
            <w:r w:rsidR="0051430C">
              <w:t>ifetime body burden due to endogenous ethanol calculated to be 0.27</w:t>
            </w:r>
            <w:r w:rsidR="0051430C">
              <w:rPr>
                <w:rFonts w:cs="Arial"/>
              </w:rPr>
              <w:t>±</w:t>
            </w:r>
            <w:r w:rsidR="0051430C">
              <w:t>0.17 mg/L in blood</w:t>
            </w:r>
          </w:p>
          <w:p w14:paraId="27B9BC9D" w14:textId="5F0C5A81" w:rsidR="00016F51" w:rsidRDefault="0051430C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following equilibration, exposures at air concentration</w:t>
            </w:r>
            <w:r w:rsidR="00D374BF">
              <w:t>s</w:t>
            </w:r>
            <w:r>
              <w:t xml:space="preserve"> up to 790 ppm do not raise blood concentrations higher than 1 standard deviation from endogen</w:t>
            </w:r>
            <w:r w:rsidR="00830F35">
              <w:t>ous levels assuming 8 h/d, 5</w:t>
            </w:r>
            <w:r w:rsidR="00963D8E">
              <w:t xml:space="preserve"> </w:t>
            </w:r>
            <w:r>
              <w:t>d/wk for 40 yr</w:t>
            </w:r>
          </w:p>
          <w:p w14:paraId="4D236F62" w14:textId="77777777" w:rsidR="006D2153" w:rsidRDefault="0051430C" w:rsidP="001968F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Skin permeability: 3.2 µm/h </w:t>
            </w:r>
            <w:r>
              <w:rPr>
                <w:rFonts w:cs="Arial"/>
              </w:rPr>
              <w:t>≡</w:t>
            </w:r>
            <w:r>
              <w:t>0.25 mg/cm</w:t>
            </w:r>
            <w:r>
              <w:rPr>
                <w:vertAlign w:val="superscript"/>
              </w:rPr>
              <w:t>2</w:t>
            </w:r>
            <w:r>
              <w:t xml:space="preserve">/h, exposure of 2,000 </w:t>
            </w:r>
            <w:r w:rsidR="000655C5">
              <w:t>cm</w:t>
            </w:r>
            <w:r w:rsidR="000655C5">
              <w:rPr>
                <w:vertAlign w:val="superscript"/>
              </w:rPr>
              <w:t>2</w:t>
            </w:r>
            <w:r w:rsidR="000655C5">
              <w:t xml:space="preserve"> skin to pure ethanol for 1 h delivers an effective dose of 500 mg</w:t>
            </w:r>
          </w:p>
          <w:p w14:paraId="6FDD8851" w14:textId="320CC11A" w:rsidR="0051430C" w:rsidRDefault="00E35D40" w:rsidP="005E6C2D">
            <w:pPr>
              <w:pStyle w:val="Tabletextprimarysource"/>
              <w:numPr>
                <w:ilvl w:val="1"/>
                <w:numId w:val="1"/>
              </w:numPr>
              <w:ind w:left="1156"/>
            </w:pPr>
            <w:proofErr w:type="gramStart"/>
            <w:r>
              <w:t>at</w:t>
            </w:r>
            <w:proofErr w:type="gramEnd"/>
            <w:r>
              <w:t xml:space="preserve"> the current MAK, an effective </w:t>
            </w:r>
            <w:r w:rsidR="00D374BF">
              <w:t xml:space="preserve">inhalational </w:t>
            </w:r>
            <w:r>
              <w:t xml:space="preserve">dose of </w:t>
            </w:r>
            <w:r>
              <w:rPr>
                <w:rFonts w:cs="Arial"/>
              </w:rPr>
              <w:t>≈</w:t>
            </w:r>
            <w:r>
              <w:t>2,280</w:t>
            </w:r>
            <w:r w:rsidR="00963D8E">
              <w:t xml:space="preserve"> </w:t>
            </w:r>
            <w:r>
              <w:t>mg would be delivered in an 8</w:t>
            </w:r>
            <w:r w:rsidR="00963D8E">
              <w:t xml:space="preserve"> </w:t>
            </w:r>
            <w:r>
              <w:t>h shift</w:t>
            </w:r>
            <w:r w:rsidR="008F4C2D">
              <w:t>.</w:t>
            </w:r>
          </w:p>
          <w:p w14:paraId="2E62B6E1" w14:textId="77777777" w:rsidR="00B14B4B" w:rsidRDefault="00B14B4B" w:rsidP="00B14B4B">
            <w:pPr>
              <w:pStyle w:val="Tabletextprimarysource"/>
            </w:pPr>
            <w:r>
              <w:t>Animal data:</w:t>
            </w:r>
          </w:p>
          <w:p w14:paraId="4C1F1F0B" w14:textId="77777777" w:rsidR="00E35D40" w:rsidRDefault="00E35D40" w:rsidP="00E35D40">
            <w:pPr>
              <w:pStyle w:val="Tabletextprimarysource"/>
              <w:numPr>
                <w:ilvl w:val="0"/>
                <w:numId w:val="1"/>
              </w:numPr>
            </w:pPr>
            <w:r>
              <w:t>Mortality after dermal application of 20,000 mg/kg (rabbits)</w:t>
            </w:r>
          </w:p>
          <w:p w14:paraId="26DA99A1" w14:textId="0BC3F0B4" w:rsidR="00E35D40" w:rsidRDefault="00E35D40" w:rsidP="005E6C2D">
            <w:pPr>
              <w:pStyle w:val="Tabletextprimarysource"/>
              <w:numPr>
                <w:ilvl w:val="0"/>
                <w:numId w:val="1"/>
              </w:numPr>
            </w:pPr>
            <w:r w:rsidRPr="00E35D40">
              <w:rPr>
                <w:i/>
              </w:rPr>
              <w:t>In vivo</w:t>
            </w:r>
            <w:r>
              <w:t xml:space="preserve"> genotoxicity </w:t>
            </w:r>
            <w:r w:rsidR="00CE08C3">
              <w:t xml:space="preserve">(increased </w:t>
            </w:r>
            <w:r w:rsidR="006D2153">
              <w:t>SCE</w:t>
            </w:r>
            <w:r w:rsidR="00CE08C3">
              <w:t xml:space="preserve">) </w:t>
            </w:r>
            <w:r>
              <w:t>at highly toxic doses (</w:t>
            </w:r>
            <w:r w:rsidR="00CE08C3">
              <w:t xml:space="preserve">mice, 8,000 mg/kg </w:t>
            </w:r>
            <w:proofErr w:type="spellStart"/>
            <w:r w:rsidR="00CE08C3">
              <w:t>ip</w:t>
            </w:r>
            <w:proofErr w:type="spellEnd"/>
            <w:r w:rsidR="00CE08C3">
              <w:t xml:space="preserve"> injection, cumulative dose over </w:t>
            </w:r>
            <w:r w:rsidR="006D2153">
              <w:t>GD</w:t>
            </w:r>
            <w:r w:rsidR="00CE08C3">
              <w:t xml:space="preserve"> 16</w:t>
            </w:r>
            <w:r w:rsidR="00963D8E">
              <w:t>–</w:t>
            </w:r>
            <w:r w:rsidR="00CE08C3">
              <w:t>18).</w:t>
            </w:r>
            <w:r w:rsidR="00832B59">
              <w:t xml:space="preserve"> </w:t>
            </w:r>
          </w:p>
          <w:p w14:paraId="40F8D890" w14:textId="0CE7775B" w:rsidR="006D2153" w:rsidRPr="005E6C2D" w:rsidRDefault="006D2153" w:rsidP="005E6C2D">
            <w:pPr>
              <w:pStyle w:val="Tabletextprimarysource"/>
            </w:pPr>
          </w:p>
        </w:tc>
      </w:tr>
      <w:tr w:rsidR="00C978F0" w:rsidRPr="00DA352E" w14:paraId="074DD94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BC2113" w14:textId="7285645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6161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61617">
                  <w:t>NA</w:t>
                </w:r>
                <w:proofErr w:type="spellEnd"/>
              </w:sdtContent>
            </w:sdt>
          </w:p>
        </w:tc>
      </w:tr>
      <w:tr w:rsidR="00C978F0" w:rsidRPr="00DA352E" w14:paraId="65B8D6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094561F" w14:textId="64B083E5" w:rsidR="00C978F0" w:rsidRPr="00DA352E" w:rsidRDefault="00E61617" w:rsidP="003365A5">
            <w:pPr>
              <w:pStyle w:val="Tabletextprimarysource"/>
            </w:pPr>
            <w:r>
              <w:t>No report</w:t>
            </w:r>
            <w:r w:rsidR="00963D8E">
              <w:t>.</w:t>
            </w:r>
          </w:p>
        </w:tc>
      </w:tr>
      <w:tr w:rsidR="00DA352E" w:rsidRPr="00DA352E" w14:paraId="5A949D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F041488" w14:textId="25BCC4B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6161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61617">
                  <w:t>NA</w:t>
                </w:r>
                <w:proofErr w:type="spellEnd"/>
              </w:sdtContent>
            </w:sdt>
          </w:p>
        </w:tc>
      </w:tr>
      <w:tr w:rsidR="00DA352E" w:rsidRPr="00DA352E" w14:paraId="5A3D6A0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68D198" w14:textId="62C0CE77" w:rsidR="00DA352E" w:rsidRPr="00DA352E" w:rsidRDefault="00E61617" w:rsidP="003365A5">
            <w:pPr>
              <w:pStyle w:val="Tabletextprimarysource"/>
            </w:pPr>
            <w:r>
              <w:t>No report</w:t>
            </w:r>
            <w:r w:rsidR="00963D8E">
              <w:t>.</w:t>
            </w:r>
          </w:p>
        </w:tc>
      </w:tr>
      <w:tr w:rsidR="00DA352E" w:rsidRPr="00DA352E" w14:paraId="37EE343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190555" w14:textId="409BB6C2" w:rsidR="00DA352E" w:rsidRPr="00CE08C3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61617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D08DB">
                  <w:t xml:space="preserve">15-min </w:t>
                </w:r>
                <w:r w:rsidR="00B355FC" w:rsidRPr="00B355FC">
                  <w:t>STEL</w:t>
                </w:r>
                <w:r w:rsidR="00B355FC">
                  <w:t xml:space="preserve">: </w:t>
                </w:r>
              </w:sdtContent>
            </w:sdt>
            <w:r w:rsidR="00CE08C3">
              <w:t>1,000 ppm (</w:t>
            </w:r>
            <w:r w:rsidR="00B355FC" w:rsidRPr="00B355FC">
              <w:t>1</w:t>
            </w:r>
            <w:r w:rsidR="00B14B4B">
              <w:t>,</w:t>
            </w:r>
            <w:r w:rsidR="00B355FC" w:rsidRPr="00B355FC">
              <w:t>900 mg/m</w:t>
            </w:r>
            <w:r w:rsidR="00B355FC" w:rsidRPr="00B355FC">
              <w:rPr>
                <w:vertAlign w:val="superscript"/>
              </w:rPr>
              <w:t>3</w:t>
            </w:r>
            <w:r w:rsidR="00CE08C3">
              <w:t>)</w:t>
            </w:r>
          </w:p>
        </w:tc>
      </w:tr>
      <w:tr w:rsidR="00DA352E" w:rsidRPr="00DA352E" w14:paraId="4DE8B4E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2C3682A" w14:textId="77777777" w:rsidR="00DA352E" w:rsidRDefault="009D08DB" w:rsidP="003365A5">
            <w:pPr>
              <w:pStyle w:val="Tabletextprimarysource"/>
            </w:pPr>
            <w:r>
              <w:t>Summary of additional data:</w:t>
            </w:r>
          </w:p>
          <w:p w14:paraId="4BC246BA" w14:textId="109DCA44" w:rsidR="001539EA" w:rsidRDefault="004A74FE" w:rsidP="003365A5">
            <w:pPr>
              <w:pStyle w:val="Tabletextprimarysource"/>
            </w:pPr>
            <w:r>
              <w:t xml:space="preserve">Extensive review of oral route data for humans and animals due to limited inhalational studies. Oral route studies are considered relevant </w:t>
            </w:r>
            <w:r w:rsidR="005E6C2D">
              <w:t>as</w:t>
            </w:r>
            <w:r>
              <w:t xml:space="preserve"> acetaldehyde is generated as a primary metabolite, which has genotoxic properties. </w:t>
            </w:r>
          </w:p>
          <w:p w14:paraId="223BC57C" w14:textId="77777777" w:rsidR="008F4C2D" w:rsidRDefault="008F4C2D" w:rsidP="003365A5">
            <w:pPr>
              <w:pStyle w:val="Tabletextprimarysource"/>
            </w:pPr>
            <w:r>
              <w:t>C</w:t>
            </w:r>
            <w:r w:rsidR="004663A8">
              <w:t>onsiders</w:t>
            </w:r>
            <w:r w:rsidR="001539EA">
              <w:t xml:space="preserve"> the</w:t>
            </w:r>
            <w:r w:rsidR="004663A8">
              <w:t xml:space="preserve"> substance to be </w:t>
            </w:r>
            <w:r w:rsidR="001539EA">
              <w:t xml:space="preserve">a </w:t>
            </w:r>
            <w:r w:rsidR="004663A8">
              <w:t xml:space="preserve">non-threshold genotoxic carcinogen based on the available oral intake studies. However, cited studies indicate genotoxic effects are only observed at extremely high concentrations </w:t>
            </w:r>
            <w:r w:rsidR="004663A8">
              <w:rPr>
                <w:i/>
              </w:rPr>
              <w:t>in vivo</w:t>
            </w:r>
            <w:r w:rsidR="004663A8">
              <w:t>, which are unlikely to occur from inhalational or dermal exposure in the workplace.</w:t>
            </w:r>
            <w:r w:rsidR="009F6885">
              <w:t xml:space="preserve"> An occupational exposure at a level that would minimise an excess</w:t>
            </w:r>
            <w:r w:rsidR="00106768">
              <w:t xml:space="preserve"> risk of breast</w:t>
            </w:r>
            <w:r w:rsidR="009F6885">
              <w:t xml:space="preserve"> cancer risk to 4x10</w:t>
            </w:r>
            <w:r w:rsidR="009F6885">
              <w:rPr>
                <w:vertAlign w:val="superscript"/>
              </w:rPr>
              <w:t>-5</w:t>
            </w:r>
            <w:r w:rsidR="009F6885">
              <w:t xml:space="preserve"> results in an additional ethanol body burden (0.2 mg/L/yr)</w:t>
            </w:r>
            <w:r w:rsidR="00106768">
              <w:t xml:space="preserve">, which </w:t>
            </w:r>
            <w:r w:rsidR="009F6885">
              <w:t>is significantly lower than that produced by internal exposure to endogenous ethanol (22 mg/L/yr).</w:t>
            </w:r>
            <w:r w:rsidR="00106768">
              <w:t xml:space="preserve"> </w:t>
            </w:r>
          </w:p>
          <w:p w14:paraId="5F7AC420" w14:textId="06DBCA97" w:rsidR="004A74FE" w:rsidRPr="001539EA" w:rsidRDefault="001539EA" w:rsidP="003365A5">
            <w:pPr>
              <w:pStyle w:val="Tabletextprimarysource"/>
            </w:pPr>
            <w:r>
              <w:t>A health-based calculated occupational cancer risk value (HBC-OCRV) of 690 ppm (1,300 mg/m</w:t>
            </w:r>
            <w:r>
              <w:rPr>
                <w:vertAlign w:val="superscript"/>
              </w:rPr>
              <w:t>3</w:t>
            </w:r>
            <w:r>
              <w:t>), corresponding to a breast cancer risk in women of 4x10</w:t>
            </w:r>
            <w:r>
              <w:rPr>
                <w:vertAlign w:val="superscript"/>
              </w:rPr>
              <w:t>-3</w:t>
            </w:r>
            <w:r>
              <w:t xml:space="preserve"> for 40</w:t>
            </w:r>
            <w:r w:rsidR="00963D8E">
              <w:t xml:space="preserve"> </w:t>
            </w:r>
            <w:r>
              <w:t>yr of occupational exposure and a 15</w:t>
            </w:r>
            <w:r w:rsidR="005E6C2D">
              <w:t xml:space="preserve"> </w:t>
            </w:r>
            <w:r>
              <w:t>min STEL of 1,000 ppm (1,900 mg/m</w:t>
            </w:r>
            <w:r>
              <w:rPr>
                <w:vertAlign w:val="superscript"/>
              </w:rPr>
              <w:t>3</w:t>
            </w:r>
            <w:r>
              <w:t>) are recommended.</w:t>
            </w:r>
          </w:p>
          <w:p w14:paraId="2398D3AD" w14:textId="634CF64C" w:rsidR="009D08DB" w:rsidRDefault="009435F3" w:rsidP="003365A5">
            <w:pPr>
              <w:pStyle w:val="Tabletextprimarysource"/>
            </w:pPr>
            <w:r>
              <w:t>Despite current administrative standard, s</w:t>
            </w:r>
            <w:r w:rsidR="004A74FE">
              <w:t xml:space="preserve">kin notation </w:t>
            </w:r>
            <w:r w:rsidR="001539EA">
              <w:t>not warranted</w:t>
            </w:r>
            <w:r>
              <w:t xml:space="preserve"> </w:t>
            </w:r>
            <w:r w:rsidR="004A74FE">
              <w:t xml:space="preserve">due to </w:t>
            </w:r>
            <w:r w:rsidR="00106768">
              <w:t>low dermal uptake relative to the recommended HBC-</w:t>
            </w:r>
            <w:r w:rsidR="001539EA">
              <w:t>OCRV</w:t>
            </w:r>
            <w:r w:rsidR="00106768">
              <w:t>.</w:t>
            </w:r>
          </w:p>
          <w:p w14:paraId="3947D1A4" w14:textId="77777777" w:rsidR="004663A8" w:rsidRDefault="004663A8" w:rsidP="003365A5">
            <w:pPr>
              <w:pStyle w:val="Tabletextprimarysource"/>
            </w:pPr>
            <w:r>
              <w:t>Human data:</w:t>
            </w:r>
          </w:p>
          <w:p w14:paraId="499E6C29" w14:textId="4A38F356" w:rsidR="004663A8" w:rsidRDefault="004663A8" w:rsidP="004663A8">
            <w:pPr>
              <w:pStyle w:val="Tabletextprimarysource"/>
              <w:numPr>
                <w:ilvl w:val="0"/>
                <w:numId w:val="1"/>
              </w:numPr>
            </w:pPr>
            <w:r>
              <w:t>Positive association between alcohol intake and breast, throat and liver cancers</w:t>
            </w:r>
          </w:p>
          <w:p w14:paraId="4AAF91BE" w14:textId="059C85E8" w:rsidR="00830F35" w:rsidRDefault="008F4C2D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n</w:t>
            </w:r>
            <w:r w:rsidR="004663A8">
              <w:t>o evidence for a threshold value below which no cancer risk exists</w:t>
            </w:r>
          </w:p>
          <w:p w14:paraId="61C63319" w14:textId="35C20BBA" w:rsidR="00BA667A" w:rsidRDefault="001A10B3" w:rsidP="00BA667A">
            <w:pPr>
              <w:pStyle w:val="Tabletextprimarysource"/>
              <w:numPr>
                <w:ilvl w:val="0"/>
                <w:numId w:val="1"/>
              </w:numPr>
            </w:pPr>
            <w:r>
              <w:t>DECOS evaluate that o</w:t>
            </w:r>
            <w:r w:rsidR="00BA667A">
              <w:t>ral intake of 10,000 mg expected to increase risk of breast cancer by 7–10%, which corresponds to a risk ratio (RR) of 1.1</w:t>
            </w:r>
            <w:r>
              <w:t xml:space="preserve"> and </w:t>
            </w:r>
            <w:r w:rsidR="00BA667A">
              <w:t xml:space="preserve">yields the </w:t>
            </w:r>
            <w:r w:rsidR="002C1972">
              <w:t>exposure</w:t>
            </w:r>
            <w:r w:rsidR="00BA667A">
              <w:t>-response relationship</w:t>
            </w:r>
            <w:r>
              <w:t>:</w:t>
            </w:r>
          </w:p>
          <w:p w14:paraId="461E4792" w14:textId="4F3FBDC1" w:rsidR="00BA667A" w:rsidRPr="008F4C2D" w:rsidRDefault="007E4DA3" w:rsidP="008F4C2D">
            <w:pPr>
              <w:pStyle w:val="Tabletextprimarysource"/>
              <w:numPr>
                <w:ilvl w:val="1"/>
                <w:numId w:val="1"/>
              </w:numPr>
              <w:ind w:left="1156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RR=0.01 ×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exposure+1</m:t>
              </m:r>
            </m:oMath>
          </w:p>
          <w:p w14:paraId="1817C8DD" w14:textId="150066C9" w:rsidR="00830F35" w:rsidRDefault="00830F35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Background rate of breast cancer deaths in Netherlands is 12.5 per 250 deaths/yr</w:t>
            </w:r>
          </w:p>
          <w:p w14:paraId="2EAA4BEB" w14:textId="150D4DAE" w:rsidR="007E4DA3" w:rsidRPr="007E4DA3" w:rsidRDefault="007E4DA3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Excess lifetime cancer risk of +1</w:t>
            </w:r>
            <w:r w:rsidR="00830F35">
              <w:t xml:space="preserve"> death/yr due to breast cancer </w:t>
            </w:r>
            <w:r w:rsidR="00830F35">
              <w:rPr>
                <w:rFonts w:cs="Arial"/>
              </w:rPr>
              <w:t xml:space="preserve">corresponds </w:t>
            </w:r>
            <w:r>
              <w:rPr>
                <w:rFonts w:cs="Arial"/>
              </w:rPr>
              <w:t xml:space="preserve">to </w:t>
            </w:r>
            <m:oMath>
              <m:r>
                <w:rPr>
                  <w:rFonts w:ascii="Cambria Math" w:hAnsi="Cambria Math"/>
                </w:rPr>
                <m:t>RR=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12.5+1</m:t>
                  </m:r>
                </m:num>
                <m:den>
                  <m:r>
                    <w:rPr>
                      <w:rFonts w:ascii="Cambria Math" w:hAnsi="Cambria Math"/>
                    </w:rPr>
                    <m:t>12.5</m:t>
                  </m:r>
                </m:den>
              </m:f>
              <m:r>
                <w:rPr>
                  <w:rFonts w:ascii="Cambria Math" w:hAnsi="Cambria Math"/>
                </w:rPr>
                <m:t>= 1.08</m:t>
              </m:r>
            </m:oMath>
            <w:r>
              <w:rPr>
                <w:rFonts w:eastAsiaTheme="minorEastAsia" w:cs="Arial"/>
              </w:rPr>
              <w:t xml:space="preserve"> or </w:t>
            </w:r>
            <w:r w:rsidR="001A10B3">
              <w:rPr>
                <w:rFonts w:cs="Arial"/>
              </w:rPr>
              <w:t xml:space="preserve">an additional risk of </w:t>
            </w:r>
            <w:r w:rsidR="001A10B3">
              <w:t>4x10</w:t>
            </w:r>
            <w:r w:rsidR="001A10B3">
              <w:rPr>
                <w:vertAlign w:val="superscript"/>
              </w:rPr>
              <w:t>-3</w:t>
            </w:r>
            <w:r w:rsidR="001A10B3">
              <w:rPr>
                <w:vertAlign w:val="subscript"/>
              </w:rPr>
              <w:t xml:space="preserve"> </w:t>
            </w:r>
            <w:r w:rsidR="001A10B3">
              <w:t xml:space="preserve">at </w:t>
            </w:r>
            <w:r>
              <w:rPr>
                <w:rFonts w:eastAsiaTheme="minorEastAsia" w:cs="Arial"/>
              </w:rPr>
              <w:t>an exposure to 8,000 mg/d</w:t>
            </w:r>
            <w:r w:rsidR="001A10B3">
              <w:rPr>
                <w:rFonts w:eastAsiaTheme="minorEastAsia" w:cs="Arial"/>
              </w:rPr>
              <w:t xml:space="preserve"> </w:t>
            </w:r>
          </w:p>
          <w:p w14:paraId="201A67BA" w14:textId="2C042CD4" w:rsidR="001A10B3" w:rsidRDefault="001A10B3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An air concentration that delivers an effective oral dose of 8,000 mg/d is 690 ppm (1,300 mg/m</w:t>
            </w:r>
            <w:r>
              <w:rPr>
                <w:vertAlign w:val="superscript"/>
              </w:rPr>
              <w:t>3</w:t>
            </w:r>
            <w:r>
              <w:t>) assuming 60% inhalational absorption and a respiratory volume of 10 m</w:t>
            </w:r>
            <w:r>
              <w:rPr>
                <w:vertAlign w:val="superscript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softHyphen/>
            </w:r>
            <w:r>
              <w:rPr>
                <w:vertAlign w:val="subscript"/>
              </w:rPr>
              <w:softHyphen/>
            </w:r>
            <w:r>
              <w:t>during an 8-h shift</w:t>
            </w:r>
          </w:p>
          <w:p w14:paraId="373892FD" w14:textId="1B6A5D30" w:rsidR="001A10B3" w:rsidRDefault="001A10B3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An air concentration with an associated additional risk of 4x10</w:t>
            </w:r>
            <w:r>
              <w:rPr>
                <w:vertAlign w:val="superscript"/>
              </w:rPr>
              <w:t>-5</w:t>
            </w:r>
            <w:r>
              <w:t xml:space="preserve"> is assumed to be </w:t>
            </w:r>
            <w:r w:rsidR="005E6C2D">
              <w:t>7 </w:t>
            </w:r>
            <w:r>
              <w:t>ppm (13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270502">
              <w:t xml:space="preserve"> </w:t>
            </w:r>
            <w:r w:rsidR="00270502">
              <w:rPr>
                <w:rFonts w:cs="Arial"/>
              </w:rPr>
              <w:t xml:space="preserve">≡0.2 mg/L/yr </w:t>
            </w:r>
            <w:r w:rsidR="00270502">
              <w:t>ethanol body burden</w:t>
            </w:r>
            <w:r w:rsidR="009F6885">
              <w:t xml:space="preserve"> from occupational exposure</w:t>
            </w:r>
            <w:r w:rsidR="00270502">
              <w:t xml:space="preserve">, which is lower than that of lifetime </w:t>
            </w:r>
            <w:r w:rsidR="009F6885">
              <w:t xml:space="preserve">body burden caused by </w:t>
            </w:r>
            <w:r w:rsidR="00270502">
              <w:t xml:space="preserve">endogenous </w:t>
            </w:r>
            <w:r w:rsidR="009F6885">
              <w:t>ethanol (22</w:t>
            </w:r>
            <w:r w:rsidR="00963D8E">
              <w:t xml:space="preserve"> </w:t>
            </w:r>
            <w:r w:rsidR="00270502">
              <w:t>mg/L/yr)</w:t>
            </w:r>
            <w:r w:rsidR="009F6885">
              <w:t xml:space="preserve"> and considered negligible by the agency</w:t>
            </w:r>
          </w:p>
          <w:p w14:paraId="71D85792" w14:textId="688503EF" w:rsidR="009F6885" w:rsidRPr="001A10B3" w:rsidRDefault="009F6885" w:rsidP="008F4C2D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DECOS therefore recommend an </w:t>
            </w:r>
            <w:r w:rsidR="00106768">
              <w:t xml:space="preserve">HBC-ORCV </w:t>
            </w:r>
            <w:r>
              <w:t>of 690 ppm (1,300</w:t>
            </w:r>
            <w:r w:rsidR="00963D8E">
              <w:t xml:space="preserve"> 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), which would result in a blood alcohol content that </w:t>
            </w:r>
            <w:r w:rsidR="00106768">
              <w:t xml:space="preserve">is 1–100 times lower than that required to produce </w:t>
            </w:r>
            <w:r>
              <w:t>reproductive</w:t>
            </w:r>
            <w:r w:rsidR="00106768">
              <w:t xml:space="preserve"> and developmental</w:t>
            </w:r>
            <w:r>
              <w:t xml:space="preserve"> toxicity </w:t>
            </w:r>
          </w:p>
          <w:p w14:paraId="06408806" w14:textId="77777777" w:rsidR="004663A8" w:rsidRDefault="004663A8" w:rsidP="004663A8">
            <w:pPr>
              <w:pStyle w:val="Tabletextprimarysource"/>
            </w:pPr>
            <w:r>
              <w:t>Animal data:</w:t>
            </w:r>
          </w:p>
          <w:p w14:paraId="7106D4F6" w14:textId="77777777" w:rsidR="004663A8" w:rsidRDefault="004663A8" w:rsidP="004663A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in most </w:t>
            </w:r>
            <w:r>
              <w:rPr>
                <w:i/>
              </w:rPr>
              <w:t>in vitro</w:t>
            </w:r>
            <w:r>
              <w:t xml:space="preserve"> assays, metabolic activation generally required for positive results</w:t>
            </w:r>
            <w:r w:rsidR="00FB4894">
              <w:t>.</w:t>
            </w:r>
          </w:p>
          <w:p w14:paraId="4857085D" w14:textId="7A88E6B0" w:rsidR="005E6C2D" w:rsidRPr="00DA352E" w:rsidRDefault="005E6C2D" w:rsidP="005E6C2D">
            <w:pPr>
              <w:pStyle w:val="Tabletextprimarysource"/>
            </w:pPr>
          </w:p>
        </w:tc>
      </w:tr>
    </w:tbl>
    <w:p w14:paraId="7371931B" w14:textId="77777777" w:rsidR="00A20751" w:rsidRPr="004C23F4" w:rsidRDefault="00A20751" w:rsidP="005E6C2D">
      <w:pPr>
        <w:pStyle w:val="Heading3"/>
        <w:keepNext w:val="0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5"/>
        <w:gridCol w:w="421"/>
        <w:gridCol w:w="661"/>
        <w:gridCol w:w="6459"/>
      </w:tblGrid>
      <w:tr w:rsidR="004966BF" w:rsidRPr="00263255" w14:paraId="4ADBB7DF" w14:textId="77777777" w:rsidTr="004C14C2">
        <w:trPr>
          <w:cantSplit/>
          <w:trHeight w:val="393"/>
          <w:tblHeader/>
        </w:trPr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672556B0" w14:textId="77777777" w:rsidR="004966BF" w:rsidRPr="00263255" w:rsidRDefault="004966BF" w:rsidP="005E6C2D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E7B7CB9" w14:textId="77777777" w:rsidR="004966BF" w:rsidRPr="00263255" w:rsidRDefault="004966BF" w:rsidP="005E6C2D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26C966F" w14:textId="77777777" w:rsidR="004966BF" w:rsidRPr="00263255" w:rsidRDefault="004966BF" w:rsidP="005E6C2D">
            <w:pPr>
              <w:pStyle w:val="Tableheader"/>
            </w:pPr>
            <w:r>
              <w:t>Year</w:t>
            </w:r>
          </w:p>
        </w:tc>
        <w:tc>
          <w:tcPr>
            <w:tcW w:w="6459" w:type="dxa"/>
            <w:shd w:val="clear" w:color="auto" w:fill="BFBFBF" w:themeFill="background1" w:themeFillShade="BF"/>
            <w:vAlign w:val="center"/>
          </w:tcPr>
          <w:p w14:paraId="1AD3CFE8" w14:textId="77777777" w:rsidR="004966BF" w:rsidRPr="00263255" w:rsidRDefault="004966BF" w:rsidP="005E6C2D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EC58584" w14:textId="77777777" w:rsidTr="004C14C2">
        <w:trPr>
          <w:cantSplit/>
        </w:trPr>
        <w:tc>
          <w:tcPr>
            <w:tcW w:w="1485" w:type="dxa"/>
          </w:tcPr>
          <w:p w14:paraId="6A29C684" w14:textId="77777777" w:rsidR="004966BF" w:rsidRPr="004C23F4" w:rsidRDefault="004966BF" w:rsidP="005E6C2D">
            <w:pPr>
              <w:pStyle w:val="Tablefont"/>
            </w:pPr>
            <w:r>
              <w:t>HSE</w:t>
            </w:r>
          </w:p>
        </w:tc>
        <w:tc>
          <w:tcPr>
            <w:tcW w:w="421" w:type="dxa"/>
          </w:tcPr>
          <w:p w14:paraId="5FB1B45B" w14:textId="19B240B0" w:rsidR="004966BF" w:rsidRPr="00CE617F" w:rsidRDefault="00F140A3" w:rsidP="005E6C2D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539E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60F14F" w14:textId="2CDA7C0D" w:rsidR="004966BF" w:rsidRPr="004C23F4" w:rsidRDefault="001539EA" w:rsidP="005E6C2D">
            <w:pPr>
              <w:pStyle w:val="Tablefont"/>
            </w:pPr>
            <w:r>
              <w:t>2002</w:t>
            </w:r>
          </w:p>
        </w:tc>
        <w:tc>
          <w:tcPr>
            <w:tcW w:w="6459" w:type="dxa"/>
          </w:tcPr>
          <w:p w14:paraId="05162CE8" w14:textId="69CF062C" w:rsidR="004966BF" w:rsidRPr="004C23F4" w:rsidRDefault="001539EA" w:rsidP="005E6C2D">
            <w:pPr>
              <w:pStyle w:val="Tablefont"/>
            </w:pPr>
            <w:r>
              <w:t>TWA: 1,000 ppm (1,92</w:t>
            </w:r>
            <w:r w:rsidRPr="001539EA">
              <w:t>0 mg/m</w:t>
            </w:r>
            <w:r w:rsidRPr="001539EA">
              <w:rPr>
                <w:vertAlign w:val="superscript"/>
              </w:rPr>
              <w:t>3</w:t>
            </w:r>
            <w:r w:rsidRPr="001539EA">
              <w:t>)</w:t>
            </w:r>
          </w:p>
        </w:tc>
      </w:tr>
      <w:tr w:rsidR="004966BF" w:rsidRPr="004C23F4" w14:paraId="4627796F" w14:textId="77777777" w:rsidTr="005E6C2D">
        <w:tc>
          <w:tcPr>
            <w:tcW w:w="1485" w:type="dxa"/>
          </w:tcPr>
          <w:p w14:paraId="6928DADF" w14:textId="77777777" w:rsidR="004966BF" w:rsidRPr="004C23F4" w:rsidRDefault="004966BF" w:rsidP="005E6C2D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5F61810A" w14:textId="1E0457E3" w:rsidR="004966BF" w:rsidRPr="00CE617F" w:rsidRDefault="00F140A3" w:rsidP="005E6C2D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0150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AA04948" w14:textId="319041C8" w:rsidR="004966BF" w:rsidRPr="004C23F4" w:rsidRDefault="00E01507" w:rsidP="005E6C2D">
            <w:pPr>
              <w:pStyle w:val="Tablefont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9" w:type="dxa"/>
          </w:tcPr>
          <w:p w14:paraId="69DFFA56" w14:textId="75E16ED7" w:rsidR="004966BF" w:rsidRPr="0052524A" w:rsidRDefault="001539EA" w:rsidP="00804514">
            <w:pPr>
              <w:pStyle w:val="ListBullet"/>
              <w:numPr>
                <w:ilvl w:val="0"/>
                <w:numId w:val="4"/>
              </w:numPr>
              <w:spacing w:before="60" w:after="60"/>
              <w:ind w:left="448" w:hanging="357"/>
              <w:contextualSpacing w:val="0"/>
              <w:rPr>
                <w:rStyle w:val="checkbox"/>
                <w:rFonts w:ascii="Arial" w:hAnsi="Arial" w:cs="Arial"/>
                <w:szCs w:val="20"/>
                <w:lang w:eastAsia="en-AU"/>
              </w:rPr>
            </w:pPr>
            <w:r w:rsidRPr="0052524A">
              <w:rPr>
                <w:rStyle w:val="checkbox"/>
                <w:rFonts w:ascii="Arial" w:hAnsi="Arial" w:cs="Arial"/>
                <w:szCs w:val="20"/>
              </w:rPr>
              <w:t>Overall, the data indicate</w:t>
            </w:r>
            <w:r w:rsidR="008F4C2D" w:rsidRPr="0052524A">
              <w:rPr>
                <w:rStyle w:val="checkbox"/>
                <w:rFonts w:ascii="Arial" w:hAnsi="Arial" w:cs="Arial"/>
                <w:szCs w:val="20"/>
              </w:rPr>
              <w:t>s</w:t>
            </w:r>
            <w:r w:rsidRPr="0052524A">
              <w:rPr>
                <w:rStyle w:val="checkbox"/>
                <w:rFonts w:ascii="Arial" w:hAnsi="Arial" w:cs="Arial"/>
                <w:szCs w:val="20"/>
              </w:rPr>
              <w:t xml:space="preserve"> no mutagenic or genotoxic potential</w:t>
            </w:r>
          </w:p>
          <w:p w14:paraId="6B422EE2" w14:textId="77777777" w:rsidR="00856B33" w:rsidRPr="00804514" w:rsidRDefault="00856B33" w:rsidP="00804514">
            <w:pPr>
              <w:pStyle w:val="ListBullet"/>
              <w:numPr>
                <w:ilvl w:val="0"/>
                <w:numId w:val="4"/>
              </w:numPr>
              <w:spacing w:before="60" w:after="60"/>
              <w:ind w:left="448" w:hanging="357"/>
              <w:contextualSpacing w:val="0"/>
            </w:pPr>
            <w:r w:rsidRPr="00804514">
              <w:t>U</w:t>
            </w:r>
            <w:r w:rsidR="008D6927" w:rsidRPr="00804514">
              <w:t xml:space="preserve">se in alcoholic beverages not considered </w:t>
            </w:r>
            <w:r w:rsidRPr="00804514">
              <w:t>for workplace assessment</w:t>
            </w:r>
            <w:r w:rsidR="008D6927" w:rsidRPr="00804514">
              <w:t xml:space="preserve">, </w:t>
            </w:r>
            <w:r w:rsidRPr="00804514">
              <w:t>evaluation of</w:t>
            </w:r>
            <w:r w:rsidR="008D6927" w:rsidRPr="00804514">
              <w:t xml:space="preserve"> carcinogenicity of alcohol</w:t>
            </w:r>
            <w:r w:rsidRPr="00804514">
              <w:t>ic</w:t>
            </w:r>
            <w:r w:rsidR="008D6927" w:rsidRPr="00804514">
              <w:t xml:space="preserve"> beverages may not be relevant to occupational exposure or </w:t>
            </w:r>
            <w:r w:rsidRPr="00804514">
              <w:t>use</w:t>
            </w:r>
            <w:r w:rsidR="008D6927" w:rsidRPr="00804514">
              <w:t xml:space="preserve"> in consumer p</w:t>
            </w:r>
            <w:r w:rsidRPr="00804514">
              <w:t>roducts</w:t>
            </w:r>
            <w:r w:rsidR="008D6927" w:rsidRPr="00804514">
              <w:t xml:space="preserve"> </w:t>
            </w:r>
          </w:p>
          <w:p w14:paraId="6D18A0F6" w14:textId="321A39E9" w:rsidR="001539EA" w:rsidRPr="00804514" w:rsidRDefault="00856B33" w:rsidP="00804514">
            <w:pPr>
              <w:pStyle w:val="ListBullet"/>
              <w:numPr>
                <w:ilvl w:val="0"/>
                <w:numId w:val="4"/>
              </w:numPr>
              <w:spacing w:before="60" w:after="60"/>
              <w:ind w:left="449" w:hanging="357"/>
              <w:contextualSpacing w:val="0"/>
            </w:pPr>
            <w:r w:rsidRPr="00804514">
              <w:lastRenderedPageBreak/>
              <w:t xml:space="preserve">Available animal studies </w:t>
            </w:r>
            <w:r w:rsidR="008D6927" w:rsidRPr="00804514">
              <w:t xml:space="preserve">mostly </w:t>
            </w:r>
            <w:r w:rsidRPr="00804514">
              <w:t>report</w:t>
            </w:r>
            <w:r w:rsidR="008D6927" w:rsidRPr="00804514">
              <w:t xml:space="preserve"> oral exposure</w:t>
            </w:r>
            <w:r w:rsidRPr="00804514">
              <w:t xml:space="preserve">, which exceed </w:t>
            </w:r>
            <w:r w:rsidR="005E6C2D" w:rsidRPr="00804514">
              <w:t>MTD</w:t>
            </w:r>
            <w:r w:rsidRPr="00804514">
              <w:t xml:space="preserve"> and </w:t>
            </w:r>
            <w:r w:rsidR="008D6927" w:rsidRPr="00804514">
              <w:t xml:space="preserve">may </w:t>
            </w:r>
            <w:r w:rsidRPr="00804514">
              <w:t>be irrelevant</w:t>
            </w:r>
            <w:r w:rsidR="008D6927" w:rsidRPr="00804514">
              <w:t xml:space="preserve"> </w:t>
            </w:r>
            <w:r w:rsidRPr="00804514">
              <w:t>to occupational exposure; carcinogenicity classification therefore</w:t>
            </w:r>
            <w:r w:rsidR="008D6927" w:rsidRPr="00804514">
              <w:t xml:space="preserve"> considered </w:t>
            </w:r>
            <w:r w:rsidRPr="00804514">
              <w:t>inappropriate</w:t>
            </w:r>
          </w:p>
          <w:p w14:paraId="08369FBE" w14:textId="4316EBB0" w:rsidR="00856B33" w:rsidRPr="00804514" w:rsidRDefault="00856B33" w:rsidP="00804514">
            <w:pPr>
              <w:pStyle w:val="ListBullet"/>
              <w:numPr>
                <w:ilvl w:val="0"/>
                <w:numId w:val="4"/>
              </w:numPr>
              <w:spacing w:before="60" w:after="60"/>
              <w:ind w:left="449" w:hanging="357"/>
              <w:contextualSpacing w:val="0"/>
            </w:pPr>
            <w:r w:rsidRPr="00804514">
              <w:rPr>
                <w:i/>
              </w:rPr>
              <w:t xml:space="preserve">In </w:t>
            </w:r>
            <w:r w:rsidRPr="00804514">
              <w:t xml:space="preserve">vivo genotoxicity </w:t>
            </w:r>
            <w:r w:rsidR="008D6927" w:rsidRPr="00804514">
              <w:t xml:space="preserve">assays </w:t>
            </w:r>
            <w:r w:rsidRPr="00804514">
              <w:t xml:space="preserve">are equivocal; </w:t>
            </w:r>
            <w:r w:rsidR="008D6927" w:rsidRPr="00804514">
              <w:t>confounded by inadequa</w:t>
            </w:r>
            <w:r w:rsidRPr="00804514">
              <w:t xml:space="preserve">te </w:t>
            </w:r>
            <w:r w:rsidR="008D6927" w:rsidRPr="00804514">
              <w:t xml:space="preserve">methodologies and </w:t>
            </w:r>
            <w:r w:rsidRPr="00804514">
              <w:t>use of</w:t>
            </w:r>
            <w:r w:rsidR="008D6927" w:rsidRPr="00804514">
              <w:t xml:space="preserve"> high doses. </w:t>
            </w:r>
          </w:p>
          <w:p w14:paraId="7FFAFBE8" w14:textId="0E25DFD6" w:rsidR="008D6927" w:rsidRPr="00804514" w:rsidRDefault="008F4C2D" w:rsidP="00804514">
            <w:pPr>
              <w:pStyle w:val="ListBullet"/>
              <w:numPr>
                <w:ilvl w:val="1"/>
                <w:numId w:val="4"/>
              </w:numPr>
              <w:spacing w:before="60" w:after="60"/>
              <w:ind w:left="874" w:hanging="357"/>
              <w:contextualSpacing w:val="0"/>
            </w:pPr>
            <w:r w:rsidRPr="00804514">
              <w:t>t</w:t>
            </w:r>
            <w:r w:rsidR="008D6927" w:rsidRPr="00804514">
              <w:t xml:space="preserve">he most robust dominant lethal testing </w:t>
            </w:r>
            <w:r w:rsidR="00856B33" w:rsidRPr="00804514">
              <w:t>was of</w:t>
            </w:r>
            <w:r w:rsidR="008D6927" w:rsidRPr="00804514">
              <w:t xml:space="preserve"> male mice exposed </w:t>
            </w:r>
            <w:r w:rsidR="00856B33" w:rsidRPr="00804514">
              <w:t>by</w:t>
            </w:r>
            <w:r w:rsidR="008D6927" w:rsidRPr="00804514">
              <w:t xml:space="preserve"> intubation belo</w:t>
            </w:r>
            <w:r w:rsidR="00856B33" w:rsidRPr="00804514">
              <w:t>w the maximally tolerated dose: n</w:t>
            </w:r>
            <w:r w:rsidR="008D6927" w:rsidRPr="00804514">
              <w:t>o si</w:t>
            </w:r>
            <w:r w:rsidR="00856B33" w:rsidRPr="00804514">
              <w:t>gnificant effects reported</w:t>
            </w:r>
          </w:p>
          <w:p w14:paraId="41FE982E" w14:textId="615C9F5E" w:rsidR="00287C1A" w:rsidRPr="00804514" w:rsidRDefault="00856B33" w:rsidP="00804514">
            <w:pPr>
              <w:pStyle w:val="ListBullet"/>
              <w:numPr>
                <w:ilvl w:val="0"/>
                <w:numId w:val="4"/>
              </w:numPr>
              <w:spacing w:before="60" w:after="60"/>
              <w:ind w:left="449" w:hanging="357"/>
              <w:contextualSpacing w:val="0"/>
            </w:pPr>
            <w:r w:rsidRPr="00804514">
              <w:t>E</w:t>
            </w:r>
            <w:r w:rsidR="008D6927" w:rsidRPr="00804514">
              <w:t>xposure through consuming alcoholic beverages is associated with increased risk of carcinogenicity</w:t>
            </w:r>
            <w:r w:rsidRPr="00804514">
              <w:t xml:space="preserve"> and reproductive/</w:t>
            </w:r>
            <w:r w:rsidR="008D6927" w:rsidRPr="00804514">
              <w:t>developmental toxicity</w:t>
            </w:r>
            <w:r w:rsidRPr="00804514">
              <w:t>, which</w:t>
            </w:r>
            <w:r w:rsidR="008D6927" w:rsidRPr="00804514">
              <w:t xml:space="preserve"> incr</w:t>
            </w:r>
            <w:r w:rsidRPr="00804514">
              <w:t xml:space="preserve">ease in a dose-dependent manner, but </w:t>
            </w:r>
            <w:r w:rsidR="008D6927" w:rsidRPr="00804514">
              <w:t xml:space="preserve">are not considered relevant at </w:t>
            </w:r>
            <w:r w:rsidRPr="00804514">
              <w:t>levels</w:t>
            </w:r>
            <w:r w:rsidR="008D6927" w:rsidRPr="00804514">
              <w:t xml:space="preserve"> relating to occupational exposure </w:t>
            </w:r>
          </w:p>
          <w:p w14:paraId="3228112B" w14:textId="4022DD6A" w:rsidR="008D6927" w:rsidRPr="00804514" w:rsidRDefault="008F4C2D" w:rsidP="00804514">
            <w:pPr>
              <w:pStyle w:val="ListBullet"/>
              <w:numPr>
                <w:ilvl w:val="0"/>
                <w:numId w:val="3"/>
              </w:numPr>
              <w:spacing w:before="60" w:after="60"/>
              <w:ind w:left="874" w:hanging="357"/>
              <w:contextualSpacing w:val="0"/>
              <w:rPr>
                <w:rStyle w:val="checkbox"/>
                <w:rFonts w:ascii="Arial" w:hAnsi="Arial" w:cs="Arial"/>
                <w:szCs w:val="20"/>
              </w:rPr>
            </w:pPr>
            <w:proofErr w:type="gramStart"/>
            <w:r w:rsidRPr="00804514">
              <w:t>c</w:t>
            </w:r>
            <w:r w:rsidR="008D6927" w:rsidRPr="00804514">
              <w:t>ritical</w:t>
            </w:r>
            <w:proofErr w:type="gramEnd"/>
            <w:r w:rsidR="008D6927" w:rsidRPr="00804514">
              <w:t xml:space="preserve"> health effect for risk characterisation from industrial use </w:t>
            </w:r>
            <w:r w:rsidR="00287C1A" w:rsidRPr="00804514">
              <w:t xml:space="preserve">is therefore </w:t>
            </w:r>
            <w:r w:rsidR="008D6927" w:rsidRPr="00804514">
              <w:t xml:space="preserve">local </w:t>
            </w:r>
            <w:r w:rsidR="00287C1A" w:rsidRPr="00804514">
              <w:t>eye irritation</w:t>
            </w:r>
            <w:r w:rsidR="00FB4894" w:rsidRPr="00804514">
              <w:t>.</w:t>
            </w:r>
          </w:p>
        </w:tc>
      </w:tr>
      <w:tr w:rsidR="004966BF" w:rsidRPr="004C23F4" w14:paraId="14976B88" w14:textId="77777777" w:rsidTr="004C14C2">
        <w:trPr>
          <w:cantSplit/>
        </w:trPr>
        <w:tc>
          <w:tcPr>
            <w:tcW w:w="1485" w:type="dxa"/>
          </w:tcPr>
          <w:p w14:paraId="7B820E41" w14:textId="77777777" w:rsidR="004966BF" w:rsidRPr="004C23F4" w:rsidRDefault="004966BF" w:rsidP="004C14C2">
            <w:pPr>
              <w:pStyle w:val="Tablefont"/>
              <w:keepNext/>
            </w:pPr>
            <w:r>
              <w:lastRenderedPageBreak/>
              <w:t>IARC</w:t>
            </w:r>
          </w:p>
        </w:tc>
        <w:tc>
          <w:tcPr>
            <w:tcW w:w="421" w:type="dxa"/>
          </w:tcPr>
          <w:p w14:paraId="4769CFB2" w14:textId="07870DCE" w:rsidR="004966BF" w:rsidRPr="00CE617F" w:rsidRDefault="00F140A3" w:rsidP="004C14C2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B489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151B1B6" w14:textId="4D35D0D4" w:rsidR="004966BF" w:rsidRPr="004C23F4" w:rsidRDefault="002C1972" w:rsidP="004C14C2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2012</w:t>
            </w:r>
          </w:p>
        </w:tc>
        <w:tc>
          <w:tcPr>
            <w:tcW w:w="6459" w:type="dxa"/>
          </w:tcPr>
          <w:p w14:paraId="6A58F56B" w14:textId="09B7C4FC" w:rsidR="00287C1A" w:rsidRDefault="00287C1A" w:rsidP="004C14C2">
            <w:pPr>
              <w:pStyle w:val="Tablefont"/>
              <w:keepNext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Conclusions of evaluation pertain to the consumption of alcoholic beverages and carcinogenicity of primary metabolite, acetaldehyde</w:t>
            </w:r>
          </w:p>
          <w:p w14:paraId="73A175F1" w14:textId="77777777" w:rsidR="00287C1A" w:rsidRDefault="00287C1A" w:rsidP="00804514">
            <w:pPr>
              <w:pStyle w:val="ListBullet"/>
              <w:keepNext/>
              <w:numPr>
                <w:ilvl w:val="0"/>
                <w:numId w:val="5"/>
              </w:numPr>
              <w:spacing w:before="60" w:after="60"/>
              <w:ind w:left="448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2C1972" w:rsidRPr="002C1972">
              <w:rPr>
                <w:rStyle w:val="checkbox"/>
                <w:rFonts w:ascii="Arial" w:hAnsi="Arial" w:cs="Arial"/>
              </w:rPr>
              <w:t>ufficient evidence in humans for</w:t>
            </w:r>
            <w:r w:rsidR="002C1972">
              <w:rPr>
                <w:rStyle w:val="checkbox"/>
                <w:rFonts w:ascii="Arial" w:hAnsi="Arial" w:cs="Arial"/>
              </w:rPr>
              <w:t xml:space="preserve"> </w:t>
            </w:r>
            <w:r w:rsidR="002C1972" w:rsidRPr="002C1972">
              <w:rPr>
                <w:rStyle w:val="checkbox"/>
                <w:rFonts w:ascii="Arial" w:hAnsi="Arial" w:cs="Arial"/>
              </w:rPr>
              <w:t>the carcinogenicity of acetaldehyde associated</w:t>
            </w:r>
            <w:r w:rsidR="002C1972">
              <w:rPr>
                <w:rStyle w:val="checkbox"/>
                <w:rFonts w:ascii="Arial" w:hAnsi="Arial" w:cs="Arial"/>
              </w:rPr>
              <w:t xml:space="preserve"> </w:t>
            </w:r>
            <w:r w:rsidR="002C1972" w:rsidRPr="002C1972">
              <w:rPr>
                <w:rStyle w:val="checkbox"/>
                <w:rFonts w:ascii="Arial" w:hAnsi="Arial" w:cs="Arial"/>
              </w:rPr>
              <w:t xml:space="preserve">with the consumption of alcoholic </w:t>
            </w:r>
            <w:r>
              <w:rPr>
                <w:rStyle w:val="checkbox"/>
                <w:rFonts w:ascii="Arial" w:hAnsi="Arial" w:cs="Arial"/>
              </w:rPr>
              <w:t>beverages</w:t>
            </w:r>
          </w:p>
          <w:p w14:paraId="2067B85E" w14:textId="237EDD52" w:rsidR="00287C1A" w:rsidRDefault="002C1972" w:rsidP="00804514">
            <w:pPr>
              <w:pStyle w:val="ListBullet"/>
              <w:keepNext/>
              <w:numPr>
                <w:ilvl w:val="0"/>
                <w:numId w:val="5"/>
              </w:numPr>
              <w:spacing w:before="60" w:after="60"/>
              <w:ind w:left="448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C1972">
              <w:rPr>
                <w:rStyle w:val="checkbox"/>
                <w:rFonts w:ascii="Arial" w:hAnsi="Arial" w:cs="Arial"/>
              </w:rPr>
              <w:t>Acetaldehyde associated with the consumption of alcoholic beverages causes cancers of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C1972">
              <w:rPr>
                <w:rStyle w:val="checkbox"/>
                <w:rFonts w:ascii="Arial" w:hAnsi="Arial" w:cs="Arial"/>
              </w:rPr>
              <w:t xml:space="preserve">the oesophagus </w:t>
            </w:r>
            <w:r w:rsidR="00287C1A">
              <w:rPr>
                <w:rStyle w:val="checkbox"/>
                <w:rFonts w:ascii="Arial" w:hAnsi="Arial" w:cs="Arial"/>
              </w:rPr>
              <w:t xml:space="preserve">and of upper </w:t>
            </w:r>
            <w:proofErr w:type="spellStart"/>
            <w:r w:rsidR="00287C1A">
              <w:rPr>
                <w:rStyle w:val="checkbox"/>
                <w:rFonts w:ascii="Arial" w:hAnsi="Arial" w:cs="Arial"/>
              </w:rPr>
              <w:t>aerodigestive</w:t>
            </w:r>
            <w:proofErr w:type="spellEnd"/>
            <w:r w:rsidR="00287C1A">
              <w:rPr>
                <w:rStyle w:val="checkbox"/>
                <w:rFonts w:ascii="Arial" w:hAnsi="Arial" w:cs="Arial"/>
              </w:rPr>
              <w:t xml:space="preserve"> tract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287C1A">
              <w:rPr>
                <w:rStyle w:val="checkbox"/>
                <w:rFonts w:ascii="Arial" w:hAnsi="Arial" w:cs="Arial"/>
              </w:rPr>
              <w:t>S</w:t>
            </w:r>
            <w:r w:rsidRPr="002C1972">
              <w:rPr>
                <w:rStyle w:val="checkbox"/>
                <w:rFonts w:ascii="Arial" w:hAnsi="Arial" w:cs="Arial"/>
              </w:rPr>
              <w:t>ufficient evidence in experimental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C1972">
              <w:rPr>
                <w:rStyle w:val="checkbox"/>
                <w:rFonts w:ascii="Arial" w:hAnsi="Arial" w:cs="Arial"/>
              </w:rPr>
              <w:t xml:space="preserve">animals for the carcinogenicity of </w:t>
            </w:r>
            <w:r w:rsidR="00287C1A">
              <w:rPr>
                <w:rStyle w:val="checkbox"/>
                <w:rFonts w:ascii="Arial" w:hAnsi="Arial" w:cs="Arial"/>
              </w:rPr>
              <w:t>ethyl alcohol and acetaldehyde</w:t>
            </w:r>
          </w:p>
          <w:p w14:paraId="61101573" w14:textId="2B5A8827" w:rsidR="004966BF" w:rsidRDefault="002C1972" w:rsidP="00804514">
            <w:pPr>
              <w:pStyle w:val="ListBullet"/>
              <w:keepNext/>
              <w:numPr>
                <w:ilvl w:val="0"/>
                <w:numId w:val="5"/>
              </w:numPr>
              <w:spacing w:before="60" w:after="60"/>
              <w:ind w:left="448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C1972">
              <w:rPr>
                <w:rStyle w:val="checkbox"/>
                <w:rFonts w:ascii="Arial" w:hAnsi="Arial" w:cs="Arial"/>
              </w:rPr>
              <w:t>Alcohol consumption is carcinogenic to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C1972">
              <w:rPr>
                <w:rStyle w:val="checkbox"/>
                <w:rFonts w:ascii="Arial" w:hAnsi="Arial" w:cs="Arial"/>
              </w:rPr>
              <w:t>humans</w:t>
            </w:r>
            <w:r w:rsidR="00287C1A">
              <w:rPr>
                <w:rStyle w:val="checkbox"/>
                <w:rFonts w:ascii="Arial" w:hAnsi="Arial" w:cs="Arial"/>
              </w:rPr>
              <w:t>; ethyl alcohol</w:t>
            </w:r>
            <w:r w:rsidRPr="002C1972">
              <w:rPr>
                <w:rStyle w:val="checkbox"/>
                <w:rFonts w:ascii="Arial" w:hAnsi="Arial" w:cs="Arial"/>
              </w:rPr>
              <w:t xml:space="preserve"> in alcoholic beverages is carcinogenic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C1972">
              <w:rPr>
                <w:rStyle w:val="checkbox"/>
                <w:rFonts w:ascii="Arial" w:hAnsi="Arial" w:cs="Arial"/>
              </w:rPr>
              <w:t>to humans (Group 1)</w:t>
            </w:r>
          </w:p>
          <w:p w14:paraId="761B68FB" w14:textId="6DA0F49D" w:rsidR="002C1972" w:rsidRPr="004C23F4" w:rsidRDefault="00287C1A" w:rsidP="00804514">
            <w:pPr>
              <w:pStyle w:val="ListBullet"/>
              <w:keepNext/>
              <w:numPr>
                <w:ilvl w:val="0"/>
                <w:numId w:val="5"/>
              </w:numPr>
              <w:spacing w:before="60" w:after="60"/>
              <w:ind w:left="448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S</w:t>
            </w:r>
            <w:r w:rsidR="002C1972">
              <w:t xml:space="preserve">ufficient epidemiological evidence </w:t>
            </w:r>
            <w:r>
              <w:t>shows</w:t>
            </w:r>
            <w:r w:rsidR="002C1972">
              <w:t xml:space="preserve"> that humans deficient in the oxidation of acetaldehyde to acetate have increased risk for </w:t>
            </w:r>
            <w:r>
              <w:t xml:space="preserve">developing </w:t>
            </w:r>
            <w:r w:rsidR="002C1972">
              <w:t xml:space="preserve">alcohol-related cancers, </w:t>
            </w:r>
            <w:r>
              <w:t>e.g. in the</w:t>
            </w:r>
            <w:r w:rsidR="002C1972">
              <w:t xml:space="preserve"> oesophagus an</w:t>
            </w:r>
            <w:r>
              <w:t xml:space="preserve">d the upper </w:t>
            </w:r>
            <w:proofErr w:type="spellStart"/>
            <w:r>
              <w:t>aerodigestive</w:t>
            </w:r>
            <w:proofErr w:type="spellEnd"/>
            <w:r>
              <w:t xml:space="preserve"> tract</w:t>
            </w:r>
            <w:r w:rsidR="00FB4894">
              <w:t>.</w:t>
            </w:r>
          </w:p>
        </w:tc>
      </w:tr>
      <w:tr w:rsidR="004966BF" w:rsidRPr="004C23F4" w14:paraId="050C2F77" w14:textId="77777777" w:rsidTr="004C14C2">
        <w:trPr>
          <w:cantSplit/>
        </w:trPr>
        <w:tc>
          <w:tcPr>
            <w:tcW w:w="1485" w:type="dxa"/>
          </w:tcPr>
          <w:p w14:paraId="43A9F0B7" w14:textId="77777777" w:rsidR="004966BF" w:rsidRDefault="004966BF" w:rsidP="004C14C2">
            <w:pPr>
              <w:pStyle w:val="Tablefont"/>
              <w:keepNext/>
            </w:pPr>
            <w:r>
              <w:t>US NIOSH</w:t>
            </w:r>
          </w:p>
        </w:tc>
        <w:tc>
          <w:tcPr>
            <w:tcW w:w="421" w:type="dxa"/>
          </w:tcPr>
          <w:p w14:paraId="698477E4" w14:textId="1EB7A8ED" w:rsidR="004966BF" w:rsidRDefault="00F140A3" w:rsidP="004C14C2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0150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9F856BF" w14:textId="0F8CD1B2" w:rsidR="004966BF" w:rsidRPr="004C23F4" w:rsidRDefault="00E01507" w:rsidP="004C14C2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9" w:type="dxa"/>
          </w:tcPr>
          <w:p w14:paraId="6724ACF5" w14:textId="6AA2265C" w:rsidR="004966BF" w:rsidRPr="004C23F4" w:rsidRDefault="00E01507" w:rsidP="004C14C2">
            <w:pPr>
              <w:pStyle w:val="Tablefont"/>
              <w:keepNext/>
              <w:rPr>
                <w:rStyle w:val="checkbox"/>
                <w:rFonts w:ascii="Arial" w:hAnsi="Arial" w:cs="Arial"/>
              </w:rPr>
            </w:pPr>
            <w:r w:rsidRPr="00E01507">
              <w:rPr>
                <w:rStyle w:val="checkbox"/>
                <w:rFonts w:ascii="Arial" w:hAnsi="Arial" w:cs="Arial"/>
              </w:rPr>
              <w:t>IDLH based 1</w:t>
            </w:r>
            <w:r w:rsidR="00FB4894">
              <w:rPr>
                <w:rStyle w:val="checkbox"/>
                <w:rFonts w:ascii="Arial" w:hAnsi="Arial" w:cs="Arial"/>
              </w:rPr>
              <w:t>0% of the lower explosive limit.</w:t>
            </w:r>
          </w:p>
        </w:tc>
      </w:tr>
    </w:tbl>
    <w:bookmarkEnd w:id="1"/>
    <w:p w14:paraId="020133F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E4F4EC0" w14:textId="77777777" w:rsidTr="00287C1A">
        <w:trPr>
          <w:trHeight w:val="454"/>
          <w:tblHeader/>
        </w:trPr>
        <w:tc>
          <w:tcPr>
            <w:tcW w:w="6597" w:type="dxa"/>
            <w:vAlign w:val="center"/>
          </w:tcPr>
          <w:p w14:paraId="0332F98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59A5F85" w14:textId="62F50E8C" w:rsidR="002E0D61" w:rsidRDefault="00287C1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5E6C2D" w14:paraId="69096E02" w14:textId="77777777" w:rsidTr="00D82123">
        <w:trPr>
          <w:trHeight w:val="454"/>
        </w:trPr>
        <w:sdt>
          <w:sdtPr>
            <w:rPr>
              <w:b/>
            </w:rPr>
            <w:id w:val="1830936485"/>
            <w:placeholder>
              <w:docPart w:val="8FC55E67807D43A9946FDE91E4B3B30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28DE7FC" w14:textId="644BEFAD" w:rsidR="005E6C2D" w:rsidRDefault="00276BF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2"/>
    <w:p w14:paraId="572FD26E" w14:textId="34504056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FE17F9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A8A2B8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077681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0BCA324" w14:textId="77777777" w:rsidTr="00812887">
        <w:trPr>
          <w:cantSplit/>
        </w:trPr>
        <w:tc>
          <w:tcPr>
            <w:tcW w:w="3227" w:type="dxa"/>
          </w:tcPr>
          <w:p w14:paraId="48E7BA8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CEB0F73" w14:textId="18872790" w:rsidR="00687890" w:rsidRPr="00DD2F9B" w:rsidRDefault="00B355F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49EA85C" w14:textId="77777777" w:rsidTr="00812887">
        <w:trPr>
          <w:cantSplit/>
        </w:trPr>
        <w:tc>
          <w:tcPr>
            <w:tcW w:w="3227" w:type="dxa"/>
          </w:tcPr>
          <w:p w14:paraId="3FCB795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BFBC417" w14:textId="6831CEA3" w:rsidR="007925F0" w:rsidRPr="00DD2F9B" w:rsidRDefault="00B355FC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18B12327" w14:textId="77777777" w:rsidTr="00812887">
        <w:trPr>
          <w:cantSplit/>
        </w:trPr>
        <w:tc>
          <w:tcPr>
            <w:tcW w:w="3227" w:type="dxa"/>
          </w:tcPr>
          <w:p w14:paraId="55AD8A9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DAAB365" w14:textId="759C2024" w:rsidR="00AF483F" w:rsidRPr="00DD2F9B" w:rsidRDefault="00B355FC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438F2CB7" w14:textId="77777777" w:rsidTr="00812887">
        <w:trPr>
          <w:cantSplit/>
        </w:trPr>
        <w:tc>
          <w:tcPr>
            <w:tcW w:w="3227" w:type="dxa"/>
          </w:tcPr>
          <w:p w14:paraId="5E9E539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AF92862" w14:textId="683043BA" w:rsidR="00687890" w:rsidRPr="00DD2F9B" w:rsidRDefault="000C6E06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38844E81" w14:textId="77777777" w:rsidTr="00812887">
        <w:trPr>
          <w:cantSplit/>
        </w:trPr>
        <w:tc>
          <w:tcPr>
            <w:tcW w:w="3227" w:type="dxa"/>
          </w:tcPr>
          <w:p w14:paraId="66B33EB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57A1BAC" w14:textId="2ECD1C55" w:rsidR="00E41A26" w:rsidRPr="00DD2F9B" w:rsidRDefault="00B355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8940768" w14:textId="77777777" w:rsidTr="00812887">
        <w:trPr>
          <w:cantSplit/>
        </w:trPr>
        <w:tc>
          <w:tcPr>
            <w:tcW w:w="3227" w:type="dxa"/>
          </w:tcPr>
          <w:p w14:paraId="46C48D7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D740FEE" w14:textId="40DEAC81" w:rsidR="002E0D61" w:rsidRPr="00DD2F9B" w:rsidRDefault="00B355FC" w:rsidP="00DD2F9B">
            <w:pPr>
              <w:pStyle w:val="Tablefont"/>
            </w:pPr>
            <w:r w:rsidRPr="00B355FC">
              <w:t>Carcinogenicity – A3</w:t>
            </w:r>
          </w:p>
        </w:tc>
      </w:tr>
      <w:tr w:rsidR="002E0D61" w:rsidRPr="004C23F4" w14:paraId="0C60677C" w14:textId="77777777" w:rsidTr="00812887">
        <w:trPr>
          <w:cantSplit/>
        </w:trPr>
        <w:tc>
          <w:tcPr>
            <w:tcW w:w="3227" w:type="dxa"/>
          </w:tcPr>
          <w:p w14:paraId="11ED1AF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0313F90" w14:textId="1A300054" w:rsidR="002E0D61" w:rsidRPr="00DD2F9B" w:rsidRDefault="00B355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16FA5C9" w14:textId="77777777" w:rsidTr="00812887">
        <w:trPr>
          <w:cantSplit/>
        </w:trPr>
        <w:tc>
          <w:tcPr>
            <w:tcW w:w="3227" w:type="dxa"/>
          </w:tcPr>
          <w:p w14:paraId="696EB04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66E52E9" w14:textId="75500491" w:rsidR="002E0D61" w:rsidRPr="00DD2F9B" w:rsidRDefault="00B355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6955316" w14:textId="77777777" w:rsidTr="00812887">
        <w:trPr>
          <w:cantSplit/>
        </w:trPr>
        <w:tc>
          <w:tcPr>
            <w:tcW w:w="3227" w:type="dxa"/>
          </w:tcPr>
          <w:p w14:paraId="1337F48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4AB9C3A" w14:textId="013EE412" w:rsidR="002E0D61" w:rsidRPr="00DD2F9B" w:rsidRDefault="00B355FC" w:rsidP="00DD2F9B">
            <w:pPr>
              <w:pStyle w:val="Tablefont"/>
            </w:pPr>
            <w:r w:rsidRPr="00B355FC">
              <w:t>Skin</w:t>
            </w:r>
          </w:p>
        </w:tc>
      </w:tr>
      <w:tr w:rsidR="00386093" w:rsidRPr="004C23F4" w14:paraId="301E2264" w14:textId="77777777" w:rsidTr="00812887">
        <w:trPr>
          <w:cantSplit/>
        </w:trPr>
        <w:tc>
          <w:tcPr>
            <w:tcW w:w="3227" w:type="dxa"/>
          </w:tcPr>
          <w:p w14:paraId="49A129B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6C935B4" w14:textId="5F28843E" w:rsidR="00386093" w:rsidRPr="00DD2F9B" w:rsidRDefault="00B355FC" w:rsidP="00DD2F9B">
            <w:pPr>
              <w:pStyle w:val="Tablefont"/>
            </w:pPr>
            <w:r w:rsidRPr="00B355FC">
              <w:t>Carcinogenicity – Group 1</w:t>
            </w:r>
            <w:r w:rsidR="00A50F6C">
              <w:t xml:space="preserve"> (</w:t>
            </w:r>
            <w:r w:rsidR="00A50F6C" w:rsidRPr="008F4C2D">
              <w:rPr>
                <w:i/>
              </w:rPr>
              <w:t>alcoholic beverages</w:t>
            </w:r>
            <w:r w:rsidR="00A50F6C">
              <w:t>)</w:t>
            </w:r>
          </w:p>
        </w:tc>
      </w:tr>
      <w:tr w:rsidR="00386093" w:rsidRPr="004C23F4" w14:paraId="2689EF14" w14:textId="77777777" w:rsidTr="00812887">
        <w:trPr>
          <w:cantSplit/>
        </w:trPr>
        <w:tc>
          <w:tcPr>
            <w:tcW w:w="3227" w:type="dxa"/>
          </w:tcPr>
          <w:p w14:paraId="0F1A34A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B632B88" w14:textId="5FBD3028" w:rsidR="00386093" w:rsidRPr="00DD2F9B" w:rsidRDefault="00B355F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4A590A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EAC48D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30505E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72391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846763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006"/>
              <w:gridCol w:w="769"/>
              <w:gridCol w:w="649"/>
              <w:gridCol w:w="3386"/>
            </w:tblGrid>
            <w:tr w:rsidR="00E35D40" w:rsidRPr="00E35D40" w14:paraId="6F565880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8CE3E2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0F4471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C1A01C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280BB7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27B9E260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E0B5A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56686B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F099DA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B16E3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15955CA4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2E4389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E19D43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5AD98D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8B143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122CB1B3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0FB873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23E872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9940FE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5F3979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5E0494BD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A9D23A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2EFBC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E3D205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FCD1AC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60519E95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CB0E05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8E5BD38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98DA4B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FB5DFD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35D40" w:rsidRPr="00E35D40" w14:paraId="25D0363B" w14:textId="77777777" w:rsidTr="00E35D40">
              <w:trPr>
                <w:trHeight w:val="119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3D94A5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7C4199" w14:textId="77777777" w:rsidR="00E35D40" w:rsidRPr="00E35D40" w:rsidRDefault="00E35D40" w:rsidP="00E35D4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ED8B9D" w14:textId="77777777" w:rsidR="00E35D40" w:rsidRPr="00E35D40" w:rsidRDefault="00E35D40" w:rsidP="00E35D4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-0.5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11B16B" w14:textId="77777777" w:rsidR="00E35D40" w:rsidRPr="00E35D40" w:rsidRDefault="00E35D40" w:rsidP="00E35D4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35D4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42C0C4B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2330E5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47A479C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BBA66D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9081F44" w14:textId="5E16ABCE" w:rsidR="00EB3D1B" w:rsidRDefault="00B355FC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0BDF92F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187361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B14F96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EAF98D7" w14:textId="17022416" w:rsidR="001B79E5" w:rsidRDefault="00B355FC" w:rsidP="001B79E5">
                <w:pPr>
                  <w:pStyle w:val="Tablefont"/>
                </w:pPr>
                <w:r w:rsidRPr="00B355FC">
                  <w:t>46.07</w:t>
                </w:r>
              </w:p>
            </w:tc>
          </w:sdtContent>
        </w:sdt>
      </w:tr>
      <w:tr w:rsidR="00A31D99" w:rsidRPr="004C23F4" w14:paraId="700DC30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B32DCD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94FA8DC" w14:textId="789E17F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355FC">
                  <w:t>1.88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355FC">
                  <w:t>0.532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0FBC6D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B00E6B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C9F292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D7C24DC" w14:textId="77777777" w:rsidTr="00EA6243">
        <w:trPr>
          <w:cantSplit/>
        </w:trPr>
        <w:tc>
          <w:tcPr>
            <w:tcW w:w="4077" w:type="dxa"/>
            <w:vAlign w:val="center"/>
          </w:tcPr>
          <w:p w14:paraId="26080CF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E6E216" w14:textId="6AF6FBEF" w:rsidR="00687890" w:rsidRPr="004C23F4" w:rsidRDefault="001968F3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0B719C5" w14:textId="77777777" w:rsidTr="00EA6243">
        <w:trPr>
          <w:cantSplit/>
        </w:trPr>
        <w:tc>
          <w:tcPr>
            <w:tcW w:w="4077" w:type="dxa"/>
            <w:vAlign w:val="center"/>
          </w:tcPr>
          <w:p w14:paraId="5E9ECE9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69037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14D1C70" w14:textId="77777777" w:rsidTr="00EA6243">
        <w:trPr>
          <w:cantSplit/>
        </w:trPr>
        <w:tc>
          <w:tcPr>
            <w:tcW w:w="4077" w:type="dxa"/>
            <w:vAlign w:val="center"/>
          </w:tcPr>
          <w:p w14:paraId="5B6441C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03B62E1" w14:textId="77777777" w:rsidR="00E06F40" w:rsidRPr="00A006A0" w:rsidRDefault="00F140A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648F89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E737DF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8747A2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77F6C8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958FA2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FB531E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548EA7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581993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7DF8DCC" w14:textId="3B5D878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50A1709" w14:textId="46E7F846" w:rsidR="00FB4894" w:rsidRPr="00E461B8" w:rsidRDefault="00FB4894" w:rsidP="00FB4894">
      <w:r w:rsidRPr="00E461B8">
        <w:t>Deutsche Forschungsgemeinschaft (DFG) (</w:t>
      </w:r>
      <w:r>
        <w:t>201</w:t>
      </w:r>
      <w:r w:rsidR="00FF0633">
        <w:t>7</w:t>
      </w:r>
      <w:r w:rsidRPr="00E461B8">
        <w:t xml:space="preserve">) </w:t>
      </w:r>
      <w:r w:rsidR="004A06C1">
        <w:t>Ethanol</w:t>
      </w:r>
      <w:r w:rsidRPr="00E461B8">
        <w:t xml:space="preserve"> – MAK value documentation</w:t>
      </w:r>
      <w:r>
        <w:t>, German language edition</w:t>
      </w:r>
      <w:r w:rsidRPr="00E461B8">
        <w:t>.</w:t>
      </w:r>
    </w:p>
    <w:p w14:paraId="732771B3" w14:textId="77777777" w:rsidR="00FB4894" w:rsidRDefault="00FB4894" w:rsidP="00FB4894">
      <w:r w:rsidRPr="002022B6">
        <w:t>Health Council of the Netherlands</w:t>
      </w:r>
      <w:r>
        <w:t xml:space="preserve"> (HCOTN) (2006) ethanol</w:t>
      </w:r>
      <w:r w:rsidRPr="005F7416">
        <w:t xml:space="preserve">. Health-based calculated occupational cancer risk values. The Hague: Health Council of the Netherlands; publication no. </w:t>
      </w:r>
      <w:r w:rsidRPr="00447832">
        <w:t>2006/06OSH</w:t>
      </w:r>
      <w:r>
        <w:t>.</w:t>
      </w:r>
    </w:p>
    <w:p w14:paraId="22C76F49" w14:textId="4179556A" w:rsidR="00FB4894" w:rsidRDefault="00FB4894" w:rsidP="00FB4894">
      <w:r w:rsidRPr="002022B6">
        <w:t>International Agency for Research on Cancer</w:t>
      </w:r>
      <w:r>
        <w:t xml:space="preserve"> (IARC) (</w:t>
      </w:r>
      <w:r w:rsidRPr="00447832">
        <w:t>2012</w:t>
      </w:r>
      <w:r>
        <w:t xml:space="preserve">) </w:t>
      </w:r>
      <w:r w:rsidRPr="002C1972">
        <w:t>Personal Habits and Indoor Combustions</w:t>
      </w:r>
      <w:r>
        <w:t>. IARC Monographs on the evaluation of the carcinogenic risk to humans, volume 100E.</w:t>
      </w:r>
    </w:p>
    <w:p w14:paraId="49C73803" w14:textId="35970AA9" w:rsidR="00B355FC" w:rsidRDefault="00B355FC" w:rsidP="00084859">
      <w:r w:rsidRPr="002022B6">
        <w:t>National Industrial Chemicals Notification and Assessment Scheme (NICNAS)</w:t>
      </w:r>
      <w:r>
        <w:t xml:space="preserve"> (</w:t>
      </w:r>
      <w:r w:rsidR="00447832" w:rsidRPr="00447832">
        <w:t>2014</w:t>
      </w:r>
      <w:r>
        <w:t xml:space="preserve">) </w:t>
      </w:r>
      <w:r w:rsidR="00447832" w:rsidRPr="00447832">
        <w:t>Ethanol</w:t>
      </w:r>
      <w:r w:rsidRPr="0071660C">
        <w:t xml:space="preserve">: Human health </w:t>
      </w:r>
      <w:r w:rsidR="00447832" w:rsidRPr="00447832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57BD1603" w14:textId="1DD01F78" w:rsidR="00963D8E" w:rsidRDefault="00963D8E" w:rsidP="00963D8E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4540780" w14:textId="2249F2F2" w:rsidR="004C14C2" w:rsidRPr="004C14C2" w:rsidRDefault="004C14C2" w:rsidP="00963D8E">
      <w:pPr>
        <w:rPr>
          <w:b/>
        </w:rPr>
      </w:pPr>
      <w:r w:rsidRPr="00D86E03">
        <w:t>UK Health and Safety Executive</w:t>
      </w:r>
      <w:r>
        <w:t xml:space="preserve"> (HSE) (1992) ethyl alcohol</w:t>
      </w:r>
      <w:r w:rsidRPr="00262278">
        <w:rPr>
          <w:color w:val="00B050"/>
        </w:rPr>
        <w:t xml:space="preserve"> </w:t>
      </w:r>
      <w:r>
        <w:t>– EH64: Summary criteria for occupational exposure limits.</w:t>
      </w:r>
    </w:p>
    <w:p w14:paraId="054B3E43" w14:textId="02900946" w:rsidR="00FB4894" w:rsidRDefault="00FB4894" w:rsidP="00FB4894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ethyl alcohol. </w:t>
      </w:r>
    </w:p>
    <w:p w14:paraId="6D2F5B2C" w14:textId="77777777" w:rsidR="00FB4894" w:rsidRPr="00351FE0" w:rsidRDefault="00FB4894" w:rsidP="00084859"/>
    <w:sectPr w:rsidR="00FB4894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427D85" w16cid:durableId="218007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FAC2" w14:textId="77777777" w:rsidR="00C67254" w:rsidRDefault="00C67254" w:rsidP="00F43AD5">
      <w:pPr>
        <w:spacing w:after="0" w:line="240" w:lineRule="auto"/>
      </w:pPr>
      <w:r>
        <w:separator/>
      </w:r>
    </w:p>
  </w:endnote>
  <w:endnote w:type="continuationSeparator" w:id="0">
    <w:p w14:paraId="7F22C002" w14:textId="77777777" w:rsidR="00C67254" w:rsidRDefault="00C6725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37CC2" w14:textId="77777777" w:rsidR="00DF6422" w:rsidRDefault="00DF6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3EA2EAE" w14:textId="4B0F2B2F" w:rsidR="00A867CE" w:rsidRDefault="00A867CE" w:rsidP="0034744C">
        <w:pPr>
          <w:pStyle w:val="Footer"/>
          <w:rPr>
            <w:sz w:val="18"/>
            <w:szCs w:val="18"/>
          </w:rPr>
        </w:pPr>
        <w:r w:rsidRPr="00E61617">
          <w:rPr>
            <w:b/>
            <w:sz w:val="18"/>
            <w:szCs w:val="18"/>
          </w:rPr>
          <w:t>Ethyl alcohol</w:t>
        </w:r>
        <w:r>
          <w:rPr>
            <w:b/>
            <w:sz w:val="18"/>
            <w:szCs w:val="18"/>
          </w:rPr>
          <w:t xml:space="preserve"> (</w:t>
        </w:r>
        <w:r w:rsidRPr="00E61617">
          <w:rPr>
            <w:b/>
            <w:sz w:val="18"/>
            <w:szCs w:val="18"/>
          </w:rPr>
          <w:t>64-17-5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A0DB8B3" w14:textId="6CBFA9F6" w:rsidR="00A867CE" w:rsidRPr="00F43AD5" w:rsidRDefault="00A867CE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140A3">
          <w:rPr>
            <w:noProof/>
            <w:sz w:val="18"/>
            <w:szCs w:val="18"/>
          </w:rPr>
          <w:t>8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0390" w14:textId="77777777" w:rsidR="00DF6422" w:rsidRDefault="00DF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06C2" w14:textId="77777777" w:rsidR="00C67254" w:rsidRDefault="00C67254" w:rsidP="00F43AD5">
      <w:pPr>
        <w:spacing w:after="0" w:line="240" w:lineRule="auto"/>
      </w:pPr>
      <w:r>
        <w:separator/>
      </w:r>
    </w:p>
  </w:footnote>
  <w:footnote w:type="continuationSeparator" w:id="0">
    <w:p w14:paraId="463DEEDB" w14:textId="77777777" w:rsidR="00C67254" w:rsidRDefault="00C6725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B6AD" w14:textId="54D4675E" w:rsidR="00DF6422" w:rsidRDefault="00F140A3">
    <w:pPr>
      <w:pStyle w:val="Header"/>
    </w:pPr>
    <w:r>
      <w:rPr>
        <w:noProof/>
      </w:rPr>
      <w:pict w14:anchorId="2717B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47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8BB70" w14:textId="4DE2BCA2" w:rsidR="00A867CE" w:rsidRDefault="00F140A3" w:rsidP="00F43AD5">
    <w:pPr>
      <w:pStyle w:val="Header"/>
      <w:jc w:val="right"/>
    </w:pPr>
    <w:r>
      <w:rPr>
        <w:noProof/>
      </w:rPr>
      <w:pict w14:anchorId="01B66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48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A867CE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31EBE" w14:textId="40B4AB51" w:rsidR="00DF6422" w:rsidRDefault="00F140A3">
    <w:pPr>
      <w:pStyle w:val="Header"/>
    </w:pPr>
    <w:r>
      <w:rPr>
        <w:noProof/>
      </w:rPr>
      <w:pict w14:anchorId="4E6CD8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46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91E0" w14:textId="47FF555D" w:rsidR="0043471F" w:rsidRDefault="00F140A3">
    <w:pPr>
      <w:pStyle w:val="Header"/>
    </w:pPr>
    <w:r>
      <w:rPr>
        <w:noProof/>
      </w:rPr>
      <w:pict w14:anchorId="121197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50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0906" w14:textId="50D22C0B" w:rsidR="00A867CE" w:rsidRDefault="00F140A3" w:rsidP="00F43AD5">
    <w:pPr>
      <w:pStyle w:val="Header"/>
      <w:jc w:val="right"/>
    </w:pPr>
    <w:r>
      <w:rPr>
        <w:noProof/>
      </w:rPr>
      <w:pict w14:anchorId="2E356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51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4EDC" w14:textId="5A12838C" w:rsidR="0043471F" w:rsidRDefault="00F140A3">
    <w:pPr>
      <w:pStyle w:val="Header"/>
    </w:pPr>
    <w:r>
      <w:rPr>
        <w:noProof/>
      </w:rPr>
      <w:pict w14:anchorId="3AA4A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97549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FAB3E58"/>
    <w:multiLevelType w:val="hybridMultilevel"/>
    <w:tmpl w:val="5CF21146"/>
    <w:lvl w:ilvl="0" w:tplc="6010B0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4FB3"/>
    <w:multiLevelType w:val="hybridMultilevel"/>
    <w:tmpl w:val="BC189F84"/>
    <w:lvl w:ilvl="0" w:tplc="31D294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10AD"/>
    <w:multiLevelType w:val="hybridMultilevel"/>
    <w:tmpl w:val="F798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52A16"/>
    <w:multiLevelType w:val="hybridMultilevel"/>
    <w:tmpl w:val="B596D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404"/>
    <w:rsid w:val="00007B80"/>
    <w:rsid w:val="00013A22"/>
    <w:rsid w:val="00014C3F"/>
    <w:rsid w:val="00016F51"/>
    <w:rsid w:val="00017C82"/>
    <w:rsid w:val="00032B88"/>
    <w:rsid w:val="000375E8"/>
    <w:rsid w:val="0004392D"/>
    <w:rsid w:val="00046DF5"/>
    <w:rsid w:val="00052060"/>
    <w:rsid w:val="0005574A"/>
    <w:rsid w:val="00055FE1"/>
    <w:rsid w:val="00056EC2"/>
    <w:rsid w:val="00060B48"/>
    <w:rsid w:val="000655C5"/>
    <w:rsid w:val="00067F32"/>
    <w:rsid w:val="00070D97"/>
    <w:rsid w:val="00071807"/>
    <w:rsid w:val="000803E1"/>
    <w:rsid w:val="00084513"/>
    <w:rsid w:val="00084859"/>
    <w:rsid w:val="00092D94"/>
    <w:rsid w:val="000A01A4"/>
    <w:rsid w:val="000A34B4"/>
    <w:rsid w:val="000B0868"/>
    <w:rsid w:val="000B3E12"/>
    <w:rsid w:val="000B3E78"/>
    <w:rsid w:val="000B7B48"/>
    <w:rsid w:val="000C096D"/>
    <w:rsid w:val="000C139A"/>
    <w:rsid w:val="000C2053"/>
    <w:rsid w:val="000C248C"/>
    <w:rsid w:val="000C6E06"/>
    <w:rsid w:val="000D291C"/>
    <w:rsid w:val="000E2583"/>
    <w:rsid w:val="000E5A54"/>
    <w:rsid w:val="000E63D3"/>
    <w:rsid w:val="000E67CF"/>
    <w:rsid w:val="000F05EF"/>
    <w:rsid w:val="0010461E"/>
    <w:rsid w:val="00106768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39EA"/>
    <w:rsid w:val="00160F47"/>
    <w:rsid w:val="00177CA1"/>
    <w:rsid w:val="00183823"/>
    <w:rsid w:val="00183942"/>
    <w:rsid w:val="001968F3"/>
    <w:rsid w:val="001A009E"/>
    <w:rsid w:val="001A10B3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150E"/>
    <w:rsid w:val="00263255"/>
    <w:rsid w:val="00264A1D"/>
    <w:rsid w:val="00270502"/>
    <w:rsid w:val="00276494"/>
    <w:rsid w:val="00276BF2"/>
    <w:rsid w:val="00277B0C"/>
    <w:rsid w:val="00287C1A"/>
    <w:rsid w:val="002A5EEB"/>
    <w:rsid w:val="002B1A2C"/>
    <w:rsid w:val="002C1972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3C13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35D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471F"/>
    <w:rsid w:val="004414B5"/>
    <w:rsid w:val="00444482"/>
    <w:rsid w:val="00444B42"/>
    <w:rsid w:val="00445E44"/>
    <w:rsid w:val="00447832"/>
    <w:rsid w:val="004509E2"/>
    <w:rsid w:val="004515EE"/>
    <w:rsid w:val="004529F0"/>
    <w:rsid w:val="00460A03"/>
    <w:rsid w:val="004663A8"/>
    <w:rsid w:val="00472A11"/>
    <w:rsid w:val="00472AAD"/>
    <w:rsid w:val="00474E33"/>
    <w:rsid w:val="00476803"/>
    <w:rsid w:val="00485BFD"/>
    <w:rsid w:val="004867A2"/>
    <w:rsid w:val="004873F2"/>
    <w:rsid w:val="00490D4C"/>
    <w:rsid w:val="00492FA5"/>
    <w:rsid w:val="00493A35"/>
    <w:rsid w:val="0049527A"/>
    <w:rsid w:val="004966BF"/>
    <w:rsid w:val="00497984"/>
    <w:rsid w:val="004A06C1"/>
    <w:rsid w:val="004A5088"/>
    <w:rsid w:val="004A74FE"/>
    <w:rsid w:val="004C14C2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3632"/>
    <w:rsid w:val="005142C4"/>
    <w:rsid w:val="0051430C"/>
    <w:rsid w:val="0051509C"/>
    <w:rsid w:val="0052524A"/>
    <w:rsid w:val="005272E2"/>
    <w:rsid w:val="0053108F"/>
    <w:rsid w:val="00532B56"/>
    <w:rsid w:val="00534B10"/>
    <w:rsid w:val="005446A2"/>
    <w:rsid w:val="00544D2F"/>
    <w:rsid w:val="00551BD8"/>
    <w:rsid w:val="005726BD"/>
    <w:rsid w:val="00574BD6"/>
    <w:rsid w:val="00581055"/>
    <w:rsid w:val="0058365D"/>
    <w:rsid w:val="00591E38"/>
    <w:rsid w:val="005A19C5"/>
    <w:rsid w:val="005A3034"/>
    <w:rsid w:val="005A462D"/>
    <w:rsid w:val="005B087D"/>
    <w:rsid w:val="005B253B"/>
    <w:rsid w:val="005B771D"/>
    <w:rsid w:val="005C5D16"/>
    <w:rsid w:val="005D3193"/>
    <w:rsid w:val="005D4A6E"/>
    <w:rsid w:val="005E6979"/>
    <w:rsid w:val="005E6C2D"/>
    <w:rsid w:val="005E75CB"/>
    <w:rsid w:val="005F4361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417C"/>
    <w:rsid w:val="006650FE"/>
    <w:rsid w:val="00667FEF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2153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370C8"/>
    <w:rsid w:val="00740E0E"/>
    <w:rsid w:val="00750212"/>
    <w:rsid w:val="00754779"/>
    <w:rsid w:val="0075716D"/>
    <w:rsid w:val="00765F14"/>
    <w:rsid w:val="00770E31"/>
    <w:rsid w:val="00772545"/>
    <w:rsid w:val="007770F1"/>
    <w:rsid w:val="00783FB1"/>
    <w:rsid w:val="00785CDD"/>
    <w:rsid w:val="00791847"/>
    <w:rsid w:val="007925F0"/>
    <w:rsid w:val="007939B3"/>
    <w:rsid w:val="0079509C"/>
    <w:rsid w:val="00796708"/>
    <w:rsid w:val="007A6F90"/>
    <w:rsid w:val="007B1B42"/>
    <w:rsid w:val="007C30EB"/>
    <w:rsid w:val="007E063C"/>
    <w:rsid w:val="007E2A4B"/>
    <w:rsid w:val="007E307D"/>
    <w:rsid w:val="007E4DA3"/>
    <w:rsid w:val="007E6A4E"/>
    <w:rsid w:val="007E6C94"/>
    <w:rsid w:val="007F1005"/>
    <w:rsid w:val="007F177B"/>
    <w:rsid w:val="007F25E0"/>
    <w:rsid w:val="007F5328"/>
    <w:rsid w:val="00804514"/>
    <w:rsid w:val="00804F5A"/>
    <w:rsid w:val="00810C6D"/>
    <w:rsid w:val="00812887"/>
    <w:rsid w:val="00816BCA"/>
    <w:rsid w:val="00826F21"/>
    <w:rsid w:val="00830F35"/>
    <w:rsid w:val="00832B59"/>
    <w:rsid w:val="00834CC8"/>
    <w:rsid w:val="00835E00"/>
    <w:rsid w:val="00837113"/>
    <w:rsid w:val="008414E4"/>
    <w:rsid w:val="00843E21"/>
    <w:rsid w:val="0084508E"/>
    <w:rsid w:val="00847BF0"/>
    <w:rsid w:val="00856B3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36A2"/>
    <w:rsid w:val="008B403C"/>
    <w:rsid w:val="008B7983"/>
    <w:rsid w:val="008C2511"/>
    <w:rsid w:val="008D026D"/>
    <w:rsid w:val="008D23AB"/>
    <w:rsid w:val="008D4B8B"/>
    <w:rsid w:val="008D5A78"/>
    <w:rsid w:val="008D6927"/>
    <w:rsid w:val="008E7B64"/>
    <w:rsid w:val="008F4C2D"/>
    <w:rsid w:val="008F5DCD"/>
    <w:rsid w:val="00900951"/>
    <w:rsid w:val="00903096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35F3"/>
    <w:rsid w:val="00945034"/>
    <w:rsid w:val="00946044"/>
    <w:rsid w:val="0094660B"/>
    <w:rsid w:val="00946A33"/>
    <w:rsid w:val="0095260E"/>
    <w:rsid w:val="009578DD"/>
    <w:rsid w:val="00961124"/>
    <w:rsid w:val="009621B6"/>
    <w:rsid w:val="00963D8E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8DB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6885"/>
    <w:rsid w:val="00A01D0C"/>
    <w:rsid w:val="00A0643F"/>
    <w:rsid w:val="00A067EE"/>
    <w:rsid w:val="00A10FCE"/>
    <w:rsid w:val="00A16D91"/>
    <w:rsid w:val="00A174CC"/>
    <w:rsid w:val="00A2073D"/>
    <w:rsid w:val="00A20751"/>
    <w:rsid w:val="00A25878"/>
    <w:rsid w:val="00A27E2D"/>
    <w:rsid w:val="00A31D99"/>
    <w:rsid w:val="00A357BA"/>
    <w:rsid w:val="00A35ADC"/>
    <w:rsid w:val="00A402A3"/>
    <w:rsid w:val="00A50F6C"/>
    <w:rsid w:val="00A53681"/>
    <w:rsid w:val="00A633D4"/>
    <w:rsid w:val="00A6461A"/>
    <w:rsid w:val="00A754C6"/>
    <w:rsid w:val="00A84504"/>
    <w:rsid w:val="00A8672F"/>
    <w:rsid w:val="00A867CE"/>
    <w:rsid w:val="00A93057"/>
    <w:rsid w:val="00A93F89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4B4B"/>
    <w:rsid w:val="00B1765C"/>
    <w:rsid w:val="00B213C4"/>
    <w:rsid w:val="00B24354"/>
    <w:rsid w:val="00B268C4"/>
    <w:rsid w:val="00B355FC"/>
    <w:rsid w:val="00B40C60"/>
    <w:rsid w:val="00B479A9"/>
    <w:rsid w:val="00B52EDF"/>
    <w:rsid w:val="00B71188"/>
    <w:rsid w:val="00B76A41"/>
    <w:rsid w:val="00B845E0"/>
    <w:rsid w:val="00B87D4C"/>
    <w:rsid w:val="00B93646"/>
    <w:rsid w:val="00BA0B38"/>
    <w:rsid w:val="00BA1DBB"/>
    <w:rsid w:val="00BA4510"/>
    <w:rsid w:val="00BA529A"/>
    <w:rsid w:val="00BA667A"/>
    <w:rsid w:val="00BB612A"/>
    <w:rsid w:val="00BD499F"/>
    <w:rsid w:val="00BD56DE"/>
    <w:rsid w:val="00BF2406"/>
    <w:rsid w:val="00C06E43"/>
    <w:rsid w:val="00C118C8"/>
    <w:rsid w:val="00C16315"/>
    <w:rsid w:val="00C2032F"/>
    <w:rsid w:val="00C3091E"/>
    <w:rsid w:val="00C3101C"/>
    <w:rsid w:val="00C40FF1"/>
    <w:rsid w:val="00C419E2"/>
    <w:rsid w:val="00C5020E"/>
    <w:rsid w:val="00C57452"/>
    <w:rsid w:val="00C61EDF"/>
    <w:rsid w:val="00C6239D"/>
    <w:rsid w:val="00C6594B"/>
    <w:rsid w:val="00C67254"/>
    <w:rsid w:val="00C67FFB"/>
    <w:rsid w:val="00C7155E"/>
    <w:rsid w:val="00C71D1E"/>
    <w:rsid w:val="00C71D7D"/>
    <w:rsid w:val="00C74833"/>
    <w:rsid w:val="00C77616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08C3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74BF"/>
    <w:rsid w:val="00D44C89"/>
    <w:rsid w:val="00D516CD"/>
    <w:rsid w:val="00D668E6"/>
    <w:rsid w:val="00D70670"/>
    <w:rsid w:val="00D74D80"/>
    <w:rsid w:val="00D76624"/>
    <w:rsid w:val="00D87570"/>
    <w:rsid w:val="00D91CB9"/>
    <w:rsid w:val="00D95BB0"/>
    <w:rsid w:val="00D97989"/>
    <w:rsid w:val="00D97D8D"/>
    <w:rsid w:val="00DA352E"/>
    <w:rsid w:val="00DC7694"/>
    <w:rsid w:val="00DD1BF6"/>
    <w:rsid w:val="00DD2F9B"/>
    <w:rsid w:val="00DE2513"/>
    <w:rsid w:val="00DE26E8"/>
    <w:rsid w:val="00DF6422"/>
    <w:rsid w:val="00DF6F36"/>
    <w:rsid w:val="00E0084C"/>
    <w:rsid w:val="00E01507"/>
    <w:rsid w:val="00E025AB"/>
    <w:rsid w:val="00E02B23"/>
    <w:rsid w:val="00E06F40"/>
    <w:rsid w:val="00E07CE8"/>
    <w:rsid w:val="00E26A07"/>
    <w:rsid w:val="00E32595"/>
    <w:rsid w:val="00E35D40"/>
    <w:rsid w:val="00E37CFD"/>
    <w:rsid w:val="00E41A26"/>
    <w:rsid w:val="00E46BCB"/>
    <w:rsid w:val="00E51CAF"/>
    <w:rsid w:val="00E60F04"/>
    <w:rsid w:val="00E61617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2A01"/>
    <w:rsid w:val="00ED66BC"/>
    <w:rsid w:val="00EF233A"/>
    <w:rsid w:val="00EF303E"/>
    <w:rsid w:val="00EF3A40"/>
    <w:rsid w:val="00EF7F78"/>
    <w:rsid w:val="00F01853"/>
    <w:rsid w:val="00F01B08"/>
    <w:rsid w:val="00F01C4D"/>
    <w:rsid w:val="00F053FA"/>
    <w:rsid w:val="00F10C97"/>
    <w:rsid w:val="00F11C71"/>
    <w:rsid w:val="00F140A3"/>
    <w:rsid w:val="00F16019"/>
    <w:rsid w:val="00F20E68"/>
    <w:rsid w:val="00F22093"/>
    <w:rsid w:val="00F236DF"/>
    <w:rsid w:val="00F43AD5"/>
    <w:rsid w:val="00F4402E"/>
    <w:rsid w:val="00F568ED"/>
    <w:rsid w:val="00F56DD0"/>
    <w:rsid w:val="00F6491C"/>
    <w:rsid w:val="00F67BBB"/>
    <w:rsid w:val="00F67D56"/>
    <w:rsid w:val="00F87D92"/>
    <w:rsid w:val="00F90AA7"/>
    <w:rsid w:val="00F92498"/>
    <w:rsid w:val="00F9496B"/>
    <w:rsid w:val="00F970C9"/>
    <w:rsid w:val="00FA06A8"/>
    <w:rsid w:val="00FA3DF5"/>
    <w:rsid w:val="00FA741F"/>
    <w:rsid w:val="00FB4894"/>
    <w:rsid w:val="00FB4E07"/>
    <w:rsid w:val="00FB755A"/>
    <w:rsid w:val="00FC60A2"/>
    <w:rsid w:val="00FD1871"/>
    <w:rsid w:val="00FD3110"/>
    <w:rsid w:val="00FF063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0E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58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58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583"/>
    <w:rPr>
      <w:b/>
      <w:bCs/>
      <w:szCs w:val="20"/>
    </w:rPr>
  </w:style>
  <w:style w:type="paragraph" w:styleId="NormalWeb">
    <w:name w:val="Normal (Web)"/>
    <w:basedOn w:val="Normal"/>
    <w:uiPriority w:val="99"/>
    <w:unhideWhenUsed/>
    <w:rsid w:val="008D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287C1A"/>
    <w:p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4C14C2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Revision">
    <w:name w:val="Revision"/>
    <w:hidden/>
    <w:uiPriority w:val="99"/>
    <w:semiHidden/>
    <w:rsid w:val="00276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3208F7D9C464FE595D138FED379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5436-B531-47AE-BA0D-E866AEBD04C0}"/>
      </w:docPartPr>
      <w:docPartBody>
        <w:p w:rsidR="00A37230" w:rsidRDefault="00016878" w:rsidP="00016878">
          <w:pPr>
            <w:pStyle w:val="53208F7D9C464FE595D138FED379F04A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FC55E67807D43A9946FDE91E4B3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7BDA-ED3D-4F92-8918-2169B4F7EBDC}"/>
      </w:docPartPr>
      <w:docPartBody>
        <w:p w:rsidR="00BB0585" w:rsidRDefault="00FD1B92" w:rsidP="00FD1B92">
          <w:pPr>
            <w:pStyle w:val="8FC55E67807D43A9946FDE91E4B3B30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16878"/>
    <w:rsid w:val="0010074C"/>
    <w:rsid w:val="0044679E"/>
    <w:rsid w:val="008709BA"/>
    <w:rsid w:val="00A37230"/>
    <w:rsid w:val="00BB0585"/>
    <w:rsid w:val="00BD543A"/>
    <w:rsid w:val="00C24C20"/>
    <w:rsid w:val="00D21A9F"/>
    <w:rsid w:val="00DC3507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B9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5F95FF8107D4F93A2D929348A8B25A4">
    <w:name w:val="F5F95FF8107D4F93A2D929348A8B25A4"/>
    <w:rsid w:val="008709BA"/>
  </w:style>
  <w:style w:type="paragraph" w:customStyle="1" w:styleId="2DCB8AF4063248EE92C6478D80FC2D79">
    <w:name w:val="2DCB8AF4063248EE92C6478D80FC2D79"/>
    <w:rsid w:val="008709BA"/>
  </w:style>
  <w:style w:type="paragraph" w:customStyle="1" w:styleId="4EC213F8BADD4020BD28289648811A78">
    <w:name w:val="4EC213F8BADD4020BD28289648811A78"/>
    <w:rsid w:val="008709BA"/>
  </w:style>
  <w:style w:type="paragraph" w:customStyle="1" w:styleId="ACBDFE04451040299F7A35A499281F82">
    <w:name w:val="ACBDFE04451040299F7A35A499281F82"/>
    <w:rsid w:val="008709BA"/>
  </w:style>
  <w:style w:type="paragraph" w:customStyle="1" w:styleId="3FE553172D9B4FC2B1E82960BB7A887D">
    <w:name w:val="3FE553172D9B4FC2B1E82960BB7A887D"/>
    <w:rsid w:val="008709BA"/>
  </w:style>
  <w:style w:type="paragraph" w:customStyle="1" w:styleId="D9C4F45F9CE04A9298E32B0A46375597">
    <w:name w:val="D9C4F45F9CE04A9298E32B0A46375597"/>
    <w:rsid w:val="008709BA"/>
  </w:style>
  <w:style w:type="paragraph" w:customStyle="1" w:styleId="F994DAE38E67450F846FE6DD82B77677">
    <w:name w:val="F994DAE38E67450F846FE6DD82B77677"/>
    <w:rsid w:val="008709BA"/>
  </w:style>
  <w:style w:type="paragraph" w:customStyle="1" w:styleId="2801B687531F44FA97D8F7EB5BEA19E6">
    <w:name w:val="2801B687531F44FA97D8F7EB5BEA19E6"/>
    <w:rsid w:val="008709BA"/>
  </w:style>
  <w:style w:type="paragraph" w:customStyle="1" w:styleId="DCEEE0D38CD744C78FCFCCDEC8FC428C">
    <w:name w:val="DCEEE0D38CD744C78FCFCCDEC8FC428C"/>
    <w:rsid w:val="00016878"/>
  </w:style>
  <w:style w:type="paragraph" w:customStyle="1" w:styleId="68218CF0543C4581B6B75EE83A6ACC89">
    <w:name w:val="68218CF0543C4581B6B75EE83A6ACC89"/>
    <w:rsid w:val="00016878"/>
  </w:style>
  <w:style w:type="paragraph" w:customStyle="1" w:styleId="53208F7D9C464FE595D138FED379F04A">
    <w:name w:val="53208F7D9C464FE595D138FED379F04A"/>
    <w:rsid w:val="00016878"/>
  </w:style>
  <w:style w:type="paragraph" w:customStyle="1" w:styleId="4D8CF0C7AAD44148B31606A05D6CFCF5">
    <w:name w:val="4D8CF0C7AAD44148B31606A05D6CFCF5"/>
    <w:rsid w:val="00A37230"/>
  </w:style>
  <w:style w:type="paragraph" w:customStyle="1" w:styleId="A4FF7751A2234079BC61E72E3DF75E1E">
    <w:name w:val="A4FF7751A2234079BC61E72E3DF75E1E"/>
    <w:rsid w:val="00A37230"/>
  </w:style>
  <w:style w:type="paragraph" w:customStyle="1" w:styleId="EEFC227B55E5466682F1C5805E67F3C6">
    <w:name w:val="EEFC227B55E5466682F1C5805E67F3C6"/>
    <w:rsid w:val="00A37230"/>
  </w:style>
  <w:style w:type="paragraph" w:customStyle="1" w:styleId="E4623C0CD4D8435C9141B6653EF69D3A">
    <w:name w:val="E4623C0CD4D8435C9141B6653EF69D3A"/>
    <w:rsid w:val="00A37230"/>
  </w:style>
  <w:style w:type="paragraph" w:customStyle="1" w:styleId="8FC55E67807D43A9946FDE91E4B3B302">
    <w:name w:val="8FC55E67807D43A9946FDE91E4B3B302"/>
    <w:rsid w:val="00FD1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831D-0A6A-4583-BD2D-B97E15B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74228-FA09-4C45-ABA9-2F52B9D89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DF117-D738-476C-BD1D-B31DCEDAC572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ADF9EA-6A7E-4275-8C35-E014141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6FF940DA.dotm</Template>
  <TotalTime>0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2019-11-06T05:59:00Z</dcterms:created>
  <dcterms:modified xsi:type="dcterms:W3CDTF">2019-11-22T01:29:00Z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