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4343E01" w14:textId="64FDFDCA" w:rsidR="00BD499F" w:rsidRPr="004C23F4" w:rsidRDefault="006D0991" w:rsidP="00B40C60">
          <w:pPr>
            <w:pStyle w:val="Heading1"/>
            <w:jc w:val="center"/>
            <w:rPr>
              <w:rFonts w:ascii="Arial" w:hAnsi="Arial" w:cs="Arial"/>
            </w:rPr>
          </w:pPr>
          <w:r w:rsidRPr="006D0991">
            <w:rPr>
              <w:rFonts w:cs="Arial"/>
            </w:rPr>
            <w:t>Cyanoacrylate</w:t>
          </w:r>
          <w:r w:rsidR="00CB2048">
            <w:rPr>
              <w:rFonts w:cs="Arial"/>
            </w:rPr>
            <w:t xml:space="preserve">S (ethyl &amp; METHYL) 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14:paraId="7237FF7A" w14:textId="77777777" w:rsidTr="00B76A41">
        <w:trPr>
          <w:cantSplit/>
          <w:tblHeader/>
        </w:trPr>
        <w:tc>
          <w:tcPr>
            <w:tcW w:w="4077" w:type="dxa"/>
          </w:tcPr>
          <w:p w14:paraId="733B87C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2093F16" w14:textId="01011278" w:rsidR="004E2059" w:rsidRDefault="00351D3D" w:rsidP="00B76A41">
            <w:pPr>
              <w:pStyle w:val="Tablefont"/>
            </w:pPr>
            <w:r w:rsidRPr="00351D3D">
              <w:t>7085-85-0</w:t>
            </w:r>
            <w:r w:rsidR="004E2059">
              <w:t xml:space="preserve"> </w:t>
            </w:r>
            <w:r w:rsidR="006D0991">
              <w:t xml:space="preserve"> </w:t>
            </w:r>
            <w:r w:rsidR="004E2059">
              <w:t xml:space="preserve"> </w:t>
            </w:r>
            <w:r w:rsidR="003556BC">
              <w:t>(</w:t>
            </w:r>
            <w:r w:rsidR="00980086">
              <w:t>e</w:t>
            </w:r>
            <w:r w:rsidR="004E2059">
              <w:t>thyl 2-cyanoacrylate</w:t>
            </w:r>
            <w:r w:rsidR="003556BC">
              <w:t>)</w:t>
            </w:r>
          </w:p>
          <w:p w14:paraId="4DD4A7D9" w14:textId="4D7F05B6" w:rsidR="00F43AD5" w:rsidRPr="00717D45" w:rsidRDefault="006D0991" w:rsidP="00B76A41">
            <w:pPr>
              <w:pStyle w:val="Tablefont"/>
            </w:pPr>
            <w:r>
              <w:t>137-05-3</w:t>
            </w:r>
            <w:r w:rsidR="004E2059">
              <w:t xml:space="preserve">     </w:t>
            </w:r>
            <w:r w:rsidR="003556BC">
              <w:t>(</w:t>
            </w:r>
            <w:r w:rsidR="00980086">
              <w:t>m</w:t>
            </w:r>
            <w:r w:rsidR="004E2059">
              <w:t>ethyl 2-cyanoacrylate</w:t>
            </w:r>
            <w:r w:rsidR="003556BC">
              <w:t>)</w:t>
            </w:r>
          </w:p>
        </w:tc>
      </w:tr>
      <w:tr w:rsidR="00F43AD5" w:rsidRPr="004C23F4" w14:paraId="2112F020" w14:textId="77777777" w:rsidTr="00B76A41">
        <w:trPr>
          <w:cantSplit/>
        </w:trPr>
        <w:tc>
          <w:tcPr>
            <w:tcW w:w="4077" w:type="dxa"/>
          </w:tcPr>
          <w:p w14:paraId="6950EEB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527D70C" w14:textId="47A38BE3" w:rsidR="004E2059" w:rsidRDefault="004E2059" w:rsidP="00B76A41">
            <w:pPr>
              <w:pStyle w:val="Tablefont"/>
            </w:pPr>
            <w:r w:rsidRPr="002D043A">
              <w:t>Ethyl 2-cyanoacrylate:</w:t>
            </w:r>
            <w:r>
              <w:t xml:space="preserve"> </w:t>
            </w:r>
            <w:r w:rsidR="00CB2048">
              <w:t>2-c</w:t>
            </w:r>
            <w:r w:rsidR="00351D3D">
              <w:t>ya</w:t>
            </w:r>
            <w:r w:rsidR="00CB2048">
              <w:t xml:space="preserve">noacrylic acid, </w:t>
            </w:r>
            <w:r w:rsidR="007A3FCD">
              <w:br/>
            </w:r>
            <w:r w:rsidR="00CB2048">
              <w:t>ethyl ester, 2-c</w:t>
            </w:r>
            <w:r w:rsidR="00351D3D">
              <w:t>yano-2-propenoic acid, ethyl ester, ECA</w:t>
            </w:r>
          </w:p>
          <w:p w14:paraId="60E3DFF0" w14:textId="40388C35" w:rsidR="00351D3D" w:rsidRPr="00717D45" w:rsidRDefault="004E2059" w:rsidP="00B76A41">
            <w:pPr>
              <w:pStyle w:val="Tablefont"/>
            </w:pPr>
            <w:r w:rsidRPr="002D043A">
              <w:t>Methyl 2-cyanoacrylate:</w:t>
            </w:r>
            <w:r>
              <w:t xml:space="preserve"> </w:t>
            </w:r>
            <w:r w:rsidR="00CB2048">
              <w:t>2-c</w:t>
            </w:r>
            <w:r>
              <w:t xml:space="preserve">yanoacrylic acid, </w:t>
            </w:r>
            <w:r w:rsidR="007A3FCD">
              <w:br/>
            </w:r>
            <w:r>
              <w:t>methyl es</w:t>
            </w:r>
            <w:r w:rsidR="00CB2048">
              <w:t>ter, 2-c</w:t>
            </w:r>
            <w:r>
              <w:t>yano-2-pr</w:t>
            </w:r>
            <w:r w:rsidR="003556BC">
              <w:t>openoic acid, methyl ester, MCA</w:t>
            </w:r>
          </w:p>
        </w:tc>
        <w:bookmarkStart w:id="0" w:name="_GoBack"/>
        <w:bookmarkEnd w:id="0"/>
      </w:tr>
      <w:tr w:rsidR="00F43AD5" w:rsidRPr="004C23F4" w14:paraId="1BBF53C7" w14:textId="77777777" w:rsidTr="00B76A41">
        <w:trPr>
          <w:cantSplit/>
        </w:trPr>
        <w:tc>
          <w:tcPr>
            <w:tcW w:w="4077" w:type="dxa"/>
          </w:tcPr>
          <w:p w14:paraId="6E92D1B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C2F607D" w14:textId="102E5564" w:rsidR="00F43AD5" w:rsidRDefault="00A70E26" w:rsidP="00B76A41">
            <w:pPr>
              <w:pStyle w:val="Tablefont"/>
              <w:rPr>
                <w:vertAlign w:val="subscript"/>
              </w:rPr>
            </w:pPr>
            <w:r>
              <w:t>C</w:t>
            </w:r>
            <w:r w:rsidRPr="00A70E26">
              <w:rPr>
                <w:vertAlign w:val="subscript"/>
              </w:rPr>
              <w:t>6</w:t>
            </w:r>
            <w:r>
              <w:t>H</w:t>
            </w:r>
            <w:r w:rsidRPr="00A70E26">
              <w:rPr>
                <w:vertAlign w:val="subscript"/>
              </w:rPr>
              <w:t>7</w:t>
            </w:r>
            <w:r>
              <w:t>NO</w:t>
            </w:r>
            <w:r w:rsidRPr="00A70E26">
              <w:rPr>
                <w:vertAlign w:val="subscript"/>
              </w:rPr>
              <w:t>2</w:t>
            </w:r>
            <w:r w:rsidR="004E2059">
              <w:rPr>
                <w:vertAlign w:val="subscript"/>
              </w:rPr>
              <w:t xml:space="preserve">    (</w:t>
            </w:r>
            <w:r w:rsidR="00980086">
              <w:t>e</w:t>
            </w:r>
            <w:r w:rsidR="004E2059">
              <w:t>thyl 2-cyanoacrylate)</w:t>
            </w:r>
          </w:p>
          <w:p w14:paraId="11844E5F" w14:textId="1C92CFA3" w:rsidR="004E2059" w:rsidRPr="00717D45" w:rsidRDefault="004E2059" w:rsidP="00B76A41">
            <w:pPr>
              <w:pStyle w:val="Tablefont"/>
            </w:pP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C</w:t>
            </w:r>
            <w:r>
              <w:rPr>
                <w:rFonts w:cs="Arial"/>
                <w:color w:val="222222"/>
                <w:shd w:val="clear" w:color="auto" w:fill="FFFFFF"/>
                <w:vertAlign w:val="subscript"/>
              </w:rPr>
              <w:t>5</w:t>
            </w: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</w:t>
            </w:r>
            <w:r>
              <w:rPr>
                <w:rFonts w:cs="Arial"/>
                <w:color w:val="222222"/>
                <w:shd w:val="clear" w:color="auto" w:fill="FFFFFF"/>
                <w:vertAlign w:val="subscript"/>
              </w:rPr>
              <w:t>5</w:t>
            </w: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NO</w:t>
            </w:r>
            <w:r>
              <w:rPr>
                <w:rFonts w:cs="Arial"/>
                <w:color w:val="222222"/>
                <w:shd w:val="clear" w:color="auto" w:fill="FFFFFF"/>
                <w:vertAlign w:val="subscript"/>
              </w:rPr>
              <w:t>2   (</w:t>
            </w:r>
            <w:r w:rsidR="00980086">
              <w:t>m</w:t>
            </w:r>
            <w:r>
              <w:t>ethyl 2-cyanoacrylate)</w:t>
            </w:r>
          </w:p>
        </w:tc>
      </w:tr>
      <w:tr w:rsidR="00F43AD5" w:rsidRPr="004C23F4" w14:paraId="39F7E6DA" w14:textId="77777777" w:rsidTr="00B76A41">
        <w:trPr>
          <w:cantSplit/>
        </w:trPr>
        <w:tc>
          <w:tcPr>
            <w:tcW w:w="4077" w:type="dxa"/>
          </w:tcPr>
          <w:p w14:paraId="15FDB4C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10D6567" w14:textId="6BAD0D14" w:rsidR="00F43AD5" w:rsidRPr="005E5505" w:rsidRDefault="00A70E26" w:rsidP="00B76A41">
            <w:pPr>
              <w:pStyle w:val="Tablerowheading"/>
              <w:rPr>
                <w:b w:val="0"/>
              </w:rPr>
            </w:pPr>
            <w:r w:rsidRPr="004E2059">
              <w:rPr>
                <w:b w:val="0"/>
              </w:rPr>
              <w:t>—</w:t>
            </w:r>
          </w:p>
        </w:tc>
      </w:tr>
    </w:tbl>
    <w:p w14:paraId="76600924" w14:textId="30EF266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7558F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6"/>
        <w:gridCol w:w="5030"/>
      </w:tblGrid>
      <w:tr w:rsidR="002C7AFE" w:rsidRPr="004C23F4" w14:paraId="1E0407C1" w14:textId="77777777" w:rsidTr="00D76FB4">
        <w:trPr>
          <w:cantSplit/>
          <w:tblHeader/>
        </w:trPr>
        <w:tc>
          <w:tcPr>
            <w:tcW w:w="3996" w:type="dxa"/>
            <w:vAlign w:val="center"/>
          </w:tcPr>
          <w:p w14:paraId="5D4BA30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30" w:type="dxa"/>
          </w:tcPr>
          <w:p w14:paraId="39B98A86" w14:textId="44998816" w:rsidR="002C7AFE" w:rsidRPr="006D0991" w:rsidRDefault="006D099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0.2 ppm (1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0E7CE79" w14:textId="77777777" w:rsidTr="00D76FB4">
        <w:trPr>
          <w:cantSplit/>
        </w:trPr>
        <w:tc>
          <w:tcPr>
            <w:tcW w:w="3996" w:type="dxa"/>
            <w:vAlign w:val="center"/>
          </w:tcPr>
          <w:p w14:paraId="1BAA3F1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30" w:type="dxa"/>
          </w:tcPr>
          <w:p w14:paraId="6D445117" w14:textId="6D55BED0" w:rsidR="002C7AFE" w:rsidRPr="006D0991" w:rsidRDefault="006D099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(5.1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68B2CED" w14:textId="77777777" w:rsidTr="00D76FB4">
        <w:trPr>
          <w:cantSplit/>
        </w:trPr>
        <w:tc>
          <w:tcPr>
            <w:tcW w:w="3996" w:type="dxa"/>
            <w:vAlign w:val="center"/>
          </w:tcPr>
          <w:p w14:paraId="07E8E03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30" w:type="dxa"/>
          </w:tcPr>
          <w:p w14:paraId="0BED3807" w14:textId="6FDD42F0" w:rsidR="002C7AFE" w:rsidRPr="00EB3D1B" w:rsidRDefault="005E5505" w:rsidP="00017C82">
            <w:pPr>
              <w:pStyle w:val="Tablefont"/>
              <w:rPr>
                <w:b/>
              </w:rPr>
            </w:pPr>
            <w:r w:rsidRPr="00E0360B">
              <w:rPr>
                <w:b/>
              </w:rPr>
              <w:t>—</w:t>
            </w:r>
          </w:p>
        </w:tc>
      </w:tr>
      <w:tr w:rsidR="002C7AFE" w:rsidRPr="004C23F4" w14:paraId="61F30445" w14:textId="77777777" w:rsidTr="00D76FB4">
        <w:trPr>
          <w:cantSplit/>
        </w:trPr>
        <w:tc>
          <w:tcPr>
            <w:tcW w:w="3996" w:type="dxa"/>
          </w:tcPr>
          <w:p w14:paraId="4447456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30" w:type="dxa"/>
          </w:tcPr>
          <w:p w14:paraId="7D3E814B" w14:textId="2DF47CC6" w:rsidR="002C7AFE" w:rsidRPr="00CB2048" w:rsidRDefault="00D7295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 </w:t>
            </w:r>
          </w:p>
        </w:tc>
      </w:tr>
      <w:tr w:rsidR="002C7AFE" w:rsidRPr="004C23F4" w14:paraId="7B6945B7" w14:textId="77777777" w:rsidTr="00D76FB4">
        <w:trPr>
          <w:cantSplit/>
        </w:trPr>
        <w:tc>
          <w:tcPr>
            <w:tcW w:w="3996" w:type="dxa"/>
            <w:vAlign w:val="center"/>
          </w:tcPr>
          <w:p w14:paraId="42F7A5C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30" w:type="dxa"/>
          </w:tcPr>
          <w:p w14:paraId="31A0A867" w14:textId="3EB094EA" w:rsidR="002C7AFE" w:rsidRPr="005E5505" w:rsidRDefault="00A70E26" w:rsidP="00017C82">
            <w:pPr>
              <w:pStyle w:val="Tablefont"/>
              <w:rPr>
                <w:b/>
              </w:rPr>
            </w:pPr>
            <w:r w:rsidRPr="004E2059">
              <w:rPr>
                <w:b/>
              </w:rPr>
              <w:t>—</w:t>
            </w:r>
          </w:p>
        </w:tc>
      </w:tr>
      <w:tr w:rsidR="00D76FB4" w:rsidRPr="004C23F4" w14:paraId="1C3522AA" w14:textId="77777777" w:rsidTr="0084151B">
        <w:trPr>
          <w:cantSplit/>
        </w:trPr>
        <w:tc>
          <w:tcPr>
            <w:tcW w:w="9026" w:type="dxa"/>
            <w:gridSpan w:val="2"/>
            <w:vAlign w:val="center"/>
          </w:tcPr>
          <w:p w14:paraId="10656089" w14:textId="595D799B" w:rsidR="00D76FB4" w:rsidRPr="00EB3D1B" w:rsidRDefault="00D76FB4" w:rsidP="00017C82">
            <w:pPr>
              <w:pStyle w:val="Tablefont"/>
              <w:rPr>
                <w:b/>
              </w:rPr>
            </w:pPr>
            <w:r w:rsidRPr="003556BC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253A8F838C84173A432FE930C3D2AB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3556B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D7FA4C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7EFC497" w14:textId="372E0410" w:rsidR="006D0991" w:rsidRDefault="002D043A" w:rsidP="006D0991">
      <w:r>
        <w:rPr>
          <w:rFonts w:cs="Arial"/>
        </w:rPr>
        <w:t xml:space="preserve">A </w:t>
      </w:r>
      <w:r w:rsidR="006D0991">
        <w:rPr>
          <w:rFonts w:cs="Arial"/>
        </w:rPr>
        <w:t>TWA of 0.2 ppm (1 mg/m</w:t>
      </w:r>
      <w:r w:rsidR="006D0991">
        <w:rPr>
          <w:rFonts w:cs="Arial"/>
          <w:vertAlign w:val="superscript"/>
        </w:rPr>
        <w:t>3</w:t>
      </w:r>
      <w:r w:rsidR="003556BC">
        <w:rPr>
          <w:rFonts w:cs="Arial"/>
        </w:rPr>
        <w:t xml:space="preserve">) </w:t>
      </w:r>
      <w:proofErr w:type="gramStart"/>
      <w:r>
        <w:rPr>
          <w:rFonts w:cs="Arial"/>
        </w:rPr>
        <w:t>is</w:t>
      </w:r>
      <w:r w:rsidR="003556BC">
        <w:rPr>
          <w:rFonts w:cs="Arial"/>
        </w:rPr>
        <w:t xml:space="preserve"> recommended</w:t>
      </w:r>
      <w:proofErr w:type="gramEnd"/>
      <w:r w:rsidR="003556BC">
        <w:rPr>
          <w:rFonts w:cs="Arial"/>
        </w:rPr>
        <w:t xml:space="preserve"> </w:t>
      </w:r>
      <w:r w:rsidR="006D0991">
        <w:t>to protect for irritation of the eyes, nose and upper airways in exposed workers</w:t>
      </w:r>
      <w:r w:rsidR="005E5505">
        <w:t>.</w:t>
      </w:r>
    </w:p>
    <w:p w14:paraId="6716165F" w14:textId="4D06949C" w:rsidR="002D043A" w:rsidRDefault="002D043A" w:rsidP="002D043A">
      <w:pPr>
        <w:rPr>
          <w:rFonts w:cs="Arial"/>
        </w:rPr>
      </w:pPr>
      <w:r>
        <w:rPr>
          <w:rFonts w:cs="Arial"/>
        </w:rPr>
        <w:t>A STEL of 1 ppm (5.1 mg/</w:t>
      </w:r>
      <w:r w:rsidRPr="00F0094B">
        <w:rPr>
          <w:rFonts w:cs="Arial"/>
        </w:rPr>
        <w:t>m</w:t>
      </w:r>
      <w:r w:rsidRPr="00CE429B"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proofErr w:type="gramStart"/>
      <w:r>
        <w:rPr>
          <w:rFonts w:cs="Arial"/>
        </w:rPr>
        <w:t>is recommended</w:t>
      </w:r>
      <w:proofErr w:type="gramEnd"/>
      <w:r>
        <w:rPr>
          <w:rFonts w:cs="Arial"/>
        </w:rPr>
        <w:t xml:space="preserve"> </w:t>
      </w:r>
      <w:r>
        <w:t>to protect for irritation of the eyes, nose and upper airways in acute exposures.</w:t>
      </w:r>
    </w:p>
    <w:p w14:paraId="05392FAA" w14:textId="622DAB63" w:rsidR="006639B4" w:rsidRDefault="00F10C97" w:rsidP="006D0991">
      <w:pPr>
        <w:pStyle w:val="Heading2"/>
      </w:pPr>
      <w:r>
        <w:t>Discussion and conclusions</w:t>
      </w:r>
    </w:p>
    <w:p w14:paraId="74D25715" w14:textId="499D7F1B" w:rsidR="007A3FCD" w:rsidRDefault="006D0991" w:rsidP="0096060A">
      <w:r>
        <w:t xml:space="preserve">Ethyl 2-cyanoacrylate (ECA) and methyl 2-cyanoacrylate (MCA) are used as adhesives in the high-bond-strength, fast-acting household superglues. Approximately 90% of the commercial volume is ECA, with continuing decrease in MCA volume. </w:t>
      </w:r>
      <w:r w:rsidR="002D043A">
        <w:t>Critical effects include irritation of the eyes and upper respiratory system.</w:t>
      </w:r>
    </w:p>
    <w:p w14:paraId="0D14D9E6" w14:textId="0BF6231C" w:rsidR="006D0991" w:rsidRDefault="007A3FCD" w:rsidP="0096060A">
      <w:pPr>
        <w:rPr>
          <w:shd w:val="clear" w:color="auto" w:fill="FFFFFF"/>
        </w:rPr>
      </w:pPr>
      <w:r>
        <w:t xml:space="preserve">A </w:t>
      </w:r>
      <w:r w:rsidR="00F15338">
        <w:t xml:space="preserve">NOAEC </w:t>
      </w:r>
      <w:r w:rsidR="006D0991">
        <w:t xml:space="preserve">of 1 ppm </w:t>
      </w:r>
      <w:r>
        <w:t>(</w:t>
      </w:r>
      <w:r w:rsidR="006D0991">
        <w:t>MCA</w:t>
      </w:r>
      <w:r>
        <w:t>)</w:t>
      </w:r>
      <w:r w:rsidR="006D0991">
        <w:t xml:space="preserve"> for </w:t>
      </w:r>
      <w:proofErr w:type="gramStart"/>
      <w:r w:rsidR="006D0991">
        <w:t>short term</w:t>
      </w:r>
      <w:proofErr w:type="gramEnd"/>
      <w:r w:rsidR="006D0991">
        <w:t xml:space="preserve"> exposure was reported with</w:t>
      </w:r>
      <w:r w:rsidR="00394296">
        <w:t xml:space="preserve"> exposure at </w:t>
      </w:r>
      <w:r w:rsidR="006D0991">
        <w:t xml:space="preserve">2 to 3 ppm for </w:t>
      </w:r>
      <w:r w:rsidR="005E5505">
        <w:t>two</w:t>
      </w:r>
      <w:r w:rsidR="006D0991">
        <w:t xml:space="preserve"> hours producing nasal irritation in human subjects</w:t>
      </w:r>
      <w:r w:rsidR="0096060A">
        <w:t xml:space="preserve">. Workers exposed to </w:t>
      </w:r>
      <w:r>
        <w:t xml:space="preserve">ECA at </w:t>
      </w:r>
      <w:r w:rsidR="0096060A">
        <w:t>0.31 ppm (1.6</w:t>
      </w:r>
      <w:r w:rsidR="00394296">
        <w:t> </w:t>
      </w:r>
      <w:proofErr w:type="gramStart"/>
      <w:r w:rsidR="0096060A">
        <w:t>mg/m</w:t>
      </w:r>
      <w:r w:rsidR="0096060A">
        <w:rPr>
          <w:vertAlign w:val="superscript"/>
        </w:rPr>
        <w:t>3</w:t>
      </w:r>
      <w:r w:rsidR="0096060A">
        <w:t>) reported wheezing and whistling breath, shortness of breath, chest tightness</w:t>
      </w:r>
      <w:r>
        <w:t xml:space="preserve"> and</w:t>
      </w:r>
      <w:r w:rsidR="0096060A">
        <w:t xml:space="preserve"> irritation of the eyes, nose</w:t>
      </w:r>
      <w:proofErr w:type="gramEnd"/>
      <w:r w:rsidR="0096060A">
        <w:t xml:space="preserve"> and throat. </w:t>
      </w:r>
      <w:r w:rsidR="00F15338">
        <w:t xml:space="preserve">There was no evidence of pulmonary obstruction in workers exposed to mean exposures of 0.2 ppm and peaks of 1.5 ppm over 17 years reported in an </w:t>
      </w:r>
      <w:r w:rsidR="0096060A">
        <w:t xml:space="preserve">epidemiological study (ACGIH, 2018). </w:t>
      </w:r>
      <w:r w:rsidR="0096060A" w:rsidDel="00CA6FA8">
        <w:rPr>
          <w:shd w:val="clear" w:color="auto" w:fill="FFFFFF"/>
        </w:rPr>
        <w:t xml:space="preserve">Evidence </w:t>
      </w:r>
      <w:r w:rsidR="00C14C00">
        <w:rPr>
          <w:shd w:val="clear" w:color="auto" w:fill="FFFFFF"/>
        </w:rPr>
        <w:t xml:space="preserve">also </w:t>
      </w:r>
      <w:r w:rsidR="0096060A" w:rsidDel="00CA6FA8">
        <w:rPr>
          <w:shd w:val="clear" w:color="auto" w:fill="FFFFFF"/>
        </w:rPr>
        <w:t xml:space="preserve">suggest </w:t>
      </w:r>
      <w:r w:rsidR="00394296">
        <w:rPr>
          <w:shd w:val="clear" w:color="auto" w:fill="FFFFFF"/>
        </w:rPr>
        <w:t xml:space="preserve">the possibility of </w:t>
      </w:r>
      <w:r w:rsidR="0096060A" w:rsidDel="00CA6FA8">
        <w:rPr>
          <w:shd w:val="clear" w:color="auto" w:fill="FFFFFF"/>
        </w:rPr>
        <w:t xml:space="preserve">local damage </w:t>
      </w:r>
      <w:r w:rsidR="00394296">
        <w:rPr>
          <w:shd w:val="clear" w:color="auto" w:fill="FFFFFF"/>
        </w:rPr>
        <w:t>by exposure to</w:t>
      </w:r>
      <w:r w:rsidR="0096060A" w:rsidDel="00CA6FA8">
        <w:rPr>
          <w:shd w:val="clear" w:color="auto" w:fill="FFFFFF"/>
        </w:rPr>
        <w:t xml:space="preserve"> MCA </w:t>
      </w:r>
      <w:r w:rsidR="000434EC">
        <w:rPr>
          <w:shd w:val="clear" w:color="auto" w:fill="FFFFFF"/>
        </w:rPr>
        <w:t xml:space="preserve">at </w:t>
      </w:r>
      <w:r w:rsidR="0096060A" w:rsidDel="00CA6FA8">
        <w:rPr>
          <w:shd w:val="clear" w:color="auto" w:fill="FFFFFF"/>
        </w:rPr>
        <w:t xml:space="preserve">concentrations </w:t>
      </w:r>
      <w:r w:rsidR="004E2059" w:rsidDel="00CA6FA8">
        <w:rPr>
          <w:shd w:val="clear" w:color="auto" w:fill="FFFFFF"/>
        </w:rPr>
        <w:t xml:space="preserve">at or above </w:t>
      </w:r>
      <w:r w:rsidR="0096060A" w:rsidDel="00CA6FA8">
        <w:rPr>
          <w:shd w:val="clear" w:color="auto" w:fill="FFFFFF"/>
        </w:rPr>
        <w:t>3 ppm and eye irritation beginning at 5 ppm (DFG, 2002).</w:t>
      </w:r>
    </w:p>
    <w:p w14:paraId="558AAB97" w14:textId="47FF0400" w:rsidR="00D7227F" w:rsidRDefault="00F15338" w:rsidP="0096060A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The </w:t>
      </w:r>
      <w:r w:rsidR="00CA6FA8">
        <w:rPr>
          <w:shd w:val="clear" w:color="auto" w:fill="FFFFFF"/>
        </w:rPr>
        <w:t xml:space="preserve">TWA of 0.2 ppm </w:t>
      </w:r>
      <w:r>
        <w:rPr>
          <w:shd w:val="clear" w:color="auto" w:fill="FFFFFF"/>
        </w:rPr>
        <w:t xml:space="preserve">derived by ACGIH (2018) </w:t>
      </w:r>
      <w:proofErr w:type="gramStart"/>
      <w:r w:rsidR="00CA6FA8">
        <w:rPr>
          <w:shd w:val="clear" w:color="auto" w:fill="FFFFFF"/>
        </w:rPr>
        <w:t>is recommended</w:t>
      </w:r>
      <w:proofErr w:type="gramEnd"/>
      <w:r w:rsidR="00CA6FA8">
        <w:rPr>
          <w:shd w:val="clear" w:color="auto" w:fill="FFFFFF"/>
        </w:rPr>
        <w:t xml:space="preserve"> b</w:t>
      </w:r>
      <w:r w:rsidR="00D7227F">
        <w:rPr>
          <w:shd w:val="clear" w:color="auto" w:fill="FFFFFF"/>
        </w:rPr>
        <w:t xml:space="preserve">ased on the </w:t>
      </w:r>
      <w:r w:rsidR="0092684C">
        <w:rPr>
          <w:shd w:val="clear" w:color="auto" w:fill="FFFFFF"/>
        </w:rPr>
        <w:t>epidemiological stud</w:t>
      </w:r>
      <w:r w:rsidR="00CA6FA8">
        <w:rPr>
          <w:shd w:val="clear" w:color="auto" w:fill="FFFFFF"/>
        </w:rPr>
        <w:t>y</w:t>
      </w:r>
      <w:r w:rsidR="0092684C">
        <w:rPr>
          <w:shd w:val="clear" w:color="auto" w:fill="FFFFFF"/>
        </w:rPr>
        <w:t xml:space="preserve"> </w:t>
      </w:r>
      <w:r w:rsidR="00C14C00">
        <w:rPr>
          <w:shd w:val="clear" w:color="auto" w:fill="FFFFFF"/>
        </w:rPr>
        <w:t xml:space="preserve">showing no pulmonary effects at mean exposures of 0.2 ppm. This TWA </w:t>
      </w:r>
      <w:r w:rsidR="00CA6FA8">
        <w:rPr>
          <w:shd w:val="clear" w:color="auto" w:fill="FFFFFF"/>
        </w:rPr>
        <w:t xml:space="preserve">is </w:t>
      </w:r>
      <w:r w:rsidR="000D55E8">
        <w:rPr>
          <w:shd w:val="clear" w:color="auto" w:fill="FFFFFF"/>
        </w:rPr>
        <w:t>suitably protective of</w:t>
      </w:r>
      <w:r w:rsidR="0092684C">
        <w:rPr>
          <w:shd w:val="clear" w:color="auto" w:fill="FFFFFF"/>
        </w:rPr>
        <w:t xml:space="preserve"> irritation and pulmonary obstruction</w:t>
      </w:r>
      <w:r w:rsidR="00C14C00">
        <w:rPr>
          <w:shd w:val="clear" w:color="auto" w:fill="FFFFFF"/>
        </w:rPr>
        <w:t xml:space="preserve"> in exposed workers</w:t>
      </w:r>
      <w:r w:rsidR="0092684C">
        <w:rPr>
          <w:shd w:val="clear" w:color="auto" w:fill="FFFFFF"/>
        </w:rPr>
        <w:t xml:space="preserve">. Based on the short-term </w:t>
      </w:r>
      <w:r w:rsidR="00CA6FA8">
        <w:rPr>
          <w:shd w:val="clear" w:color="auto" w:fill="FFFFFF"/>
        </w:rPr>
        <w:t xml:space="preserve">exposure </w:t>
      </w:r>
      <w:r w:rsidR="0092684C">
        <w:rPr>
          <w:shd w:val="clear" w:color="auto" w:fill="FFFFFF"/>
        </w:rPr>
        <w:t>study</w:t>
      </w:r>
      <w:r>
        <w:rPr>
          <w:shd w:val="clear" w:color="auto" w:fill="FFFFFF"/>
        </w:rPr>
        <w:t xml:space="preserve"> with</w:t>
      </w:r>
      <w:r w:rsidR="0092684C">
        <w:rPr>
          <w:shd w:val="clear" w:color="auto" w:fill="FFFFFF"/>
        </w:rPr>
        <w:t xml:space="preserve"> a </w:t>
      </w:r>
      <w:r>
        <w:rPr>
          <w:shd w:val="clear" w:color="auto" w:fill="FFFFFF"/>
        </w:rPr>
        <w:t xml:space="preserve">NOAEC </w:t>
      </w:r>
      <w:r w:rsidR="0092684C">
        <w:rPr>
          <w:shd w:val="clear" w:color="auto" w:fill="FFFFFF"/>
        </w:rPr>
        <w:t xml:space="preserve">of </w:t>
      </w:r>
      <w:r>
        <w:rPr>
          <w:shd w:val="clear" w:color="auto" w:fill="FFFFFF"/>
        </w:rPr>
        <w:t>1 </w:t>
      </w:r>
      <w:r w:rsidR="0092684C">
        <w:rPr>
          <w:shd w:val="clear" w:color="auto" w:fill="FFFFFF"/>
        </w:rPr>
        <w:t xml:space="preserve">ppm in humans, the </w:t>
      </w:r>
      <w:r w:rsidR="00D7227F">
        <w:rPr>
          <w:shd w:val="clear" w:color="auto" w:fill="FFFFFF"/>
        </w:rPr>
        <w:t xml:space="preserve">STEL </w:t>
      </w:r>
      <w:r w:rsidR="00CA6FA8">
        <w:rPr>
          <w:shd w:val="clear" w:color="auto" w:fill="FFFFFF"/>
        </w:rPr>
        <w:t>of 1 ppm</w:t>
      </w:r>
      <w:r>
        <w:rPr>
          <w:shd w:val="clear" w:color="auto" w:fill="FFFFFF"/>
        </w:rPr>
        <w:t xml:space="preserve"> derived by ACGIH (2018)</w:t>
      </w:r>
      <w:r w:rsidR="00CA6FA8">
        <w:rPr>
          <w:shd w:val="clear" w:color="auto" w:fill="FFFFFF"/>
        </w:rPr>
        <w:t xml:space="preserve"> </w:t>
      </w:r>
      <w:proofErr w:type="gramStart"/>
      <w:r w:rsidR="00CA6FA8">
        <w:rPr>
          <w:shd w:val="clear" w:color="auto" w:fill="FFFFFF"/>
        </w:rPr>
        <w:t>is recommended</w:t>
      </w:r>
      <w:proofErr w:type="gramEnd"/>
      <w:r w:rsidR="00CA6FA8">
        <w:rPr>
          <w:shd w:val="clear" w:color="auto" w:fill="FFFFFF"/>
        </w:rPr>
        <w:t xml:space="preserve"> to protect for acute </w:t>
      </w:r>
      <w:r w:rsidR="00D7227F">
        <w:rPr>
          <w:shd w:val="clear" w:color="auto" w:fill="FFFFFF"/>
        </w:rPr>
        <w:t xml:space="preserve">irritant effects in </w:t>
      </w:r>
      <w:r w:rsidR="00CA6FA8">
        <w:rPr>
          <w:shd w:val="clear" w:color="auto" w:fill="FFFFFF"/>
        </w:rPr>
        <w:t xml:space="preserve">exposed </w:t>
      </w:r>
      <w:r w:rsidR="00D7227F">
        <w:rPr>
          <w:shd w:val="clear" w:color="auto" w:fill="FFFFFF"/>
        </w:rPr>
        <w:t>workers</w:t>
      </w:r>
      <w:r w:rsidR="009428D1">
        <w:rPr>
          <w:shd w:val="clear" w:color="auto" w:fill="FFFFFF"/>
        </w:rPr>
        <w:t xml:space="preserve"> (ACGIH, 2018)</w:t>
      </w:r>
      <w:r w:rsidR="00D7227F">
        <w:rPr>
          <w:shd w:val="clear" w:color="auto" w:fill="FFFFFF"/>
        </w:rPr>
        <w:t>.</w:t>
      </w:r>
    </w:p>
    <w:p w14:paraId="7DE65210" w14:textId="77777777" w:rsidR="004529F0" w:rsidRPr="004C23F4" w:rsidRDefault="004529F0" w:rsidP="005E5505">
      <w:pPr>
        <w:pStyle w:val="Heading2"/>
      </w:pPr>
      <w:r>
        <w:t>Recommendation for notations</w:t>
      </w:r>
    </w:p>
    <w:p w14:paraId="763D2CAF" w14:textId="62F6BD07" w:rsidR="00A70E26" w:rsidRPr="00A70823" w:rsidRDefault="00A70E26" w:rsidP="00394296">
      <w:r w:rsidRPr="00A70823">
        <w:t>Not classified as a carcinogen according to the Globally Harmonized System of Classification and Labelling o</w:t>
      </w:r>
      <w:r w:rsidR="004E2059">
        <w:t>f</w:t>
      </w:r>
      <w:r w:rsidRPr="00A70823">
        <w:t xml:space="preserve"> Chemicals (GHS). </w:t>
      </w:r>
    </w:p>
    <w:p w14:paraId="6BA789CD" w14:textId="77777777" w:rsidR="007A3FCD" w:rsidRPr="00D72954" w:rsidRDefault="00A70E26" w:rsidP="007A3FCD">
      <w:pPr>
        <w:rPr>
          <w:lang w:eastAsia="en-AU"/>
        </w:rPr>
      </w:pPr>
      <w:r w:rsidRPr="00A70823">
        <w:rPr>
          <w:rFonts w:cs="Arial"/>
        </w:rPr>
        <w:t xml:space="preserve">Not classified as a skin </w:t>
      </w:r>
      <w:r w:rsidR="004E2059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  <w:r w:rsidR="007A3FCD">
        <w:rPr>
          <w:rFonts w:cs="Arial"/>
        </w:rPr>
        <w:t xml:space="preserve"> </w:t>
      </w:r>
      <w:r w:rsidR="007A3FCD">
        <w:rPr>
          <w:shd w:val="clear" w:color="auto" w:fill="FFFFFF"/>
        </w:rPr>
        <w:t xml:space="preserve">It </w:t>
      </w:r>
      <w:proofErr w:type="gramStart"/>
      <w:r w:rsidR="007A3FCD">
        <w:rPr>
          <w:shd w:val="clear" w:color="auto" w:fill="FFFFFF"/>
        </w:rPr>
        <w:t>is recommended</w:t>
      </w:r>
      <w:proofErr w:type="gramEnd"/>
      <w:r w:rsidR="007A3FCD">
        <w:rPr>
          <w:shd w:val="clear" w:color="auto" w:fill="FFFFFF"/>
        </w:rPr>
        <w:t xml:space="preserve"> </w:t>
      </w:r>
      <w:r w:rsidR="007A3FCD" w:rsidRPr="00D72954">
        <w:rPr>
          <w:shd w:val="clear" w:color="auto" w:fill="FFFFFF"/>
        </w:rPr>
        <w:t>that a review of dermal and respiratory sensitisation be undertaken at the next scheduled as human studies indicate sensitivity and systemic effects.</w:t>
      </w:r>
    </w:p>
    <w:p w14:paraId="08B1C069" w14:textId="6C47AF03" w:rsidR="00D72954" w:rsidRPr="00D72954" w:rsidRDefault="00D72954" w:rsidP="00D72954">
      <w:pPr>
        <w:rPr>
          <w:rFonts w:cs="Arial"/>
        </w:rPr>
      </w:pPr>
      <w:r w:rsidRPr="00D72954">
        <w:rPr>
          <w:rFonts w:cs="Arial"/>
        </w:rPr>
        <w:t xml:space="preserve">A skin notation </w:t>
      </w:r>
      <w:proofErr w:type="gramStart"/>
      <w:r w:rsidRPr="00D72954">
        <w:rPr>
          <w:rFonts w:cs="Arial"/>
        </w:rPr>
        <w:t>is recommended</w:t>
      </w:r>
      <w:proofErr w:type="gramEnd"/>
      <w:r w:rsidRPr="00D72954">
        <w:rPr>
          <w:rFonts w:cs="Arial"/>
        </w:rPr>
        <w:t xml:space="preserve"> based on evidence suggesting potential dermal absorption and contact dermatitis in humans.</w:t>
      </w:r>
    </w:p>
    <w:p w14:paraId="4B43B9F6" w14:textId="77777777" w:rsidR="0025734A" w:rsidRPr="004C23F4" w:rsidRDefault="0025734A">
      <w:pPr>
        <w:rPr>
          <w:rFonts w:cs="Arial"/>
        </w:rPr>
      </w:pPr>
    </w:p>
    <w:p w14:paraId="5614D90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8D7920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10ADDC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799E94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8EA17A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D7BA1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6987546" w14:textId="21EE1D3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60288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B60288">
                  <w:t>NA</w:t>
                </w:r>
                <w:proofErr w:type="spellEnd"/>
              </w:sdtContent>
            </w:sdt>
          </w:p>
        </w:tc>
      </w:tr>
      <w:tr w:rsidR="00C978F0" w:rsidRPr="00DA352E" w14:paraId="2E9A9A3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C0A34DA" w14:textId="5CD3FAEF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BC5E21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C19FB2D" w14:textId="153715F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60288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60288">
                  <w:t>TLV-TWA: 0.2 ppm (1 mg/m</w:t>
                </w:r>
                <w:r w:rsidR="00B60288" w:rsidRPr="00B60288">
                  <w:rPr>
                    <w:vertAlign w:val="superscript"/>
                  </w:rPr>
                  <w:t>3</w:t>
                </w:r>
                <w:r w:rsidR="00B60288">
                  <w:t>); TLV-STEL: 1 ppm (</w:t>
                </w:r>
                <w:r w:rsidR="006D0991">
                  <w:t xml:space="preserve">5.1 </w:t>
                </w:r>
                <w:r w:rsidR="00B60288">
                  <w:t>mg/m</w:t>
                </w:r>
                <w:r w:rsidR="00B60288" w:rsidRPr="00B60288">
                  <w:rPr>
                    <w:vertAlign w:val="superscript"/>
                  </w:rPr>
                  <w:t>3</w:t>
                </w:r>
                <w:r w:rsidR="00B60288">
                  <w:t>)</w:t>
                </w:r>
              </w:sdtContent>
            </w:sdt>
          </w:p>
        </w:tc>
      </w:tr>
      <w:tr w:rsidR="00C978F0" w:rsidRPr="00DA352E" w14:paraId="49C0A00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EB5E9B" w14:textId="79C5EE26" w:rsidR="00C978F0" w:rsidRDefault="00BA590C" w:rsidP="003365A5">
            <w:pPr>
              <w:pStyle w:val="Tabletextprimarysource"/>
            </w:pPr>
            <w:r>
              <w:t>TLV-TWA and TLV-STEL recommended for both ECA and MCA to minimise the potential for irritation of the eyes and the nasal and pharyngeal mucosa.</w:t>
            </w:r>
          </w:p>
          <w:p w14:paraId="31E5B827" w14:textId="154F1B61" w:rsidR="00BA590C" w:rsidRDefault="00BA590C" w:rsidP="003365A5">
            <w:pPr>
              <w:pStyle w:val="Tabletextprimarysource"/>
            </w:pPr>
            <w:r>
              <w:t>Summary of data:</w:t>
            </w:r>
          </w:p>
          <w:p w14:paraId="4AFE81A4" w14:textId="1C1E5A38" w:rsidR="00BA590C" w:rsidRDefault="00BA590C" w:rsidP="003365A5">
            <w:pPr>
              <w:pStyle w:val="Tabletextprimarysource"/>
            </w:pPr>
            <w:r>
              <w:t>Human data:</w:t>
            </w:r>
          </w:p>
          <w:p w14:paraId="2C1AA4DA" w14:textId="77777777" w:rsidR="007A3FCD" w:rsidRDefault="002551DD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of 1 ppm for short term exposure</w:t>
            </w:r>
            <w:r w:rsidR="009428D1">
              <w:t xml:space="preserve"> was symptom free</w:t>
            </w:r>
          </w:p>
          <w:p w14:paraId="0453EA3C" w14:textId="7DA7A99F" w:rsidR="00BA590C" w:rsidRDefault="002551DD" w:rsidP="004438C4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2</w:t>
            </w:r>
            <w:r w:rsidR="009428D1">
              <w:t>–</w:t>
            </w:r>
            <w:r>
              <w:t>3 ppm for 2 h MCA produced nasal irritation in human</w:t>
            </w:r>
            <w:r w:rsidR="00F15338">
              <w:t>s</w:t>
            </w:r>
            <w:r>
              <w:t xml:space="preserve"> </w:t>
            </w:r>
          </w:p>
          <w:p w14:paraId="694FA040" w14:textId="4749EAE5" w:rsidR="001A57F1" w:rsidRDefault="001A57F1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Epidemiological study: 8</w:t>
            </w:r>
            <w:r w:rsidR="005E5505">
              <w:t xml:space="preserve"> </w:t>
            </w:r>
            <w:r>
              <w:t>h average of 0.90 ppm ECA (4.6 mg/m</w:t>
            </w:r>
            <w:r>
              <w:rPr>
                <w:vertAlign w:val="superscript"/>
              </w:rPr>
              <w:t>3</w:t>
            </w:r>
            <w:r>
              <w:t>); associated with acute mucosal irritation and possible pulmonary sensitisation</w:t>
            </w:r>
          </w:p>
          <w:p w14:paraId="2928D484" w14:textId="395C6564" w:rsidR="001A57F1" w:rsidRDefault="001A57F1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Epidemiological study</w:t>
            </w:r>
            <w:r w:rsidR="0096060A">
              <w:t>:</w:t>
            </w:r>
            <w:r>
              <w:t xml:space="preserve"> 0.31 ppm ECA (1.6 mg/m</w:t>
            </w:r>
            <w:r>
              <w:rPr>
                <w:vertAlign w:val="superscript"/>
              </w:rPr>
              <w:t>3</w:t>
            </w:r>
            <w:r>
              <w:t xml:space="preserve">); </w:t>
            </w:r>
            <w:r w:rsidR="005E5505">
              <w:t xml:space="preserve">workers </w:t>
            </w:r>
            <w:r>
              <w:t>reported wheezing and whistling breath, shortness of breath, chest tightness</w:t>
            </w:r>
            <w:r w:rsidR="009428D1">
              <w:t>,</w:t>
            </w:r>
            <w:r>
              <w:t xml:space="preserve"> irritation </w:t>
            </w:r>
            <w:r w:rsidR="009428D1">
              <w:t>to</w:t>
            </w:r>
            <w:r>
              <w:t xml:space="preserve"> eyes, nose and throat </w:t>
            </w:r>
          </w:p>
          <w:p w14:paraId="15DCEA51" w14:textId="6B1C6947" w:rsidR="0096060A" w:rsidRDefault="007A3FCD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Worker e</w:t>
            </w:r>
            <w:r w:rsidR="0096060A">
              <w:t xml:space="preserve">xposures </w:t>
            </w:r>
            <w:r>
              <w:t>to ECA</w:t>
            </w:r>
            <w:r w:rsidR="0096060A">
              <w:t xml:space="preserve"> at 0.04 ppm were below the level of causing effects</w:t>
            </w:r>
            <w:r w:rsidR="00F15338">
              <w:t xml:space="preserve"> (i.e. NOAEC)</w:t>
            </w:r>
          </w:p>
          <w:p w14:paraId="5377E564" w14:textId="15217673" w:rsidR="00BA590C" w:rsidRDefault="00BA590C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An epidemiologic study of 450 workers (ECA and MCA) over 17</w:t>
            </w:r>
            <w:r w:rsidR="005E5505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with geometric mean exposures of 0.2 ppm and peaks of 1.5 ppm</w:t>
            </w:r>
            <w:r w:rsidR="00F15338">
              <w:t>;</w:t>
            </w:r>
            <w:r>
              <w:t xml:space="preserve"> no evidence of pulmonary obstruction (asthma)</w:t>
            </w:r>
            <w:r w:rsidR="0092684C">
              <w:t>; peak exposures associated with ocular and nasal irritation</w:t>
            </w:r>
            <w:r w:rsidR="00F15338">
              <w:t xml:space="preserve"> </w:t>
            </w:r>
            <w:r w:rsidR="00936590">
              <w:t xml:space="preserve">i.e. </w:t>
            </w:r>
            <w:r w:rsidR="00F15338">
              <w:t xml:space="preserve">NOAEC 0.2 </w:t>
            </w:r>
            <w:r w:rsidR="00936590">
              <w:t>ppm, LOAEC 1.5 ppm</w:t>
            </w:r>
          </w:p>
          <w:p w14:paraId="55494F41" w14:textId="29E34B6E" w:rsidR="003D18BB" w:rsidRDefault="003D18BB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Numerous reports </w:t>
            </w:r>
            <w:r w:rsidR="00F15338">
              <w:t xml:space="preserve">on </w:t>
            </w:r>
            <w:r>
              <w:t xml:space="preserve">ECA and MCA adhesives produced both allergic contact dermatitis </w:t>
            </w:r>
            <w:r w:rsidR="00C7558F">
              <w:t xml:space="preserve">with </w:t>
            </w:r>
            <w:r>
              <w:t>DSEN and RSEN notations recommended</w:t>
            </w:r>
          </w:p>
          <w:p w14:paraId="40CDDB6F" w14:textId="6E671925" w:rsidR="003D18BB" w:rsidRDefault="009428D1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o</w:t>
            </w:r>
            <w:r w:rsidR="003D18BB">
              <w:t>dour threshold between 1</w:t>
            </w:r>
            <w:r>
              <w:t>–</w:t>
            </w:r>
            <w:r w:rsidR="003D18BB">
              <w:t>3 ppm</w:t>
            </w:r>
            <w:r w:rsidR="003556BC">
              <w:t>.</w:t>
            </w:r>
          </w:p>
          <w:p w14:paraId="4694C372" w14:textId="41797E11" w:rsidR="003D18BB" w:rsidRDefault="003D18BB" w:rsidP="003D18BB">
            <w:pPr>
              <w:pStyle w:val="Tabletextprimarysource"/>
            </w:pPr>
            <w:r>
              <w:t>Animal data:</w:t>
            </w:r>
          </w:p>
          <w:p w14:paraId="6CE62951" w14:textId="65C71199" w:rsidR="003D18BB" w:rsidRDefault="003D18BB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toxicological studies in animals</w:t>
            </w:r>
          </w:p>
          <w:p w14:paraId="20FB025C" w14:textId="20709920" w:rsidR="003D18BB" w:rsidRDefault="003D18BB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RD</w:t>
            </w:r>
            <w:r>
              <w:rPr>
                <w:vertAlign w:val="subscript"/>
              </w:rPr>
              <w:t>50</w:t>
            </w:r>
            <w:r w:rsidR="009428D1">
              <w:t>:</w:t>
            </w:r>
            <w:r>
              <w:t xml:space="preserve"> MCA 1.4 ppm</w:t>
            </w:r>
          </w:p>
          <w:p w14:paraId="099A975B" w14:textId="5BDC2D43" w:rsidR="009428D1" w:rsidRDefault="003D18BB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9428D1">
              <w:t>:</w:t>
            </w:r>
            <w:r>
              <w:t xml:space="preserve"> 1,600 mg/kg </w:t>
            </w:r>
            <w:r w:rsidR="004E2059">
              <w:t xml:space="preserve">(rats, dermal), as </w:t>
            </w:r>
            <w:r>
              <w:t>MCA</w:t>
            </w:r>
            <w:r w:rsidR="009428D1">
              <w:t>.</w:t>
            </w:r>
            <w:r>
              <w:t xml:space="preserve"> </w:t>
            </w:r>
          </w:p>
          <w:p w14:paraId="68571C83" w14:textId="6AC3F2BA" w:rsidR="00BA590C" w:rsidRDefault="003D18BB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exposed </w:t>
            </w:r>
            <w:r w:rsidR="00C7558F">
              <w:t>at</w:t>
            </w:r>
            <w:r>
              <w:t xml:space="preserve"> 31.3 ppm </w:t>
            </w:r>
            <w:r w:rsidR="00F01133">
              <w:t xml:space="preserve">MCA </w:t>
            </w:r>
            <w:r>
              <w:t>6</w:t>
            </w:r>
            <w:r w:rsidR="00F0094B">
              <w:t xml:space="preserve"> </w:t>
            </w:r>
            <w:r>
              <w:t>h/d, 5 d/</w:t>
            </w:r>
            <w:proofErr w:type="spellStart"/>
            <w:r>
              <w:t>wk</w:t>
            </w:r>
            <w:proofErr w:type="spellEnd"/>
            <w:r>
              <w:t xml:space="preserve"> for 12 exposures; no nasal or tracheal lesions </w:t>
            </w:r>
            <w:proofErr w:type="gramStart"/>
            <w:r>
              <w:t>were seen</w:t>
            </w:r>
            <w:proofErr w:type="gramEnd"/>
            <w:r>
              <w:t xml:space="preserve"> and no detectable systemic toxicity was observed</w:t>
            </w:r>
            <w:r w:rsidR="00F01133">
              <w:t>; no changes were seen in rats similarly exposed at 3.1 ppm</w:t>
            </w:r>
            <w:r w:rsidR="005E5505">
              <w:t>.</w:t>
            </w:r>
          </w:p>
          <w:p w14:paraId="1C9D747E" w14:textId="77777777" w:rsidR="009428D1" w:rsidRDefault="00936590" w:rsidP="00394296">
            <w:pPr>
              <w:pStyle w:val="Tabletextprimarysource"/>
            </w:pPr>
            <w:r>
              <w:t>TLV-TWA based on NOAEC of 0.2 ppm and TLV-STEL of 1 ppm based on the LOAEC in humans of 1.5 ppm.</w:t>
            </w:r>
          </w:p>
          <w:p w14:paraId="417F3FD5" w14:textId="3597D399" w:rsidR="00394296" w:rsidRPr="00DA352E" w:rsidRDefault="00394296" w:rsidP="00394296">
            <w:pPr>
              <w:pStyle w:val="Tabletextprimarysource"/>
            </w:pPr>
          </w:p>
        </w:tc>
      </w:tr>
      <w:tr w:rsidR="00C978F0" w:rsidRPr="00DA352E" w14:paraId="2016E2C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DC8EC1C" w14:textId="2F51C4D8" w:rsidR="00C978F0" w:rsidRPr="00DA352E" w:rsidRDefault="00F01133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272751712"/>
                <w:placeholder>
                  <w:docPart w:val="14298E56150049BA953B30AAB8B451C5"/>
                </w:placeholder>
                <w:text/>
              </w:sdtPr>
              <w:sdtEndPr/>
              <w:sdtContent>
                <w:r>
                  <w:t>2002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805AFDCE8544CEB88809064F7CBD12F"/>
                </w:placeholder>
              </w:sdtPr>
              <w:sdtEndPr/>
              <w:sdtContent>
                <w:r w:rsidR="003E0611">
                  <w:t>MAK: 2 ppm (8</w:t>
                </w:r>
                <w:r>
                  <w:t xml:space="preserve"> mg/m</w:t>
                </w:r>
                <w:r w:rsidRPr="00B6469A">
                  <w:rPr>
                    <w:vertAlign w:val="superscript"/>
                  </w:rPr>
                  <w:t>3</w:t>
                </w:r>
                <w:r>
                  <w:t>)</w:t>
                </w:r>
              </w:sdtContent>
            </w:sdt>
          </w:p>
        </w:tc>
      </w:tr>
      <w:tr w:rsidR="00C978F0" w:rsidRPr="00DA352E" w14:paraId="6AD0793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508831A" w14:textId="77777777" w:rsidR="00C978F0" w:rsidRDefault="003E0611" w:rsidP="003365A5">
            <w:pPr>
              <w:pStyle w:val="Tabletextprimarysource"/>
            </w:pPr>
            <w:r>
              <w:t>Additional data:</w:t>
            </w:r>
          </w:p>
          <w:p w14:paraId="1D1E3A85" w14:textId="578EAF9D" w:rsidR="00817780" w:rsidRDefault="003E0611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MAK established for MCA to protect for acute irritation </w:t>
            </w:r>
          </w:p>
          <w:p w14:paraId="4287B7F3" w14:textId="1C08EAA3" w:rsidR="003E0611" w:rsidRPr="003E0611" w:rsidRDefault="003E0611" w:rsidP="00CE429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ECA not yet established</w:t>
            </w:r>
            <w:r w:rsidR="00817780">
              <w:t xml:space="preserve"> due to insufficient information</w:t>
            </w:r>
          </w:p>
          <w:p w14:paraId="559CF5B1" w14:textId="1E17A441" w:rsidR="003E0611" w:rsidRPr="004E2059" w:rsidRDefault="003E0611" w:rsidP="00CE429B">
            <w:pPr>
              <w:pStyle w:val="ListBullet"/>
              <w:spacing w:before="60" w:after="60"/>
              <w:ind w:left="714" w:hanging="357"/>
              <w:contextualSpacing w:val="0"/>
            </w:pPr>
            <w:r w:rsidRPr="004E2059">
              <w:rPr>
                <w:shd w:val="clear" w:color="auto" w:fill="FFFFFF"/>
              </w:rPr>
              <w:t xml:space="preserve">Evidence suggest indications for local damage possibilities at MCA concentrations </w:t>
            </w:r>
            <w:r w:rsidR="004E2059">
              <w:rPr>
                <w:rFonts w:ascii="Cambria Math" w:hAnsi="Cambria Math" w:cs="Cambria Math"/>
                <w:shd w:val="clear" w:color="auto" w:fill="FFFFFF"/>
              </w:rPr>
              <w:t>≥</w:t>
            </w:r>
            <w:r w:rsidRPr="004E2059">
              <w:rPr>
                <w:shd w:val="clear" w:color="auto" w:fill="FFFFFF"/>
              </w:rPr>
              <w:t>3</w:t>
            </w:r>
            <w:r w:rsidR="009428D1">
              <w:rPr>
                <w:shd w:val="clear" w:color="auto" w:fill="FFFFFF"/>
              </w:rPr>
              <w:t> </w:t>
            </w:r>
            <w:r w:rsidRPr="004E2059">
              <w:rPr>
                <w:shd w:val="clear" w:color="auto" w:fill="FFFFFF"/>
              </w:rPr>
              <w:t>ppm; eye irritation at 5 ppm; 2 h exposure; no further information</w:t>
            </w:r>
          </w:p>
          <w:p w14:paraId="608D63B0" w14:textId="77777777" w:rsidR="003E0611" w:rsidRPr="00CE429B" w:rsidRDefault="003E0611" w:rsidP="00CE429B">
            <w:pPr>
              <w:pStyle w:val="ListBullet"/>
              <w:spacing w:before="60" w:after="60"/>
              <w:ind w:left="714" w:hanging="357"/>
              <w:contextualSpacing w:val="0"/>
            </w:pPr>
            <w:r w:rsidRPr="004E2059">
              <w:rPr>
                <w:rFonts w:cs="Arial"/>
                <w:shd w:val="clear" w:color="auto" w:fill="FFFFFF"/>
              </w:rPr>
              <w:t>Limited information from inhalation animal experiments</w:t>
            </w:r>
            <w:r w:rsidR="005E5505" w:rsidRPr="004E2059">
              <w:rPr>
                <w:rFonts w:cs="Arial"/>
                <w:shd w:val="clear" w:color="auto" w:fill="FFFFFF"/>
              </w:rPr>
              <w:t>.</w:t>
            </w:r>
          </w:p>
          <w:p w14:paraId="29061E98" w14:textId="62B54E65" w:rsidR="009428D1" w:rsidRPr="00DA352E" w:rsidRDefault="009428D1" w:rsidP="00CE429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59324F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C6540C" w14:textId="00B8DCB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602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60288">
                  <w:t>NA</w:t>
                </w:r>
                <w:proofErr w:type="spellEnd"/>
              </w:sdtContent>
            </w:sdt>
          </w:p>
        </w:tc>
      </w:tr>
      <w:tr w:rsidR="00C978F0" w:rsidRPr="00DA352E" w14:paraId="3054619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FD8140" w14:textId="2A3B1020" w:rsidR="00C978F0" w:rsidRPr="00DA352E" w:rsidRDefault="00B60288" w:rsidP="003365A5">
            <w:pPr>
              <w:pStyle w:val="Tabletextprimarysource"/>
            </w:pPr>
            <w:r>
              <w:t>No report</w:t>
            </w:r>
            <w:r w:rsidR="004E2059">
              <w:t>.</w:t>
            </w:r>
          </w:p>
        </w:tc>
      </w:tr>
      <w:tr w:rsidR="00DA352E" w:rsidRPr="00DA352E" w14:paraId="3B5C436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2FF87B" w14:textId="45C8E58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602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60288">
                  <w:t>NA</w:t>
                </w:r>
                <w:proofErr w:type="spellEnd"/>
              </w:sdtContent>
            </w:sdt>
          </w:p>
        </w:tc>
      </w:tr>
      <w:tr w:rsidR="00DA352E" w:rsidRPr="00DA352E" w14:paraId="359A5C9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9198A8" w14:textId="2106BC14" w:rsidR="00DA352E" w:rsidRPr="00DA352E" w:rsidRDefault="00B60288" w:rsidP="003365A5">
            <w:pPr>
              <w:pStyle w:val="Tabletextprimarysource"/>
            </w:pPr>
            <w:r>
              <w:t>No report</w:t>
            </w:r>
            <w:r w:rsidR="004E2059">
              <w:t>.</w:t>
            </w:r>
          </w:p>
        </w:tc>
      </w:tr>
      <w:tr w:rsidR="00DA352E" w:rsidRPr="00DA352E" w14:paraId="12EDC38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DDFEF56" w14:textId="602DA49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6028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60288">
                  <w:t>NA</w:t>
                </w:r>
                <w:proofErr w:type="spellEnd"/>
              </w:sdtContent>
            </w:sdt>
          </w:p>
        </w:tc>
      </w:tr>
      <w:tr w:rsidR="00DA352E" w:rsidRPr="00DA352E" w14:paraId="6D6118F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6740E9B" w14:textId="3AE57491" w:rsidR="00DA352E" w:rsidRPr="00DA352E" w:rsidRDefault="00B60288" w:rsidP="003365A5">
            <w:pPr>
              <w:pStyle w:val="Tabletextprimarysource"/>
            </w:pPr>
            <w:r>
              <w:t>No report</w:t>
            </w:r>
            <w:r w:rsidR="004E2059">
              <w:t>.</w:t>
            </w:r>
          </w:p>
        </w:tc>
      </w:tr>
    </w:tbl>
    <w:p w14:paraId="41088318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3"/>
        <w:gridCol w:w="661"/>
        <w:gridCol w:w="6448"/>
      </w:tblGrid>
      <w:tr w:rsidR="004966BF" w:rsidRPr="00263255" w14:paraId="6760D9E6" w14:textId="77777777" w:rsidTr="00817780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7E99F9D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411DFC7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CC2C41C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06EA58E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47CE810" w14:textId="77777777" w:rsidTr="00817780">
        <w:trPr>
          <w:cantSplit/>
        </w:trPr>
        <w:tc>
          <w:tcPr>
            <w:tcW w:w="1494" w:type="dxa"/>
          </w:tcPr>
          <w:p w14:paraId="29062CCD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6CF16CBE" w14:textId="6AC9A4EE" w:rsidR="004966BF" w:rsidRPr="00CE617F" w:rsidRDefault="007965C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1778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4E59EAD" w14:textId="48EFB8D3" w:rsidR="004966BF" w:rsidRPr="004C23F4" w:rsidRDefault="0081778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8" w:type="dxa"/>
          </w:tcPr>
          <w:p w14:paraId="78050AD1" w14:textId="04FC89CF" w:rsidR="004966BF" w:rsidRPr="004C23F4" w:rsidRDefault="00817780" w:rsidP="00CE429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Epidemiological study: W</w:t>
            </w:r>
            <w:r w:rsidRPr="00817780">
              <w:rPr>
                <w:rStyle w:val="checkbox"/>
                <w:rFonts w:ascii="Arial" w:hAnsi="Arial" w:cs="Arial"/>
              </w:rPr>
              <w:t>orkers routinely exposed to peak concentrations of at least 1.5</w:t>
            </w:r>
            <w:r>
              <w:rPr>
                <w:rStyle w:val="checkbox"/>
                <w:rFonts w:ascii="Arial" w:hAnsi="Arial" w:cs="Arial"/>
              </w:rPr>
              <w:t xml:space="preserve"> ppm/d</w:t>
            </w:r>
            <w:r w:rsidRPr="00817780">
              <w:rPr>
                <w:rStyle w:val="checkbox"/>
                <w:rFonts w:ascii="Arial" w:hAnsi="Arial" w:cs="Arial"/>
              </w:rPr>
              <w:t xml:space="preserve"> MCA or ECA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817780">
              <w:rPr>
                <w:rStyle w:val="checkbox"/>
                <w:rFonts w:ascii="Arial" w:hAnsi="Arial" w:cs="Arial"/>
              </w:rPr>
              <w:t xml:space="preserve">and those exposed to </w:t>
            </w:r>
            <w:r w:rsidR="005E5505" w:rsidRPr="00817780">
              <w:rPr>
                <w:rStyle w:val="checkbox"/>
                <w:rFonts w:ascii="Arial" w:hAnsi="Arial" w:cs="Arial"/>
              </w:rPr>
              <w:t>a short-term average concentration</w:t>
            </w:r>
            <w:r w:rsidRPr="00817780">
              <w:rPr>
                <w:rStyle w:val="checkbox"/>
                <w:rFonts w:ascii="Arial" w:hAnsi="Arial" w:cs="Arial"/>
              </w:rPr>
              <w:t xml:space="preserve"> of about 0.5</w:t>
            </w:r>
            <w:r w:rsidR="00F0094B">
              <w:rPr>
                <w:rStyle w:val="checkbox"/>
                <w:rFonts w:ascii="Arial" w:hAnsi="Arial" w:cs="Arial"/>
              </w:rPr>
              <w:t> </w:t>
            </w:r>
            <w:r w:rsidRPr="00817780">
              <w:rPr>
                <w:rStyle w:val="checkbox"/>
                <w:rFonts w:ascii="Arial" w:hAnsi="Arial" w:cs="Arial"/>
              </w:rPr>
              <w:t xml:space="preserve">ppm or less are not at increased risk of developing pulmonary obstruction compared </w:t>
            </w:r>
            <w:r w:rsidR="004E2059">
              <w:rPr>
                <w:rStyle w:val="checkbox"/>
                <w:rFonts w:ascii="Arial" w:hAnsi="Arial" w:cs="Arial"/>
              </w:rPr>
              <w:t xml:space="preserve">to those </w:t>
            </w:r>
            <w:r w:rsidRPr="00817780">
              <w:rPr>
                <w:rStyle w:val="checkbox"/>
                <w:rFonts w:ascii="Arial" w:hAnsi="Arial" w:cs="Arial"/>
              </w:rPr>
              <w:t>unexposed</w:t>
            </w:r>
            <w:r w:rsidR="004E2059">
              <w:rPr>
                <w:rStyle w:val="checkbox"/>
                <w:rFonts w:ascii="Arial" w:hAnsi="Arial" w:cs="Arial"/>
              </w:rPr>
              <w:t xml:space="preserve">. </w:t>
            </w:r>
          </w:p>
        </w:tc>
      </w:tr>
    </w:tbl>
    <w:bookmarkEnd w:id="1"/>
    <w:p w14:paraId="146ADFE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EB28980" w14:textId="77777777" w:rsidTr="00817780">
        <w:trPr>
          <w:trHeight w:val="454"/>
          <w:tblHeader/>
        </w:trPr>
        <w:tc>
          <w:tcPr>
            <w:tcW w:w="6603" w:type="dxa"/>
            <w:vAlign w:val="center"/>
          </w:tcPr>
          <w:p w14:paraId="631CCE2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31D8635" w14:textId="48198761" w:rsidR="002E0D61" w:rsidRDefault="0081778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4E2059" w14:paraId="1A5B9431" w14:textId="77777777" w:rsidTr="00817780">
        <w:trPr>
          <w:trHeight w:val="454"/>
          <w:tblHeader/>
        </w:trPr>
        <w:sdt>
          <w:sdtPr>
            <w:rPr>
              <w:b/>
            </w:rPr>
            <w:id w:val="1830936485"/>
            <w:placeholder>
              <w:docPart w:val="63AA79743DB74B739E203DF07CACC8C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E2FA51A" w14:textId="198789B0" w:rsidR="004E2059" w:rsidRDefault="004E2059" w:rsidP="004E2059">
                <w:pPr>
                  <w:pStyle w:val="Tablefont"/>
                  <w:keepNext/>
                  <w:keepLines/>
                  <w:spacing w:before="40" w:after="40"/>
                </w:pPr>
                <w:r w:rsidRPr="002A28E9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4DDC1AC" w14:textId="551D0808" w:rsidR="004E2059" w:rsidRDefault="004E2059" w:rsidP="004E2059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7E4E68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FF3D10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36CF081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55383C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5FF7B4E" w14:textId="77777777" w:rsidTr="00812887">
        <w:trPr>
          <w:cantSplit/>
        </w:trPr>
        <w:tc>
          <w:tcPr>
            <w:tcW w:w="3227" w:type="dxa"/>
          </w:tcPr>
          <w:p w14:paraId="57A78C1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1B5C97C" w14:textId="720BCDA6" w:rsidR="00687890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54FDB1C" w14:textId="77777777" w:rsidTr="00812887">
        <w:trPr>
          <w:cantSplit/>
        </w:trPr>
        <w:tc>
          <w:tcPr>
            <w:tcW w:w="3227" w:type="dxa"/>
          </w:tcPr>
          <w:p w14:paraId="752A305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E8D1447" w14:textId="10E5D6AE" w:rsidR="007925F0" w:rsidRPr="00DD2F9B" w:rsidRDefault="006D439D" w:rsidP="00DD2F9B">
            <w:pPr>
              <w:pStyle w:val="Tablefont"/>
            </w:pPr>
            <w:r w:rsidRPr="006D439D">
              <w:t>—</w:t>
            </w:r>
          </w:p>
        </w:tc>
      </w:tr>
      <w:tr w:rsidR="00AF483F" w:rsidRPr="004C23F4" w14:paraId="30298299" w14:textId="77777777" w:rsidTr="00812887">
        <w:trPr>
          <w:cantSplit/>
        </w:trPr>
        <w:tc>
          <w:tcPr>
            <w:tcW w:w="3227" w:type="dxa"/>
          </w:tcPr>
          <w:p w14:paraId="539589A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ACDB1C4" w14:textId="729C62BA" w:rsidR="00AF483F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F10087D" w14:textId="77777777" w:rsidTr="00812887">
        <w:trPr>
          <w:cantSplit/>
        </w:trPr>
        <w:tc>
          <w:tcPr>
            <w:tcW w:w="3227" w:type="dxa"/>
          </w:tcPr>
          <w:p w14:paraId="4383EB9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6F2E38A" w14:textId="2F52DB2B" w:rsidR="00687890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6C68836" w14:textId="77777777" w:rsidTr="00812887">
        <w:trPr>
          <w:cantSplit/>
        </w:trPr>
        <w:tc>
          <w:tcPr>
            <w:tcW w:w="3227" w:type="dxa"/>
          </w:tcPr>
          <w:p w14:paraId="452277B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6571B7E" w14:textId="44028659" w:rsidR="00E41A26" w:rsidRPr="00DD2F9B" w:rsidRDefault="006D439D" w:rsidP="00DD2F9B">
            <w:pPr>
              <w:pStyle w:val="Tablefont"/>
            </w:pPr>
            <w:r w:rsidRPr="006D439D">
              <w:t>—</w:t>
            </w:r>
          </w:p>
        </w:tc>
      </w:tr>
      <w:tr w:rsidR="002E0D61" w:rsidRPr="004C23F4" w14:paraId="2635922E" w14:textId="77777777" w:rsidTr="00812887">
        <w:trPr>
          <w:cantSplit/>
        </w:trPr>
        <w:tc>
          <w:tcPr>
            <w:tcW w:w="3227" w:type="dxa"/>
          </w:tcPr>
          <w:p w14:paraId="69647ED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F630EA4" w14:textId="757279AA" w:rsidR="002E0D61" w:rsidRPr="00DD2F9B" w:rsidRDefault="006D439D" w:rsidP="00DD2F9B">
            <w:pPr>
              <w:pStyle w:val="Tablefont"/>
            </w:pPr>
            <w:r w:rsidRPr="006D439D">
              <w:t>DSEN</w:t>
            </w:r>
            <w:r>
              <w:t xml:space="preserve">, </w:t>
            </w:r>
            <w:r w:rsidRPr="006D439D">
              <w:t>RSEN</w:t>
            </w:r>
          </w:p>
        </w:tc>
      </w:tr>
      <w:tr w:rsidR="002E0D61" w:rsidRPr="004C23F4" w14:paraId="42CF1CC9" w14:textId="77777777" w:rsidTr="00812887">
        <w:trPr>
          <w:cantSplit/>
        </w:trPr>
        <w:tc>
          <w:tcPr>
            <w:tcW w:w="3227" w:type="dxa"/>
          </w:tcPr>
          <w:p w14:paraId="7035B81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7E33758" w14:textId="0F389659" w:rsidR="002E0D61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9FB4C88" w14:textId="77777777" w:rsidTr="00812887">
        <w:trPr>
          <w:cantSplit/>
        </w:trPr>
        <w:tc>
          <w:tcPr>
            <w:tcW w:w="3227" w:type="dxa"/>
          </w:tcPr>
          <w:p w14:paraId="1E90217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A61836A" w14:textId="34077BD0" w:rsidR="002E0D61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36DE1E3" w14:textId="77777777" w:rsidTr="00812887">
        <w:trPr>
          <w:cantSplit/>
        </w:trPr>
        <w:tc>
          <w:tcPr>
            <w:tcW w:w="3227" w:type="dxa"/>
          </w:tcPr>
          <w:p w14:paraId="28B3BAC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2110EB5" w14:textId="65EBBA77" w:rsidR="002E0D61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1F32DE1" w14:textId="77777777" w:rsidTr="00812887">
        <w:trPr>
          <w:cantSplit/>
        </w:trPr>
        <w:tc>
          <w:tcPr>
            <w:tcW w:w="3227" w:type="dxa"/>
          </w:tcPr>
          <w:p w14:paraId="197F9AC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F61B1EA" w14:textId="071C0174" w:rsidR="00386093" w:rsidRPr="00DD2F9B" w:rsidRDefault="006D439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0C70FBF" w14:textId="77777777" w:rsidTr="00812887">
        <w:trPr>
          <w:cantSplit/>
        </w:trPr>
        <w:tc>
          <w:tcPr>
            <w:tcW w:w="3227" w:type="dxa"/>
          </w:tcPr>
          <w:p w14:paraId="193402B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B5897DE" w14:textId="64A645A2" w:rsidR="00386093" w:rsidRPr="00DD2F9B" w:rsidRDefault="006D439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FB3BBA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D33928B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8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40"/>
      </w:tblGrid>
      <w:tr w:rsidR="00932DCE" w:rsidRPr="004C23F4" w14:paraId="37E1256B" w14:textId="77777777" w:rsidTr="00D72954">
        <w:trPr>
          <w:cantSplit/>
          <w:trHeight w:val="208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E89CF4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D72954" w:rsidRPr="004C23F4" w14:paraId="53C1B850" w14:textId="77777777" w:rsidTr="004438C4">
        <w:trPr>
          <w:cantSplit/>
          <w:trHeight w:val="60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4D1128F" w14:textId="77777777" w:rsidR="00D72954" w:rsidRDefault="00D72954" w:rsidP="00F4402E">
            <w:pPr>
              <w:pStyle w:val="Tableheader"/>
              <w:keepNext/>
              <w:tabs>
                <w:tab w:val="right" w:pos="8800"/>
              </w:tabs>
            </w:pPr>
          </w:p>
        </w:tc>
      </w:tr>
      <w:tr w:rsidR="00932DCE" w:rsidRPr="004C23F4" w14:paraId="6D442D16" w14:textId="77777777" w:rsidTr="00D72954">
        <w:trPr>
          <w:cantSplit/>
          <w:trHeight w:val="234"/>
          <w:tblHeader/>
        </w:trPr>
        <w:tc>
          <w:tcPr>
            <w:tcW w:w="5000" w:type="pct"/>
            <w:vAlign w:val="center"/>
          </w:tcPr>
          <w:tbl>
            <w:tblPr>
              <w:tblW w:w="8822" w:type="dxa"/>
              <w:tblLook w:val="04A0" w:firstRow="1" w:lastRow="0" w:firstColumn="1" w:lastColumn="0" w:noHBand="0" w:noVBand="1"/>
            </w:tblPr>
            <w:tblGrid>
              <w:gridCol w:w="1250"/>
              <w:gridCol w:w="865"/>
              <w:gridCol w:w="2893"/>
              <w:gridCol w:w="865"/>
              <w:gridCol w:w="865"/>
              <w:gridCol w:w="1041"/>
              <w:gridCol w:w="1043"/>
            </w:tblGrid>
            <w:tr w:rsidR="00D72954" w:rsidRPr="00D72954" w14:paraId="6DF18294" w14:textId="77777777" w:rsidTr="00103C49">
              <w:trPr>
                <w:trHeight w:val="133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D4F3A9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944DDE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7C35AF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2453F6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B5F8F4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1C9AC1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9D073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5A6AB1D1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A261C7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8DC58B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E02C75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2164F83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F50140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3DB19E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D3E22D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38BAD550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83296E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D94E94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A87A15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6023E9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4E88E6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E69EB9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63D767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09761D76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A53A77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C0ADAA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D322B4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74C53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67EC6F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E647D2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5E39E7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3B6DC6B5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7B7EAB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B74D25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177B47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E12FC8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F2CF18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FF9179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7CD349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60514C40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81F8CA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325E57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59D3F2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24C86D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29CB73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6ECA0E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4A354E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463FD0B0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A4A618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84D6A9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2BF99F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1415A3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8EF5FE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7FDAB4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F60588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72954" w:rsidRPr="00D72954" w14:paraId="018B8F12" w14:textId="77777777" w:rsidTr="00103C49">
              <w:trPr>
                <w:trHeight w:val="189"/>
              </w:trPr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F9DEC2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E3AE90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ACB9CE" w14:textId="77777777" w:rsidR="00D72954" w:rsidRPr="00D72954" w:rsidRDefault="00D72954" w:rsidP="00D729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60F878" w14:textId="77777777" w:rsidR="00D72954" w:rsidRPr="00D72954" w:rsidRDefault="00D72954" w:rsidP="00D729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28C4F9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  <w:p w14:paraId="571952D5" w14:textId="77777777" w:rsidR="00D72954" w:rsidRPr="00D72954" w:rsidRDefault="00D72954" w:rsidP="00D7295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7295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36538E3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B828FE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69FD5C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AD7E5A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7919222" w14:textId="78036E52" w:rsidR="00EB3D1B" w:rsidRDefault="006D439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CD817D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5B9556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9168A7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F60943B" w14:textId="0886C167" w:rsidR="00980086" w:rsidRDefault="006D439D" w:rsidP="001B79E5">
                <w:pPr>
                  <w:pStyle w:val="Tablefont"/>
                </w:pPr>
                <w:r w:rsidRPr="006D439D">
                  <w:t>125.13</w:t>
                </w:r>
                <w:r w:rsidR="00980086">
                  <w:t xml:space="preserve"> (ECA)</w:t>
                </w:r>
              </w:p>
              <w:p w14:paraId="40C9B88A" w14:textId="74556D83" w:rsidR="001B79E5" w:rsidRDefault="00980086" w:rsidP="001B79E5">
                <w:pPr>
                  <w:pStyle w:val="Tablefont"/>
                </w:pPr>
                <w:r>
                  <w:t xml:space="preserve">111.1 (MCA) </w:t>
                </w:r>
              </w:p>
            </w:tc>
          </w:sdtContent>
        </w:sdt>
      </w:tr>
      <w:tr w:rsidR="00A31D99" w:rsidRPr="004C23F4" w14:paraId="0AF976E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20E575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B3A69CA" w14:textId="43DCA8F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EC5217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  <w:showingPlcHdr/>
              </w:sdtPr>
              <w:sdtEndPr/>
              <w:sdtContent>
                <w:r w:rsidR="00EC5217" w:rsidRPr="00DF796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547DE3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524FF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3D2490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8A3A680" w14:textId="77777777" w:rsidTr="00EA6243">
        <w:trPr>
          <w:cantSplit/>
        </w:trPr>
        <w:tc>
          <w:tcPr>
            <w:tcW w:w="4077" w:type="dxa"/>
            <w:vAlign w:val="center"/>
          </w:tcPr>
          <w:p w14:paraId="5124D3E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CE2ECD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C5BE1B1" w14:textId="77777777" w:rsidTr="00EA6243">
        <w:trPr>
          <w:cantSplit/>
        </w:trPr>
        <w:tc>
          <w:tcPr>
            <w:tcW w:w="4077" w:type="dxa"/>
            <w:vAlign w:val="center"/>
          </w:tcPr>
          <w:p w14:paraId="39376C8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4AF31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BFEFB38" w14:textId="77777777" w:rsidTr="00EA6243">
        <w:trPr>
          <w:cantSplit/>
        </w:trPr>
        <w:tc>
          <w:tcPr>
            <w:tcW w:w="4077" w:type="dxa"/>
            <w:vAlign w:val="center"/>
          </w:tcPr>
          <w:p w14:paraId="2BEE093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5E42226" w14:textId="77777777" w:rsidR="00E06F40" w:rsidRPr="00A006A0" w:rsidRDefault="007965C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FF8975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A752B6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ED3CD1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E6F9A0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A93262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C0EE9F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3331AA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A2C898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9A5D425" w14:textId="57687DAB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E1CC660" w14:textId="300BD104" w:rsidR="00980086" w:rsidRPr="00E461B8" w:rsidRDefault="00980086" w:rsidP="00980086">
      <w:r w:rsidRPr="00E461B8">
        <w:t xml:space="preserve">Deutsche </w:t>
      </w:r>
      <w:proofErr w:type="spellStart"/>
      <w:r w:rsidRPr="00E461B8">
        <w:t>Forschungsgemeinschaft</w:t>
      </w:r>
      <w:proofErr w:type="spellEnd"/>
      <w:r w:rsidRPr="00E461B8">
        <w:t xml:space="preserve"> (DFG) (</w:t>
      </w:r>
      <w:r w:rsidR="00EC5217">
        <w:t>1999</w:t>
      </w:r>
      <w:r w:rsidRPr="00E461B8">
        <w:t xml:space="preserve">) </w:t>
      </w:r>
      <w:r w:rsidRPr="00980086">
        <w:t>Methyl 2-cyanoacrylate and Ethyl 2-cyanoacrylate</w:t>
      </w:r>
      <w:r w:rsidRPr="00E461B8">
        <w:t>– MAK value documentation.</w:t>
      </w:r>
    </w:p>
    <w:p w14:paraId="14255921" w14:textId="5AD1C58E" w:rsidR="00980086" w:rsidRPr="00E461B8" w:rsidRDefault="00980086" w:rsidP="00980086">
      <w:r w:rsidRPr="00E461B8">
        <w:t xml:space="preserve">Deutsche </w:t>
      </w:r>
      <w:proofErr w:type="spellStart"/>
      <w:r w:rsidRPr="00E461B8">
        <w:t>Forschungsgemeinschaft</w:t>
      </w:r>
      <w:proofErr w:type="spellEnd"/>
      <w:r w:rsidRPr="00E461B8">
        <w:t xml:space="preserve"> (DFG) (</w:t>
      </w:r>
      <w:r>
        <w:t>2002</w:t>
      </w:r>
      <w:r w:rsidRPr="00E461B8">
        <w:t xml:space="preserve">) </w:t>
      </w:r>
      <w:proofErr w:type="spellStart"/>
      <w:r w:rsidRPr="00980086">
        <w:t>Cyanacrylsäuremethylester</w:t>
      </w:r>
      <w:proofErr w:type="spellEnd"/>
      <w:r w:rsidRPr="00E461B8">
        <w:t>–</w:t>
      </w:r>
      <w:r>
        <w:t xml:space="preserve"> </w:t>
      </w:r>
      <w:r w:rsidRPr="00E461B8">
        <w:t>MAK value documentation.</w:t>
      </w:r>
    </w:p>
    <w:p w14:paraId="4598EE1A" w14:textId="033EA8FD" w:rsidR="006D439D" w:rsidRPr="00351FE0" w:rsidRDefault="008A189A" w:rsidP="00084859">
      <w:r>
        <w:lastRenderedPageBreak/>
        <w:t xml:space="preserve">European Chemicals Agency (ECHA) (2019) </w:t>
      </w:r>
      <w:r w:rsidRPr="008A189A">
        <w:t>Ethyl Cyanoacrylate</w:t>
      </w:r>
      <w:r>
        <w:t xml:space="preserve"> – REACH assessment.</w:t>
      </w:r>
    </w:p>
    <w:sectPr w:rsidR="006D439D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1990EB" w16cid:durableId="217FD2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E561" w14:textId="77777777" w:rsidR="00FA1E7D" w:rsidRDefault="00FA1E7D" w:rsidP="00F43AD5">
      <w:pPr>
        <w:spacing w:after="0" w:line="240" w:lineRule="auto"/>
      </w:pPr>
      <w:r>
        <w:separator/>
      </w:r>
    </w:p>
  </w:endnote>
  <w:endnote w:type="continuationSeparator" w:id="0">
    <w:p w14:paraId="23ACD63C" w14:textId="77777777" w:rsidR="00FA1E7D" w:rsidRDefault="00FA1E7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1A41" w14:textId="77777777" w:rsidR="007051AD" w:rsidRDefault="00705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F6C141" w14:textId="60403358" w:rsidR="008A36CF" w:rsidRDefault="00CB2048" w:rsidP="0034744C">
        <w:pPr>
          <w:pStyle w:val="Footer"/>
          <w:rPr>
            <w:sz w:val="18"/>
            <w:szCs w:val="18"/>
          </w:rPr>
        </w:pPr>
        <w:r w:rsidRPr="00A70E26">
          <w:rPr>
            <w:b/>
            <w:sz w:val="18"/>
            <w:szCs w:val="18"/>
          </w:rPr>
          <w:t>Cyanoacrylate</w:t>
        </w:r>
        <w:r>
          <w:rPr>
            <w:b/>
            <w:sz w:val="18"/>
            <w:szCs w:val="18"/>
          </w:rPr>
          <w:t>s, -ethyl</w:t>
        </w:r>
        <w:r w:rsidR="008A36CF">
          <w:rPr>
            <w:b/>
            <w:sz w:val="18"/>
            <w:szCs w:val="18"/>
          </w:rPr>
          <w:t xml:space="preserve"> (</w:t>
        </w:r>
        <w:r w:rsidR="00A70E26" w:rsidRPr="00A70E26">
          <w:rPr>
            <w:b/>
            <w:sz w:val="18"/>
            <w:szCs w:val="18"/>
          </w:rPr>
          <w:t>7085-85-0</w:t>
        </w:r>
        <w:r w:rsidR="008A36CF">
          <w:rPr>
            <w:b/>
            <w:sz w:val="18"/>
            <w:szCs w:val="18"/>
          </w:rPr>
          <w:t>)</w:t>
        </w:r>
        <w:r>
          <w:rPr>
            <w:b/>
            <w:sz w:val="18"/>
            <w:szCs w:val="18"/>
          </w:rPr>
          <w:t>, -methyl</w:t>
        </w:r>
        <w:r w:rsidR="006D0991">
          <w:rPr>
            <w:b/>
            <w:sz w:val="18"/>
            <w:szCs w:val="18"/>
          </w:rPr>
          <w:t xml:space="preserve"> (137-05-3</w:t>
        </w:r>
        <w:proofErr w:type="gramStart"/>
        <w:r w:rsidR="006D0991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060A132" w14:textId="2A5C4CD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965CC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75C8" w14:textId="77777777" w:rsidR="007051AD" w:rsidRDefault="0070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6CA1" w14:textId="77777777" w:rsidR="00FA1E7D" w:rsidRDefault="00FA1E7D" w:rsidP="00F43AD5">
      <w:pPr>
        <w:spacing w:after="0" w:line="240" w:lineRule="auto"/>
      </w:pPr>
      <w:r>
        <w:separator/>
      </w:r>
    </w:p>
  </w:footnote>
  <w:footnote w:type="continuationSeparator" w:id="0">
    <w:p w14:paraId="3E59E0F1" w14:textId="77777777" w:rsidR="00FA1E7D" w:rsidRDefault="00FA1E7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6D68" w14:textId="22575EA1" w:rsidR="007051AD" w:rsidRDefault="007965CC">
    <w:pPr>
      <w:pStyle w:val="Header"/>
    </w:pPr>
    <w:r>
      <w:rPr>
        <w:noProof/>
      </w:rPr>
      <w:pict w14:anchorId="77A57A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916047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1D80" w14:textId="5F0DAB19" w:rsidR="008A36CF" w:rsidRDefault="007965CC" w:rsidP="00F43AD5">
    <w:pPr>
      <w:pStyle w:val="Header"/>
      <w:jc w:val="right"/>
    </w:pPr>
    <w:r>
      <w:rPr>
        <w:noProof/>
      </w:rPr>
      <w:pict w14:anchorId="15D31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916048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8644" w14:textId="22EEEC22" w:rsidR="007051AD" w:rsidRDefault="007965CC">
    <w:pPr>
      <w:pStyle w:val="Header"/>
    </w:pPr>
    <w:r>
      <w:rPr>
        <w:noProof/>
      </w:rPr>
      <w:pict w14:anchorId="513615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916046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5C7D" w14:textId="0E45490E" w:rsidR="007965CC" w:rsidRDefault="007965CC">
    <w:pPr>
      <w:pStyle w:val="Header"/>
    </w:pPr>
    <w:r>
      <w:rPr>
        <w:noProof/>
      </w:rPr>
      <w:pict w14:anchorId="18F51C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916050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E401" w14:textId="7042B66B" w:rsidR="008A36CF" w:rsidRDefault="007965CC" w:rsidP="00F43AD5">
    <w:pPr>
      <w:pStyle w:val="Header"/>
      <w:jc w:val="right"/>
    </w:pPr>
    <w:r>
      <w:rPr>
        <w:noProof/>
      </w:rPr>
      <w:pict w14:anchorId="0469F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916051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22D0" w14:textId="0BA1CEC8" w:rsidR="007965CC" w:rsidRDefault="007965CC">
    <w:pPr>
      <w:pStyle w:val="Header"/>
    </w:pPr>
    <w:r>
      <w:rPr>
        <w:noProof/>
      </w:rPr>
      <w:pict w14:anchorId="5D1F0F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916049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4A2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D7D3C"/>
    <w:multiLevelType w:val="hybridMultilevel"/>
    <w:tmpl w:val="66D4464E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34EC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55E8"/>
    <w:rsid w:val="000E5A54"/>
    <w:rsid w:val="000E63D3"/>
    <w:rsid w:val="000E67CF"/>
    <w:rsid w:val="0010461E"/>
    <w:rsid w:val="001054DB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A57F1"/>
    <w:rsid w:val="001B79E5"/>
    <w:rsid w:val="001C14E0"/>
    <w:rsid w:val="001D468A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51DD"/>
    <w:rsid w:val="0025734A"/>
    <w:rsid w:val="00263255"/>
    <w:rsid w:val="00276494"/>
    <w:rsid w:val="00277B0C"/>
    <w:rsid w:val="002A2D08"/>
    <w:rsid w:val="002B1A2C"/>
    <w:rsid w:val="002C34F2"/>
    <w:rsid w:val="002C58FF"/>
    <w:rsid w:val="002C7AFE"/>
    <w:rsid w:val="002D043A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D3D"/>
    <w:rsid w:val="00351FE0"/>
    <w:rsid w:val="00352615"/>
    <w:rsid w:val="0035412B"/>
    <w:rsid w:val="003556BC"/>
    <w:rsid w:val="003567A8"/>
    <w:rsid w:val="00362895"/>
    <w:rsid w:val="00370DBF"/>
    <w:rsid w:val="00386093"/>
    <w:rsid w:val="003904A4"/>
    <w:rsid w:val="00391841"/>
    <w:rsid w:val="00391B6D"/>
    <w:rsid w:val="00394296"/>
    <w:rsid w:val="00394922"/>
    <w:rsid w:val="003A0E32"/>
    <w:rsid w:val="003A2B94"/>
    <w:rsid w:val="003B387D"/>
    <w:rsid w:val="003C0D58"/>
    <w:rsid w:val="003D18BB"/>
    <w:rsid w:val="003D4FA3"/>
    <w:rsid w:val="003E0611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7743"/>
    <w:rsid w:val="004414B5"/>
    <w:rsid w:val="004438C4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2059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5505"/>
    <w:rsid w:val="005E6979"/>
    <w:rsid w:val="005E75CB"/>
    <w:rsid w:val="005F65D9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7D2"/>
    <w:rsid w:val="00690B53"/>
    <w:rsid w:val="00695B72"/>
    <w:rsid w:val="006B160A"/>
    <w:rsid w:val="006B4E6C"/>
    <w:rsid w:val="006B50B6"/>
    <w:rsid w:val="006D0991"/>
    <w:rsid w:val="006D439D"/>
    <w:rsid w:val="006D79EA"/>
    <w:rsid w:val="006E5386"/>
    <w:rsid w:val="006E5D05"/>
    <w:rsid w:val="00701053"/>
    <w:rsid w:val="00701507"/>
    <w:rsid w:val="007051AD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5CC"/>
    <w:rsid w:val="00796708"/>
    <w:rsid w:val="007A3FCD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7780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189A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684C"/>
    <w:rsid w:val="0093041A"/>
    <w:rsid w:val="00930714"/>
    <w:rsid w:val="00931B03"/>
    <w:rsid w:val="009323B9"/>
    <w:rsid w:val="00932DCE"/>
    <w:rsid w:val="0093327E"/>
    <w:rsid w:val="00934028"/>
    <w:rsid w:val="00936590"/>
    <w:rsid w:val="0093760E"/>
    <w:rsid w:val="009428D1"/>
    <w:rsid w:val="00946044"/>
    <w:rsid w:val="0094660B"/>
    <w:rsid w:val="00946A33"/>
    <w:rsid w:val="0095260E"/>
    <w:rsid w:val="009578DD"/>
    <w:rsid w:val="0096060A"/>
    <w:rsid w:val="00961124"/>
    <w:rsid w:val="009621B6"/>
    <w:rsid w:val="00974F2D"/>
    <w:rsid w:val="00977524"/>
    <w:rsid w:val="00977E88"/>
    <w:rsid w:val="00980086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0E26"/>
    <w:rsid w:val="00A71EC3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0288"/>
    <w:rsid w:val="00B71188"/>
    <w:rsid w:val="00B76A41"/>
    <w:rsid w:val="00B87D4C"/>
    <w:rsid w:val="00B93646"/>
    <w:rsid w:val="00BA0B38"/>
    <w:rsid w:val="00BA1DBB"/>
    <w:rsid w:val="00BA4510"/>
    <w:rsid w:val="00BA529A"/>
    <w:rsid w:val="00BA590C"/>
    <w:rsid w:val="00BB612A"/>
    <w:rsid w:val="00BD499F"/>
    <w:rsid w:val="00BD56DE"/>
    <w:rsid w:val="00BF2406"/>
    <w:rsid w:val="00C06E43"/>
    <w:rsid w:val="00C142A0"/>
    <w:rsid w:val="00C14C00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58F"/>
    <w:rsid w:val="00C850A0"/>
    <w:rsid w:val="00C85A86"/>
    <w:rsid w:val="00C978F0"/>
    <w:rsid w:val="00CA58FE"/>
    <w:rsid w:val="00CA6FA8"/>
    <w:rsid w:val="00CB1CB1"/>
    <w:rsid w:val="00CB2048"/>
    <w:rsid w:val="00CB6BC1"/>
    <w:rsid w:val="00CB6CB8"/>
    <w:rsid w:val="00CC1A68"/>
    <w:rsid w:val="00CC2123"/>
    <w:rsid w:val="00CC3491"/>
    <w:rsid w:val="00CD2BFD"/>
    <w:rsid w:val="00CE429B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227F"/>
    <w:rsid w:val="00D72954"/>
    <w:rsid w:val="00D74D80"/>
    <w:rsid w:val="00D76624"/>
    <w:rsid w:val="00D76FB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5217"/>
    <w:rsid w:val="00ED1D89"/>
    <w:rsid w:val="00ED66BC"/>
    <w:rsid w:val="00EE5FE6"/>
    <w:rsid w:val="00EF233A"/>
    <w:rsid w:val="00EF303E"/>
    <w:rsid w:val="00EF3A40"/>
    <w:rsid w:val="00EF7F78"/>
    <w:rsid w:val="00F0094B"/>
    <w:rsid w:val="00F01133"/>
    <w:rsid w:val="00F01B08"/>
    <w:rsid w:val="00F01C4D"/>
    <w:rsid w:val="00F053FA"/>
    <w:rsid w:val="00F10C97"/>
    <w:rsid w:val="00F11C71"/>
    <w:rsid w:val="00F15338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1E7D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A590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05"/>
    <w:rPr>
      <w:b/>
      <w:bCs/>
      <w:szCs w:val="20"/>
    </w:rPr>
  </w:style>
  <w:style w:type="paragraph" w:styleId="Revision">
    <w:name w:val="Revision"/>
    <w:hidden/>
    <w:uiPriority w:val="99"/>
    <w:semiHidden/>
    <w:rsid w:val="00D72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4298E56150049BA953B30AAB8B4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A5C3-2AFD-4968-87DB-6BDE3A3D1F91}"/>
      </w:docPartPr>
      <w:docPartBody>
        <w:p w:rsidR="00D664F7" w:rsidRDefault="00A43B1B" w:rsidP="00A43B1B">
          <w:pPr>
            <w:pStyle w:val="14298E56150049BA953B30AAB8B451C5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805AFDCE8544CEB88809064F7CB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B3FC-195D-4A86-9DEB-2A6AF20992B4}"/>
      </w:docPartPr>
      <w:docPartBody>
        <w:p w:rsidR="00D664F7" w:rsidRDefault="00A43B1B" w:rsidP="00A43B1B">
          <w:pPr>
            <w:pStyle w:val="1805AFDCE8544CEB88809064F7CBD12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3AA79743DB74B739E203DF07CAC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0BE1-FFF0-4307-9610-0C4CC06F0779}"/>
      </w:docPartPr>
      <w:docPartBody>
        <w:p w:rsidR="009739A1" w:rsidRDefault="00042BB8" w:rsidP="00042BB8">
          <w:pPr>
            <w:pStyle w:val="63AA79743DB74B739E203DF07CACC8C5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B253A8F838C84173A432FE930C3D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0C9B-4B50-4DBB-866A-04C278204EF3}"/>
      </w:docPartPr>
      <w:docPartBody>
        <w:p w:rsidR="009739A1" w:rsidRDefault="00042BB8" w:rsidP="00042BB8">
          <w:pPr>
            <w:pStyle w:val="B253A8F838C84173A432FE930C3D2AB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42BB8"/>
    <w:rsid w:val="004B2354"/>
    <w:rsid w:val="007B6958"/>
    <w:rsid w:val="009739A1"/>
    <w:rsid w:val="00A43B1B"/>
    <w:rsid w:val="00D21A9F"/>
    <w:rsid w:val="00D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BB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A49866B99324B2BB6C0DF3B6EB31D63">
    <w:name w:val="FA49866B99324B2BB6C0DF3B6EB31D63"/>
    <w:rsid w:val="007B6958"/>
  </w:style>
  <w:style w:type="paragraph" w:customStyle="1" w:styleId="BE7A021B05D84BE287029CD188FE6F69">
    <w:name w:val="BE7A021B05D84BE287029CD188FE6F69"/>
    <w:rsid w:val="007B6958"/>
  </w:style>
  <w:style w:type="paragraph" w:customStyle="1" w:styleId="14298E56150049BA953B30AAB8B451C5">
    <w:name w:val="14298E56150049BA953B30AAB8B451C5"/>
    <w:rsid w:val="00A43B1B"/>
  </w:style>
  <w:style w:type="paragraph" w:customStyle="1" w:styleId="1805AFDCE8544CEB88809064F7CBD12F">
    <w:name w:val="1805AFDCE8544CEB88809064F7CBD12F"/>
    <w:rsid w:val="00A43B1B"/>
  </w:style>
  <w:style w:type="paragraph" w:customStyle="1" w:styleId="D64250101BAF415D846C18EA3A2D793B">
    <w:name w:val="D64250101BAF415D846C18EA3A2D793B"/>
    <w:rsid w:val="00A43B1B"/>
  </w:style>
  <w:style w:type="paragraph" w:customStyle="1" w:styleId="3B361B89382F458CA1CB7ED9F18A0435">
    <w:name w:val="3B361B89382F458CA1CB7ED9F18A0435"/>
    <w:rsid w:val="00042BB8"/>
  </w:style>
  <w:style w:type="paragraph" w:customStyle="1" w:styleId="63AA79743DB74B739E203DF07CACC8C5">
    <w:name w:val="63AA79743DB74B739E203DF07CACC8C5"/>
    <w:rsid w:val="00042BB8"/>
  </w:style>
  <w:style w:type="paragraph" w:customStyle="1" w:styleId="FE17D3975D4240F6A9584B15E8821323">
    <w:name w:val="FE17D3975D4240F6A9584B15E8821323"/>
    <w:rsid w:val="00042BB8"/>
  </w:style>
  <w:style w:type="paragraph" w:customStyle="1" w:styleId="B253A8F838C84173A432FE930C3D2AB7">
    <w:name w:val="B253A8F838C84173A432FE930C3D2AB7"/>
    <w:rsid w:val="00042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68BB-81FE-4B66-B891-BB2C8FD05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7FFDB-E32D-452D-8F4B-4A67BF68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184D4-0701-4773-BB6B-832C7E1EB5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075E8D-C0AB-4762-BE09-C2DBC7E8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6455</Characters>
  <Application>Microsoft Office Word</Application>
  <DocSecurity>0</DocSecurity>
  <Lines>201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2019-11-06T05:58:00Z</dcterms:created>
  <dcterms:modified xsi:type="dcterms:W3CDTF">2019-11-21T21:51:00Z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