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A5D3218" w14:textId="6E47FF7C" w:rsidR="00BD499F" w:rsidRPr="004C23F4" w:rsidRDefault="001C159F" w:rsidP="00B40C60">
          <w:pPr>
            <w:pStyle w:val="Heading1"/>
            <w:jc w:val="center"/>
            <w:rPr>
              <w:rFonts w:ascii="Arial" w:hAnsi="Arial" w:cs="Arial"/>
            </w:rPr>
          </w:pPr>
          <w:r w:rsidRPr="001C159F">
            <w:rPr>
              <w:rFonts w:ascii="Arial" w:hAnsi="Arial" w:cs="Arial"/>
            </w:rPr>
            <w:t>Ethyl mercaptan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8"/>
        <w:gridCol w:w="5038"/>
      </w:tblGrid>
      <w:tr w:rsidR="00F43AD5" w:rsidRPr="004C23F4" w14:paraId="6A5B3CB3" w14:textId="77777777" w:rsidTr="00B76A41">
        <w:trPr>
          <w:cantSplit/>
          <w:tblHeader/>
        </w:trPr>
        <w:tc>
          <w:tcPr>
            <w:tcW w:w="4077" w:type="dxa"/>
          </w:tcPr>
          <w:p w14:paraId="6457B090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31D693E" w14:textId="4966365E" w:rsidR="00F43AD5" w:rsidRPr="00717D45" w:rsidRDefault="004A52C9" w:rsidP="00B76A41">
            <w:pPr>
              <w:pStyle w:val="Tablefont"/>
            </w:pPr>
            <w:r w:rsidRPr="004A52C9">
              <w:t>75-08-1</w:t>
            </w:r>
          </w:p>
        </w:tc>
      </w:tr>
      <w:tr w:rsidR="00F43AD5" w:rsidRPr="004C23F4" w14:paraId="618C6026" w14:textId="77777777" w:rsidTr="00B76A41">
        <w:trPr>
          <w:cantSplit/>
        </w:trPr>
        <w:tc>
          <w:tcPr>
            <w:tcW w:w="4077" w:type="dxa"/>
          </w:tcPr>
          <w:p w14:paraId="49347C5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7D91E85E" w14:textId="232E2179" w:rsidR="00F43AD5" w:rsidRPr="00717D45" w:rsidRDefault="0021207E" w:rsidP="00B76A41">
            <w:pPr>
              <w:pStyle w:val="Tablefont"/>
            </w:pPr>
            <w:proofErr w:type="spellStart"/>
            <w:r>
              <w:t>Ethanethiol</w:t>
            </w:r>
            <w:proofErr w:type="spellEnd"/>
          </w:p>
        </w:tc>
      </w:tr>
      <w:tr w:rsidR="00F43AD5" w:rsidRPr="004C23F4" w14:paraId="213D521E" w14:textId="77777777" w:rsidTr="00B76A41">
        <w:trPr>
          <w:cantSplit/>
        </w:trPr>
        <w:tc>
          <w:tcPr>
            <w:tcW w:w="4077" w:type="dxa"/>
          </w:tcPr>
          <w:p w14:paraId="61517156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C75E0CA" w14:textId="7A435C61" w:rsidR="00F43AD5" w:rsidRPr="00717D45" w:rsidRDefault="0021207E" w:rsidP="00B76A41">
            <w:pPr>
              <w:pStyle w:val="Tablefont"/>
            </w:pPr>
            <w:r>
              <w:t>C</w:t>
            </w:r>
            <w:r w:rsidRPr="0021207E">
              <w:rPr>
                <w:vertAlign w:val="subscript"/>
              </w:rPr>
              <w:t>2</w:t>
            </w:r>
            <w:r>
              <w:t>H</w:t>
            </w:r>
            <w:r w:rsidRPr="0021207E">
              <w:rPr>
                <w:vertAlign w:val="subscript"/>
              </w:rPr>
              <w:t>6</w:t>
            </w:r>
            <w:r>
              <w:t>S</w:t>
            </w:r>
          </w:p>
        </w:tc>
      </w:tr>
      <w:tr w:rsidR="00F43AD5" w:rsidRPr="004C23F4" w14:paraId="4E4BA5A6" w14:textId="77777777" w:rsidTr="00B76A41">
        <w:trPr>
          <w:cantSplit/>
        </w:trPr>
        <w:tc>
          <w:tcPr>
            <w:tcW w:w="4077" w:type="dxa"/>
          </w:tcPr>
          <w:p w14:paraId="48840D3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0CFC8374" w14:textId="160045D4" w:rsidR="00F43AD5" w:rsidRPr="00A22D2F" w:rsidRDefault="0021207E" w:rsidP="00B76A41">
            <w:pPr>
              <w:pStyle w:val="Tablerowheading"/>
              <w:rPr>
                <w:b w:val="0"/>
              </w:rPr>
            </w:pPr>
            <w:r w:rsidRPr="000B1264">
              <w:rPr>
                <w:b w:val="0"/>
              </w:rPr>
              <w:t>—</w:t>
            </w:r>
          </w:p>
        </w:tc>
      </w:tr>
    </w:tbl>
    <w:p w14:paraId="471EA719" w14:textId="6B043460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335A6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48E19073" w14:textId="77777777" w:rsidTr="000B1264">
        <w:trPr>
          <w:cantSplit/>
          <w:tblHeader/>
        </w:trPr>
        <w:tc>
          <w:tcPr>
            <w:tcW w:w="4005" w:type="dxa"/>
            <w:vAlign w:val="center"/>
          </w:tcPr>
          <w:p w14:paraId="7DFD4318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7803E7D3" w14:textId="0DD8F9D8" w:rsidR="002C7AFE" w:rsidRPr="008335A6" w:rsidRDefault="008335A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0.5 ppm (1.3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6A4B009C" w14:textId="77777777" w:rsidTr="000B1264">
        <w:trPr>
          <w:cantSplit/>
        </w:trPr>
        <w:tc>
          <w:tcPr>
            <w:tcW w:w="4005" w:type="dxa"/>
            <w:vAlign w:val="center"/>
          </w:tcPr>
          <w:p w14:paraId="106F5CEE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1B4CBF13" w14:textId="7D864A1D" w:rsidR="002C7AFE" w:rsidRPr="00EB3D1B" w:rsidRDefault="008335A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42ABF22" w14:textId="77777777" w:rsidTr="000B1264">
        <w:trPr>
          <w:cantSplit/>
        </w:trPr>
        <w:tc>
          <w:tcPr>
            <w:tcW w:w="4005" w:type="dxa"/>
            <w:vAlign w:val="center"/>
          </w:tcPr>
          <w:p w14:paraId="5A63502A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2F073FE3" w14:textId="4B3595A6" w:rsidR="002C7AFE" w:rsidRPr="00EB3D1B" w:rsidRDefault="008335A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DACDC3F" w14:textId="77777777" w:rsidTr="000B1264">
        <w:trPr>
          <w:cantSplit/>
        </w:trPr>
        <w:tc>
          <w:tcPr>
            <w:tcW w:w="4005" w:type="dxa"/>
          </w:tcPr>
          <w:p w14:paraId="36F342C2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2D54EA4A" w14:textId="7A76FF63" w:rsidR="002C7AFE" w:rsidRPr="00EB3D1B" w:rsidRDefault="008335A6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53B8462" w14:textId="77777777" w:rsidTr="000B1264">
        <w:trPr>
          <w:cantSplit/>
        </w:trPr>
        <w:tc>
          <w:tcPr>
            <w:tcW w:w="4005" w:type="dxa"/>
            <w:vAlign w:val="center"/>
          </w:tcPr>
          <w:p w14:paraId="5B8A1BAD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5C549DED" w14:textId="7DEA8D94" w:rsidR="002C7AFE" w:rsidRPr="00EB3D1B" w:rsidRDefault="0021207E" w:rsidP="00017C82">
            <w:pPr>
              <w:pStyle w:val="Tablefont"/>
              <w:rPr>
                <w:b/>
              </w:rPr>
            </w:pPr>
            <w:r w:rsidRPr="0021207E">
              <w:rPr>
                <w:b/>
              </w:rPr>
              <w:t>500 ppm</w:t>
            </w:r>
          </w:p>
        </w:tc>
      </w:tr>
      <w:tr w:rsidR="000B1264" w:rsidRPr="004C23F4" w14:paraId="70B8DDF9" w14:textId="77777777" w:rsidTr="00C371F8">
        <w:trPr>
          <w:cantSplit/>
        </w:trPr>
        <w:tc>
          <w:tcPr>
            <w:tcW w:w="9026" w:type="dxa"/>
            <w:gridSpan w:val="2"/>
            <w:vAlign w:val="center"/>
          </w:tcPr>
          <w:p w14:paraId="43A01E58" w14:textId="765ACACC" w:rsidR="000B1264" w:rsidRPr="00EB3D1B" w:rsidRDefault="000B1264" w:rsidP="000B1264">
            <w:pPr>
              <w:pStyle w:val="Tablefont"/>
              <w:rPr>
                <w:b/>
              </w:rPr>
            </w:pPr>
            <w:r w:rsidRPr="007E44DD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F0209DCCEE9C48B481ED68DDD32DA2D4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7E44DD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7F2888A6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10F376C" w14:textId="0324ED1B" w:rsidR="006639B4" w:rsidRPr="004C23F4" w:rsidRDefault="00FA4E60" w:rsidP="000C139A">
      <w:pPr>
        <w:rPr>
          <w:rFonts w:cs="Arial"/>
        </w:rPr>
      </w:pPr>
      <w:r>
        <w:rPr>
          <w:rFonts w:cs="Arial"/>
        </w:rPr>
        <w:t xml:space="preserve">A </w:t>
      </w:r>
      <w:r w:rsidR="008335A6" w:rsidRPr="008335A6">
        <w:rPr>
          <w:rFonts w:cs="Arial"/>
        </w:rPr>
        <w:t xml:space="preserve">TWA of </w:t>
      </w:r>
      <w:r w:rsidR="008335A6">
        <w:rPr>
          <w:rFonts w:cs="Arial"/>
        </w:rPr>
        <w:t>0.5</w:t>
      </w:r>
      <w:r w:rsidR="008335A6" w:rsidRPr="008335A6">
        <w:rPr>
          <w:rFonts w:cs="Arial"/>
        </w:rPr>
        <w:t xml:space="preserve"> ppm (</w:t>
      </w:r>
      <w:r w:rsidR="008335A6">
        <w:rPr>
          <w:rFonts w:cs="Arial"/>
        </w:rPr>
        <w:t>1.3</w:t>
      </w:r>
      <w:r w:rsidR="008335A6" w:rsidRPr="008335A6">
        <w:rPr>
          <w:rFonts w:cs="Arial"/>
        </w:rPr>
        <w:t xml:space="preserve"> mg/m</w:t>
      </w:r>
      <w:r w:rsidR="008335A6">
        <w:rPr>
          <w:rFonts w:cs="Arial"/>
          <w:vertAlign w:val="superscript"/>
        </w:rPr>
        <w:t>3</w:t>
      </w:r>
      <w:r w:rsidR="008335A6" w:rsidRPr="008335A6">
        <w:rPr>
          <w:rFonts w:cs="Arial"/>
        </w:rPr>
        <w:t xml:space="preserve">) is </w:t>
      </w:r>
      <w:r w:rsidR="001C5BCC">
        <w:rPr>
          <w:rFonts w:cs="Arial"/>
        </w:rPr>
        <w:t>recommended</w:t>
      </w:r>
      <w:r w:rsidR="008335A6">
        <w:rPr>
          <w:rFonts w:cs="Arial"/>
        </w:rPr>
        <w:t xml:space="preserve"> </w:t>
      </w:r>
      <w:r w:rsidR="008335A6" w:rsidRPr="008335A6">
        <w:rPr>
          <w:rFonts w:cs="Arial"/>
        </w:rPr>
        <w:t xml:space="preserve">to protect for </w:t>
      </w:r>
      <w:r w:rsidR="003D75D5" w:rsidRPr="003D75D5">
        <w:rPr>
          <w:rFonts w:cs="Arial"/>
        </w:rPr>
        <w:t xml:space="preserve">irritation to the mucous membranes and </w:t>
      </w:r>
      <w:r w:rsidR="00C40C77">
        <w:rPr>
          <w:rFonts w:cs="Arial"/>
        </w:rPr>
        <w:t xml:space="preserve">effects to the </w:t>
      </w:r>
      <w:r w:rsidR="003D75D5" w:rsidRPr="003D75D5">
        <w:rPr>
          <w:rFonts w:cs="Arial"/>
        </w:rPr>
        <w:t xml:space="preserve">central nervous </w:t>
      </w:r>
      <w:r w:rsidR="00C40C77">
        <w:rPr>
          <w:rFonts w:cs="Arial"/>
        </w:rPr>
        <w:t>system (CNS)</w:t>
      </w:r>
      <w:r w:rsidR="008335A6">
        <w:rPr>
          <w:rFonts w:cs="Arial"/>
        </w:rPr>
        <w:t xml:space="preserve"> in exposed workers.</w:t>
      </w:r>
    </w:p>
    <w:p w14:paraId="4FCE1276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FEFE7DD" w14:textId="56B5AE3F" w:rsidR="008335A6" w:rsidRDefault="00BC4CBD" w:rsidP="006639B4">
      <w:pPr>
        <w:rPr>
          <w:rFonts w:cs="Arial"/>
        </w:rPr>
      </w:pPr>
      <w:r>
        <w:rPr>
          <w:rFonts w:cs="Arial"/>
        </w:rPr>
        <w:t xml:space="preserve">Ethyl </w:t>
      </w:r>
      <w:proofErr w:type="spellStart"/>
      <w:r>
        <w:rPr>
          <w:rFonts w:cs="Arial"/>
        </w:rPr>
        <w:t>mercaptan</w:t>
      </w:r>
      <w:proofErr w:type="spellEnd"/>
      <w:r>
        <w:rPr>
          <w:rFonts w:cs="Arial"/>
        </w:rPr>
        <w:t xml:space="preserve"> is used in the production of plastics, insecticides,</w:t>
      </w:r>
      <w:bookmarkStart w:id="0" w:name="_GoBack"/>
      <w:bookmarkEnd w:id="0"/>
      <w:r>
        <w:rPr>
          <w:rFonts w:cs="Arial"/>
        </w:rPr>
        <w:t xml:space="preserve"> antioxidants and as an </w:t>
      </w:r>
      <w:proofErr w:type="spellStart"/>
      <w:r>
        <w:rPr>
          <w:rFonts w:cs="Arial"/>
        </w:rPr>
        <w:t>odourant</w:t>
      </w:r>
      <w:proofErr w:type="spellEnd"/>
      <w:r>
        <w:rPr>
          <w:rFonts w:cs="Arial"/>
        </w:rPr>
        <w:t xml:space="preserve"> in natural gas supplies.</w:t>
      </w:r>
      <w:r w:rsidR="003D75D5">
        <w:rPr>
          <w:rFonts w:cs="Arial"/>
        </w:rPr>
        <w:t xml:space="preserve"> </w:t>
      </w:r>
      <w:r w:rsidR="00A364F1">
        <w:rPr>
          <w:rFonts w:cs="Arial"/>
        </w:rPr>
        <w:t>Adverse</w:t>
      </w:r>
      <w:r w:rsidR="003D75D5">
        <w:rPr>
          <w:rFonts w:cs="Arial"/>
        </w:rPr>
        <w:t xml:space="preserve"> effects </w:t>
      </w:r>
      <w:r w:rsidR="001C5BCC">
        <w:rPr>
          <w:rFonts w:cs="Arial"/>
        </w:rPr>
        <w:t xml:space="preserve">include </w:t>
      </w:r>
      <w:r w:rsidR="007256A4">
        <w:rPr>
          <w:rFonts w:cs="Arial"/>
        </w:rPr>
        <w:t xml:space="preserve">irritation of mucous membranes and, at higher concentrations, </w:t>
      </w:r>
      <w:r w:rsidR="007256A4" w:rsidRPr="007256A4">
        <w:rPr>
          <w:rFonts w:cs="Arial"/>
        </w:rPr>
        <w:t>fatigue,</w:t>
      </w:r>
      <w:r w:rsidR="007256A4">
        <w:rPr>
          <w:rFonts w:cs="Arial"/>
        </w:rPr>
        <w:t xml:space="preserve"> </w:t>
      </w:r>
      <w:r w:rsidR="007256A4" w:rsidRPr="007256A4">
        <w:rPr>
          <w:rFonts w:cs="Arial"/>
        </w:rPr>
        <w:t>nausea and headaches</w:t>
      </w:r>
      <w:r w:rsidR="007256A4">
        <w:rPr>
          <w:rFonts w:cs="Arial"/>
        </w:rPr>
        <w:t>.</w:t>
      </w:r>
    </w:p>
    <w:p w14:paraId="6F45DD91" w14:textId="69EB04AD" w:rsidR="00CC054A" w:rsidRDefault="00CC054A" w:rsidP="006639B4">
      <w:pPr>
        <w:rPr>
          <w:rFonts w:cs="Arial"/>
        </w:rPr>
      </w:pPr>
      <w:r>
        <w:rPr>
          <w:rFonts w:cs="Arial"/>
        </w:rPr>
        <w:t>A</w:t>
      </w:r>
      <w:r w:rsidRPr="00170DA0">
        <w:rPr>
          <w:rFonts w:cs="Arial"/>
        </w:rPr>
        <w:t xml:space="preserve"> </w:t>
      </w:r>
      <w:r w:rsidR="00A364F1" w:rsidRPr="00170DA0">
        <w:rPr>
          <w:rFonts w:cs="Arial"/>
        </w:rPr>
        <w:t>NOAE</w:t>
      </w:r>
      <w:r w:rsidR="00A364F1">
        <w:rPr>
          <w:rFonts w:cs="Arial"/>
        </w:rPr>
        <w:t>C</w:t>
      </w:r>
      <w:r w:rsidR="00A364F1" w:rsidRPr="00170DA0">
        <w:rPr>
          <w:rFonts w:cs="Arial"/>
        </w:rPr>
        <w:t xml:space="preserve"> </w:t>
      </w:r>
      <w:r w:rsidRPr="00170DA0">
        <w:rPr>
          <w:rFonts w:cs="Arial"/>
        </w:rPr>
        <w:t xml:space="preserve">of 0.5 ppm </w:t>
      </w:r>
      <w:r w:rsidR="00A364F1">
        <w:rPr>
          <w:rFonts w:cs="Arial"/>
        </w:rPr>
        <w:t xml:space="preserve">and </w:t>
      </w:r>
      <w:r w:rsidR="00A364F1" w:rsidRPr="00170DA0">
        <w:rPr>
          <w:rFonts w:cs="Arial"/>
        </w:rPr>
        <w:t>LOAE</w:t>
      </w:r>
      <w:r w:rsidR="00A364F1">
        <w:rPr>
          <w:rFonts w:cs="Arial"/>
        </w:rPr>
        <w:t>C</w:t>
      </w:r>
      <w:r w:rsidR="00A364F1" w:rsidRPr="00170DA0">
        <w:rPr>
          <w:rFonts w:cs="Arial"/>
        </w:rPr>
        <w:t xml:space="preserve"> of 4 ppm</w:t>
      </w:r>
      <w:r w:rsidR="00A364F1">
        <w:rPr>
          <w:rFonts w:cs="Arial"/>
        </w:rPr>
        <w:t xml:space="preserve"> </w:t>
      </w:r>
      <w:r w:rsidRPr="00170DA0">
        <w:rPr>
          <w:rFonts w:cs="Arial"/>
        </w:rPr>
        <w:t xml:space="preserve">for irritation and central nervous effects </w:t>
      </w:r>
      <w:r>
        <w:rPr>
          <w:rFonts w:cs="Arial"/>
        </w:rPr>
        <w:t>is reported from</w:t>
      </w:r>
      <w:r w:rsidRPr="00170DA0">
        <w:rPr>
          <w:rFonts w:cs="Arial"/>
        </w:rPr>
        <w:t xml:space="preserve"> a volunteer repeat inhalation study</w:t>
      </w:r>
      <w:r>
        <w:rPr>
          <w:rFonts w:cs="Arial"/>
        </w:rPr>
        <w:t xml:space="preserve">.  </w:t>
      </w:r>
      <w:r w:rsidR="00A364F1">
        <w:rPr>
          <w:rFonts w:cs="Arial"/>
        </w:rPr>
        <w:t xml:space="preserve">A LOAEC </w:t>
      </w:r>
      <w:r>
        <w:rPr>
          <w:rFonts w:cs="Arial"/>
        </w:rPr>
        <w:t xml:space="preserve">of 40 ppm </w:t>
      </w:r>
      <w:r>
        <w:t>for changes in cardiovascular regulation and organ weights</w:t>
      </w:r>
      <w:r>
        <w:rPr>
          <w:rFonts w:cs="Arial"/>
        </w:rPr>
        <w:t xml:space="preserve"> </w:t>
      </w:r>
      <w:r w:rsidR="00A364F1">
        <w:rPr>
          <w:rFonts w:cs="Arial"/>
        </w:rPr>
        <w:t>was reported in r</w:t>
      </w:r>
      <w:r w:rsidR="00A364F1">
        <w:t>epeat exposure, inhalation study</w:t>
      </w:r>
      <w:r w:rsidR="00A364F1">
        <w:rPr>
          <w:rFonts w:cs="Arial"/>
        </w:rPr>
        <w:t xml:space="preserve"> in animals </w:t>
      </w:r>
      <w:r>
        <w:rPr>
          <w:rFonts w:cs="Arial"/>
        </w:rPr>
        <w:t>(ACGIH</w:t>
      </w:r>
      <w:r w:rsidR="00A364F1">
        <w:rPr>
          <w:rFonts w:cs="Arial"/>
        </w:rPr>
        <w:t>, </w:t>
      </w:r>
      <w:r>
        <w:rPr>
          <w:rFonts w:cs="Arial"/>
        </w:rPr>
        <w:t>2018)</w:t>
      </w:r>
      <w:r w:rsidRPr="00170DA0">
        <w:rPr>
          <w:rFonts w:cs="Arial"/>
        </w:rPr>
        <w:t>.</w:t>
      </w:r>
    </w:p>
    <w:p w14:paraId="5E100850" w14:textId="4C91315B" w:rsidR="008335A6" w:rsidRDefault="00170DA0" w:rsidP="006639B4">
      <w:pPr>
        <w:rPr>
          <w:rFonts w:cs="Arial"/>
        </w:rPr>
      </w:pPr>
      <w:r>
        <w:rPr>
          <w:rFonts w:cs="Arial"/>
        </w:rPr>
        <w:t xml:space="preserve">The </w:t>
      </w:r>
      <w:r w:rsidR="00CC054A">
        <w:rPr>
          <w:rFonts w:cs="Arial"/>
        </w:rPr>
        <w:t xml:space="preserve">current </w:t>
      </w:r>
      <w:r w:rsidR="008335A6">
        <w:rPr>
          <w:rFonts w:cs="Arial"/>
        </w:rPr>
        <w:t xml:space="preserve">TWA </w:t>
      </w:r>
      <w:r w:rsidR="00CC054A">
        <w:rPr>
          <w:rFonts w:cs="Arial"/>
        </w:rPr>
        <w:t xml:space="preserve">of 0.5 ppm </w:t>
      </w:r>
      <w:r w:rsidR="00A364F1">
        <w:rPr>
          <w:rFonts w:cs="Arial"/>
        </w:rPr>
        <w:t xml:space="preserve">which was adopted from ACGIH </w:t>
      </w:r>
      <w:r>
        <w:rPr>
          <w:rFonts w:cs="Arial"/>
        </w:rPr>
        <w:t>is</w:t>
      </w:r>
      <w:r w:rsidR="00CC054A">
        <w:rPr>
          <w:rFonts w:cs="Arial"/>
        </w:rPr>
        <w:t xml:space="preserve"> recommended to be retained</w:t>
      </w:r>
      <w:r>
        <w:rPr>
          <w:rFonts w:cs="Arial"/>
        </w:rPr>
        <w:t xml:space="preserve"> based on </w:t>
      </w:r>
      <w:r w:rsidR="00CC054A">
        <w:rPr>
          <w:rFonts w:cs="Arial"/>
        </w:rPr>
        <w:t>the</w:t>
      </w:r>
      <w:r w:rsidRPr="00170DA0">
        <w:rPr>
          <w:rFonts w:cs="Arial"/>
        </w:rPr>
        <w:t xml:space="preserve"> NOAEL of 0.5 ppm </w:t>
      </w:r>
      <w:r w:rsidR="00CC054A">
        <w:rPr>
          <w:rFonts w:cs="Arial"/>
        </w:rPr>
        <w:t xml:space="preserve">in </w:t>
      </w:r>
      <w:r w:rsidR="00163E6E">
        <w:rPr>
          <w:rFonts w:cs="Arial"/>
        </w:rPr>
        <w:t>volunteers</w:t>
      </w:r>
      <w:r w:rsidR="00CC054A">
        <w:rPr>
          <w:rFonts w:cs="Arial"/>
        </w:rPr>
        <w:t xml:space="preserve">. </w:t>
      </w:r>
      <w:r>
        <w:rPr>
          <w:rFonts w:cs="Arial"/>
        </w:rPr>
        <w:t>Th</w:t>
      </w:r>
      <w:r w:rsidR="00CC054A">
        <w:rPr>
          <w:rFonts w:cs="Arial"/>
        </w:rPr>
        <w:t>is</w:t>
      </w:r>
      <w:r>
        <w:rPr>
          <w:rFonts w:cs="Arial"/>
        </w:rPr>
        <w:t xml:space="preserve"> TWA is considered sufficiently low to protect for </w:t>
      </w:r>
      <w:r w:rsidR="00A364F1">
        <w:rPr>
          <w:rFonts w:cs="Arial"/>
        </w:rPr>
        <w:t xml:space="preserve">adverse </w:t>
      </w:r>
      <w:r>
        <w:rPr>
          <w:rFonts w:cs="Arial"/>
        </w:rPr>
        <w:t xml:space="preserve">effects. However, </w:t>
      </w:r>
      <w:r w:rsidR="00FA4E60">
        <w:rPr>
          <w:rFonts w:cs="Arial"/>
        </w:rPr>
        <w:t xml:space="preserve">as </w:t>
      </w:r>
      <w:r>
        <w:rPr>
          <w:rFonts w:cs="Arial"/>
        </w:rPr>
        <w:t>t</w:t>
      </w:r>
      <w:r w:rsidRPr="00170DA0">
        <w:rPr>
          <w:rFonts w:cs="Arial"/>
        </w:rPr>
        <w:t>he substance has an extremely objectionable odour and prolonged exposure at the TWA would likely cause nuisance</w:t>
      </w:r>
      <w:r w:rsidR="00FA4E60">
        <w:rPr>
          <w:rFonts w:cs="Arial"/>
        </w:rPr>
        <w:t>,</w:t>
      </w:r>
      <w:r w:rsidRPr="00170DA0">
        <w:rPr>
          <w:rFonts w:cs="Arial"/>
        </w:rPr>
        <w:t xml:space="preserve"> it is recommended that efforts be made to reduce exposure </w:t>
      </w:r>
      <w:r>
        <w:rPr>
          <w:rFonts w:cs="Arial"/>
        </w:rPr>
        <w:t>as much as possible. The current dataset is i</w:t>
      </w:r>
      <w:r w:rsidR="008335A6">
        <w:rPr>
          <w:rFonts w:cs="Arial"/>
        </w:rPr>
        <w:t xml:space="preserve">nsufficient </w:t>
      </w:r>
      <w:r>
        <w:rPr>
          <w:rFonts w:cs="Arial"/>
        </w:rPr>
        <w:t>t</w:t>
      </w:r>
      <w:r w:rsidR="008335A6">
        <w:rPr>
          <w:rFonts w:cs="Arial"/>
        </w:rPr>
        <w:t xml:space="preserve">o </w:t>
      </w:r>
      <w:r>
        <w:rPr>
          <w:rFonts w:cs="Arial"/>
        </w:rPr>
        <w:t>evaluate</w:t>
      </w:r>
      <w:r w:rsidR="008335A6">
        <w:rPr>
          <w:rFonts w:cs="Arial"/>
        </w:rPr>
        <w:t xml:space="preserve"> mutagenic </w:t>
      </w:r>
      <w:r w:rsidR="007256A4">
        <w:rPr>
          <w:rFonts w:cs="Arial"/>
        </w:rPr>
        <w:t xml:space="preserve">or carcinogenic </w:t>
      </w:r>
      <w:r w:rsidR="008335A6">
        <w:rPr>
          <w:rFonts w:cs="Arial"/>
        </w:rPr>
        <w:t>activity</w:t>
      </w:r>
      <w:r w:rsidR="007256A4">
        <w:rPr>
          <w:rFonts w:cs="Arial"/>
        </w:rPr>
        <w:t xml:space="preserve"> (</w:t>
      </w:r>
      <w:r w:rsidR="005D3AE0">
        <w:rPr>
          <w:rFonts w:cs="Arial"/>
        </w:rPr>
        <w:t xml:space="preserve">HCTON, 2004; </w:t>
      </w:r>
      <w:r>
        <w:rPr>
          <w:rFonts w:cs="Arial"/>
        </w:rPr>
        <w:t xml:space="preserve">DFG, 2000; </w:t>
      </w:r>
      <w:r w:rsidR="007256A4">
        <w:rPr>
          <w:rFonts w:cs="Arial"/>
        </w:rPr>
        <w:t>OECD, 2010)</w:t>
      </w:r>
      <w:r w:rsidR="008335A6">
        <w:rPr>
          <w:rFonts w:cs="Arial"/>
        </w:rPr>
        <w:t>.</w:t>
      </w:r>
      <w:r>
        <w:rPr>
          <w:rFonts w:cs="Arial"/>
        </w:rPr>
        <w:t xml:space="preserve"> </w:t>
      </w:r>
    </w:p>
    <w:p w14:paraId="359431C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7CED6C09" w14:textId="1B0A1E55" w:rsidR="0021207E" w:rsidRPr="00A70823" w:rsidRDefault="0021207E" w:rsidP="0021207E">
      <w:pPr>
        <w:rPr>
          <w:rFonts w:cs="Arial"/>
        </w:rPr>
      </w:pPr>
      <w:r w:rsidRPr="00A70823">
        <w:rPr>
          <w:rFonts w:cs="Arial"/>
        </w:rPr>
        <w:t>Not classified as a carcinogen according to the Globally Harmonized System of Classification and Labelling o</w:t>
      </w:r>
      <w:r w:rsidR="000B1264">
        <w:rPr>
          <w:rFonts w:cs="Arial"/>
        </w:rPr>
        <w:t>f</w:t>
      </w:r>
      <w:r w:rsidRPr="00A70823">
        <w:rPr>
          <w:rFonts w:cs="Arial"/>
        </w:rPr>
        <w:t xml:space="preserve"> Chemicals (GHS). </w:t>
      </w:r>
    </w:p>
    <w:p w14:paraId="3B56867D" w14:textId="35A81A77" w:rsidR="0021207E" w:rsidRPr="00A70823" w:rsidRDefault="0021207E" w:rsidP="0021207E">
      <w:pPr>
        <w:rPr>
          <w:rFonts w:cs="Arial"/>
        </w:rPr>
      </w:pPr>
      <w:r w:rsidRPr="00A70823">
        <w:rPr>
          <w:rFonts w:cs="Arial"/>
        </w:rPr>
        <w:t xml:space="preserve">Not classified as a skin </w:t>
      </w:r>
      <w:r w:rsidR="000B1264" w:rsidRPr="00A70823">
        <w:rPr>
          <w:rFonts w:cs="Arial"/>
        </w:rPr>
        <w:t xml:space="preserve">sensitiser </w:t>
      </w:r>
      <w:r w:rsidRPr="00A70823">
        <w:rPr>
          <w:rFonts w:cs="Arial"/>
        </w:rPr>
        <w:t>or respiratory sensitiser according to the GHS.</w:t>
      </w:r>
    </w:p>
    <w:p w14:paraId="01722E93" w14:textId="2C72290A" w:rsidR="0021207E" w:rsidRPr="004C23F4" w:rsidRDefault="001C5BCC" w:rsidP="0021207E">
      <w:pPr>
        <w:rPr>
          <w:rFonts w:cs="Arial"/>
        </w:rPr>
      </w:pPr>
      <w:r>
        <w:rPr>
          <w:rFonts w:cs="Arial"/>
        </w:rPr>
        <w:t>There are i</w:t>
      </w:r>
      <w:r w:rsidR="0021207E" w:rsidRPr="00A70823">
        <w:rPr>
          <w:rFonts w:cs="Arial"/>
        </w:rPr>
        <w:t xml:space="preserve">nsufficient </w:t>
      </w:r>
      <w:r>
        <w:rPr>
          <w:rFonts w:cs="Arial"/>
        </w:rPr>
        <w:t>data</w:t>
      </w:r>
      <w:r w:rsidR="0021207E" w:rsidRPr="00A70823">
        <w:rPr>
          <w:rFonts w:cs="Arial"/>
        </w:rPr>
        <w:t xml:space="preserve"> to recommend a skin notation.</w:t>
      </w:r>
      <w:r w:rsidR="00CF4B94" w:rsidRPr="00CF4B94">
        <w:rPr>
          <w:rFonts w:cs="Arial"/>
        </w:rPr>
        <w:t xml:space="preserve"> </w:t>
      </w:r>
      <w:r w:rsidR="00CF4B94">
        <w:rPr>
          <w:rFonts w:cs="Arial"/>
        </w:rPr>
        <w:t>The requirement for a skin notation should be evaluated in subsequent reviews due to inconsistencies in the current dataset (DFG, 2000).</w:t>
      </w:r>
    </w:p>
    <w:p w14:paraId="77AACE0E" w14:textId="77777777" w:rsidR="0025734A" w:rsidRPr="004C23F4" w:rsidRDefault="0025734A">
      <w:pPr>
        <w:rPr>
          <w:rFonts w:cs="Arial"/>
        </w:rPr>
      </w:pPr>
    </w:p>
    <w:p w14:paraId="1A6A4D66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t>Appendix</w:t>
      </w:r>
    </w:p>
    <w:p w14:paraId="7B280D3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FDC7240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A8F8B36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FD42742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7180712" w14:textId="09CB23AD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21207E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21207E">
                  <w:t>TWA: 0.5 ppm (1.3 mg/m</w:t>
                </w:r>
                <w:r w:rsidR="0021207E" w:rsidRPr="00B10A10">
                  <w:rPr>
                    <w:vertAlign w:val="superscript"/>
                  </w:rPr>
                  <w:t>3</w:t>
                </w:r>
                <w:r w:rsidR="0021207E">
                  <w:t>)</w:t>
                </w:r>
              </w:sdtContent>
            </w:sdt>
          </w:p>
        </w:tc>
      </w:tr>
      <w:tr w:rsidR="00C978F0" w:rsidRPr="00DA352E" w14:paraId="714C360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8F31A7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0429A0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3C0A33A" w14:textId="654CDD8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B10A10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B10A10">
                  <w:t>TLV-TWA: 0.5 ppm (1 mg/m</w:t>
                </w:r>
                <w:r w:rsidR="00B10A10" w:rsidRPr="00B10A10">
                  <w:rPr>
                    <w:vertAlign w:val="superscript"/>
                  </w:rPr>
                  <w:t>3</w:t>
                </w:r>
                <w:r w:rsidR="00B10A10">
                  <w:t>)</w:t>
                </w:r>
              </w:sdtContent>
            </w:sdt>
          </w:p>
        </w:tc>
      </w:tr>
      <w:tr w:rsidR="00C978F0" w:rsidRPr="00DA352E" w14:paraId="42EAC3F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98BD7F4" w14:textId="6BA40613" w:rsidR="00C978F0" w:rsidRDefault="00BC4CBD" w:rsidP="003365A5">
            <w:pPr>
              <w:pStyle w:val="Tabletextprimarysource"/>
            </w:pPr>
            <w:r>
              <w:t xml:space="preserve">TLV-TWA intended to minimise potential for irritation to the mucous membranes and central nervous effects. </w:t>
            </w:r>
          </w:p>
          <w:p w14:paraId="2A856B1A" w14:textId="77777777" w:rsidR="00BC4CBD" w:rsidRDefault="00BC4CBD" w:rsidP="003365A5">
            <w:pPr>
              <w:pStyle w:val="Tabletextprimarysource"/>
            </w:pPr>
            <w:r>
              <w:t>Summary of data:</w:t>
            </w:r>
          </w:p>
          <w:p w14:paraId="2080F21E" w14:textId="132F02C8" w:rsidR="00BC4CBD" w:rsidRDefault="00BC4CBD" w:rsidP="003365A5">
            <w:pPr>
              <w:pStyle w:val="Tabletextprimarysource"/>
            </w:pPr>
            <w:r>
              <w:t xml:space="preserve">TLV-TWA derived </w:t>
            </w:r>
            <w:r w:rsidR="00B236B6">
              <w:t>from a NOAEL of 0.5 ppm for irritation and central nervous effects in a volunteer repeat inhalation study; the same study reported a LOAEL of 4 ppm</w:t>
            </w:r>
            <w:r>
              <w:t>. The substance has an extremely objectionable odour</w:t>
            </w:r>
            <w:r w:rsidR="00B236B6">
              <w:t xml:space="preserve"> and prolonged exposure at the TLV-TWA would likely cause nuisance</w:t>
            </w:r>
            <w:r>
              <w:t>; it is recommended to reduce exposure below the TLV-TWA as far as possible.</w:t>
            </w:r>
          </w:p>
          <w:p w14:paraId="31A1F87E" w14:textId="7267FC87" w:rsidR="00BC4CBD" w:rsidRDefault="00BC4CBD" w:rsidP="003365A5">
            <w:pPr>
              <w:pStyle w:val="Tabletextprimarysource"/>
            </w:pPr>
            <w:r>
              <w:t>Human data:</w:t>
            </w:r>
          </w:p>
          <w:p w14:paraId="1A4FA95A" w14:textId="0E89ECCF" w:rsidR="00BC4CBD" w:rsidRDefault="00C40C77" w:rsidP="00BC4CBD">
            <w:pPr>
              <w:pStyle w:val="Tabletextprimarysource"/>
              <w:numPr>
                <w:ilvl w:val="0"/>
                <w:numId w:val="3"/>
              </w:numPr>
            </w:pPr>
            <w:r>
              <w:t>Reported o</w:t>
            </w:r>
            <w:r w:rsidR="00BC4CBD">
              <w:t>dour threshold: 0.76 pp</w:t>
            </w:r>
            <w:r w:rsidR="000B1264">
              <w:t>b</w:t>
            </w:r>
          </w:p>
          <w:p w14:paraId="4D19E0FF" w14:textId="5C4E75DF" w:rsidR="0059036D" w:rsidRDefault="0059036D" w:rsidP="0059036D">
            <w:pPr>
              <w:pStyle w:val="Tabletextprimarysource"/>
              <w:numPr>
                <w:ilvl w:val="0"/>
                <w:numId w:val="3"/>
              </w:numPr>
            </w:pPr>
            <w:r>
              <w:t>Periodic nausea, irritation of mucous membranes, fatigue, altered taste perception, and rise in olfactory threshold at 4 ppm in volunteer inhalation study (3 h/d, 5</w:t>
            </w:r>
            <w:r w:rsidR="00A22D2F">
              <w:t>–</w:t>
            </w:r>
            <w:r>
              <w:t>10 d)</w:t>
            </w:r>
            <w:r w:rsidR="00C40C77">
              <w:t>:</w:t>
            </w:r>
            <w:r>
              <w:t xml:space="preserve"> </w:t>
            </w:r>
          </w:p>
          <w:p w14:paraId="19DFE1E0" w14:textId="330F19B1" w:rsidR="0059036D" w:rsidRDefault="0059036D" w:rsidP="00F16236">
            <w:pPr>
              <w:pStyle w:val="Tabletextprimarysource"/>
              <w:numPr>
                <w:ilvl w:val="1"/>
                <w:numId w:val="3"/>
              </w:numPr>
              <w:ind w:left="1094" w:hanging="357"/>
            </w:pPr>
            <w:r>
              <w:t xml:space="preserve">NOAEL: </w:t>
            </w:r>
            <w:r w:rsidR="00B236B6">
              <w:t>0.5</w:t>
            </w:r>
            <w:r>
              <w:t xml:space="preserve"> ppm</w:t>
            </w:r>
          </w:p>
          <w:p w14:paraId="1EE6F012" w14:textId="490CE073" w:rsidR="00B236B6" w:rsidRDefault="00B236B6" w:rsidP="00B236B6">
            <w:pPr>
              <w:pStyle w:val="Tabletextprimarysource"/>
              <w:numPr>
                <w:ilvl w:val="0"/>
                <w:numId w:val="3"/>
              </w:numPr>
            </w:pPr>
            <w:r>
              <w:t xml:space="preserve">Accidental exposure (n=28) at 4 ppm caused nausea and headaches, which resolved in </w:t>
            </w:r>
            <w:r w:rsidR="00A22D2F">
              <w:t>24</w:t>
            </w:r>
            <w:r w:rsidR="00C40C77">
              <w:t> </w:t>
            </w:r>
            <w:r>
              <w:t xml:space="preserve">h; </w:t>
            </w:r>
            <w:r w:rsidR="00A22D2F">
              <w:t>1</w:t>
            </w:r>
            <w:r>
              <w:t xml:space="preserve"> person showed reversible liver effects evidenced by excretion of epithelial cells, protein and </w:t>
            </w:r>
            <w:r w:rsidR="000B1264">
              <w:t>RBS</w:t>
            </w:r>
            <w:r>
              <w:t xml:space="preserve"> and was considered normal within 6 wk</w:t>
            </w:r>
            <w:r w:rsidR="001C5BCC">
              <w:t>.</w:t>
            </w:r>
          </w:p>
          <w:p w14:paraId="37A22684" w14:textId="77777777" w:rsidR="00BC4CBD" w:rsidRDefault="00BC4CBD" w:rsidP="00BC4CBD">
            <w:pPr>
              <w:pStyle w:val="Tabletextprimarysource"/>
            </w:pPr>
            <w:r>
              <w:t>Animal data:</w:t>
            </w:r>
          </w:p>
          <w:p w14:paraId="4FA4943E" w14:textId="370F1B54" w:rsidR="00BC4CBD" w:rsidRDefault="00BC4CBD" w:rsidP="00BC4CBD">
            <w:pPr>
              <w:pStyle w:val="Tabletextprimarysource"/>
              <w:numPr>
                <w:ilvl w:val="0"/>
                <w:numId w:val="2"/>
              </w:numPr>
            </w:pPr>
            <w:r>
              <w:t>LC</w:t>
            </w:r>
            <w:r>
              <w:rPr>
                <w:vertAlign w:val="subscript"/>
              </w:rPr>
              <w:t>5</w:t>
            </w:r>
            <w:r>
              <w:rPr>
                <w:vertAlign w:val="subscript"/>
              </w:rPr>
              <w:softHyphen/>
              <w:t>0</w:t>
            </w:r>
            <w:r>
              <w:t>: 2,770 ppm (rats, 4 h), 4,420 ppm (mice, 4 h)</w:t>
            </w:r>
          </w:p>
          <w:p w14:paraId="319F6DE5" w14:textId="09117479" w:rsidR="002D3DEA" w:rsidRDefault="00BC4CBD" w:rsidP="00BC4CBD">
            <w:pPr>
              <w:pStyle w:val="Tabletextprimarysource"/>
              <w:numPr>
                <w:ilvl w:val="0"/>
                <w:numId w:val="2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450 mg/kg (rats</w:t>
            </w:r>
            <w:r w:rsidR="000B1264">
              <w:t xml:space="preserve">, </w:t>
            </w:r>
            <w:proofErr w:type="spellStart"/>
            <w:r w:rsidR="000B1264">
              <w:t>ip</w:t>
            </w:r>
            <w:proofErr w:type="spellEnd"/>
            <w:r>
              <w:t>)</w:t>
            </w:r>
          </w:p>
          <w:p w14:paraId="0C9E062C" w14:textId="26B8F684" w:rsidR="00BC4CBD" w:rsidRDefault="001C5BCC" w:rsidP="00F16236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m</w:t>
            </w:r>
            <w:r w:rsidR="002D3DEA">
              <w:t>aximal sub-lethal doses caused deep sedation for &gt;1 h</w:t>
            </w:r>
          </w:p>
          <w:p w14:paraId="43CE24A2" w14:textId="0CA45936" w:rsidR="002D3DEA" w:rsidRDefault="001C5BCC" w:rsidP="00F16236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h</w:t>
            </w:r>
            <w:r w:rsidR="002D3DEA">
              <w:t>igher doses caused muscular incoordination, paralysis, cyanosis, respiratory depression, coma, and death</w:t>
            </w:r>
          </w:p>
          <w:p w14:paraId="56FED02E" w14:textId="259D4B9F" w:rsidR="002D3DEA" w:rsidRDefault="001C5BCC" w:rsidP="00F16236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l</w:t>
            </w:r>
            <w:r w:rsidR="002D3DEA">
              <w:t xml:space="preserve">ymphocytes accumulated hepatic portal space following </w:t>
            </w:r>
            <w:proofErr w:type="spellStart"/>
            <w:r w:rsidR="002D3DEA">
              <w:t>ip</w:t>
            </w:r>
            <w:proofErr w:type="spellEnd"/>
            <w:r w:rsidR="002D3DEA">
              <w:t xml:space="preserve"> administration but not when administered by inhalation</w:t>
            </w:r>
          </w:p>
          <w:p w14:paraId="1FB3E7E6" w14:textId="77777777" w:rsidR="002D3DEA" w:rsidRDefault="00BC4CBD" w:rsidP="00BC4CBD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Slightly irritating when liquid applied directly to eyes (rabbits), but signs of </w:t>
            </w:r>
            <w:r w:rsidR="002D3DEA">
              <w:t>greater irritation in animals exposed to high vapour concentrations for 15 min (no further details provided)</w:t>
            </w:r>
          </w:p>
          <w:p w14:paraId="09C239E5" w14:textId="77777777" w:rsidR="00BC4CBD" w:rsidRDefault="002D3DEA" w:rsidP="00BC4CBD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LOAEL of 40 ppm for changes in cardiovascular regulation and organ weights in repeat inhalation study (rabbits, rats, mice, 5 </w:t>
            </w:r>
            <w:proofErr w:type="spellStart"/>
            <w:r>
              <w:t>mo</w:t>
            </w:r>
            <w:proofErr w:type="spellEnd"/>
            <w:r>
              <w:t>, duration and frequency not specified)</w:t>
            </w:r>
          </w:p>
          <w:p w14:paraId="4989E1B0" w14:textId="0E0B7FF6" w:rsidR="00831E19" w:rsidRDefault="00831E19" w:rsidP="00B236B6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Rapidly absorbed and excreted when inhaled at 30 ppm (rabbits, 25 min); only trace amounts present in blood following exposure, </w:t>
            </w:r>
            <w:r w:rsidR="0059036D">
              <w:t>comparable</w:t>
            </w:r>
            <w:r>
              <w:t xml:space="preserve"> me</w:t>
            </w:r>
            <w:r w:rsidR="0059036D">
              <w:t>tabolism observed at 10,000</w:t>
            </w:r>
            <w:r w:rsidR="00C40C77">
              <w:t> </w:t>
            </w:r>
            <w:r w:rsidR="0059036D">
              <w:t>ppm for 1 h</w:t>
            </w:r>
            <w:r w:rsidR="00B236B6">
              <w:t>.</w:t>
            </w:r>
          </w:p>
          <w:p w14:paraId="61E96825" w14:textId="77777777" w:rsidR="00C40C77" w:rsidRDefault="00C40C77" w:rsidP="00F16236">
            <w:pPr>
              <w:pStyle w:val="Tabletextprimarysource"/>
            </w:pPr>
          </w:p>
          <w:p w14:paraId="0DC25699" w14:textId="77777777" w:rsidR="00C40C77" w:rsidRDefault="00C40C77" w:rsidP="00C40C77">
            <w:pPr>
              <w:pStyle w:val="Tabletextprimarysource"/>
            </w:pPr>
            <w:r>
              <w:t>Insufficient data to recommend a TLV-STEL or notations for carcinogenicity, sensitisation, or skin absorption.</w:t>
            </w:r>
          </w:p>
          <w:p w14:paraId="761C9E1D" w14:textId="6E26CF3E" w:rsidR="00C40C77" w:rsidRPr="00DA352E" w:rsidRDefault="00C40C77" w:rsidP="00F16236">
            <w:pPr>
              <w:pStyle w:val="Tabletextprimarysource"/>
            </w:pPr>
          </w:p>
        </w:tc>
      </w:tr>
      <w:tr w:rsidR="00C978F0" w:rsidRPr="00DA352E" w14:paraId="563CAC7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36D615B" w14:textId="579A530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10A10">
                  <w:t>20</w:t>
                </w:r>
                <w:r w:rsidR="00BA2634">
                  <w:t>0</w:t>
                </w:r>
                <w:r w:rsidR="00DF508D">
                  <w:t>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B10A10">
                  <w:t>MAK: 0.5 ppm (1.3 mg/m</w:t>
                </w:r>
                <w:r w:rsidR="00B10A10" w:rsidRPr="00B10A10">
                  <w:rPr>
                    <w:vertAlign w:val="superscript"/>
                  </w:rPr>
                  <w:t>3</w:t>
                </w:r>
                <w:r w:rsidR="00B10A10">
                  <w:t>)</w:t>
                </w:r>
              </w:sdtContent>
            </w:sdt>
          </w:p>
        </w:tc>
      </w:tr>
      <w:tr w:rsidR="00C978F0" w:rsidRPr="00DA352E" w14:paraId="761F460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1A22711" w14:textId="7759889D" w:rsidR="00C978F0" w:rsidRDefault="00BA2634" w:rsidP="003365A5">
            <w:pPr>
              <w:pStyle w:val="Tabletextprimarysource"/>
            </w:pPr>
            <w:r>
              <w:t>Summary of additional data:</w:t>
            </w:r>
          </w:p>
          <w:p w14:paraId="40DAE86B" w14:textId="6393639D" w:rsidR="00BA2634" w:rsidRPr="006A0AF2" w:rsidRDefault="00E0761C" w:rsidP="003365A5">
            <w:pPr>
              <w:pStyle w:val="Tabletextprimarysource"/>
            </w:pPr>
            <w:r>
              <w:t xml:space="preserve">Provisionally recommended MAK (2005) confirmed in current re-evaluation and derivation maintained. MAK based on structurally related methyl </w:t>
            </w:r>
            <w:proofErr w:type="spellStart"/>
            <w:r>
              <w:t>mercaptan</w:t>
            </w:r>
            <w:proofErr w:type="spellEnd"/>
            <w:r>
              <w:t xml:space="preserve"> and supported by human volunteer data that reported a NOAEL of 0.39</w:t>
            </w:r>
            <w:r w:rsidR="00A22D2F">
              <w:t xml:space="preserve"> </w:t>
            </w:r>
            <w:r>
              <w:t>ppm and a LOAEL of 3.9 ppm</w:t>
            </w:r>
            <w:r w:rsidR="00BA2634">
              <w:t xml:space="preserve">. MAK for methyl </w:t>
            </w:r>
            <w:proofErr w:type="spellStart"/>
            <w:r w:rsidR="00BA2634">
              <w:t>mercaptan</w:t>
            </w:r>
            <w:proofErr w:type="spellEnd"/>
            <w:r w:rsidR="00BA2634">
              <w:t xml:space="preserve"> of 0.5 ppm is based on a sub-chronic inhalational study that reported a LOAEL of 2 ppm for slight behavioural changes in rats, higher concentrations caused reduced body weight gain. </w:t>
            </w:r>
          </w:p>
          <w:p w14:paraId="494415E5" w14:textId="77777777" w:rsidR="00BA2634" w:rsidRDefault="00BA2634" w:rsidP="003365A5">
            <w:pPr>
              <w:pStyle w:val="Tabletextprimarysource"/>
            </w:pPr>
            <w:r>
              <w:t>Human data:</w:t>
            </w:r>
          </w:p>
          <w:p w14:paraId="451501E0" w14:textId="67D12E37" w:rsidR="00D4551A" w:rsidRDefault="00875C1D" w:rsidP="00BA2634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Odour </w:t>
            </w:r>
            <w:r w:rsidR="00D4551A">
              <w:t>threshold 0.002 ppm</w:t>
            </w:r>
          </w:p>
          <w:p w14:paraId="084026F2" w14:textId="55555119" w:rsidR="00E0761C" w:rsidRDefault="00D4551A" w:rsidP="00BA2634">
            <w:pPr>
              <w:pStyle w:val="Tabletextprimarysource"/>
              <w:numPr>
                <w:ilvl w:val="0"/>
                <w:numId w:val="2"/>
              </w:numPr>
            </w:pPr>
            <w:r>
              <w:t>Decreased respiration rate, increased respiratory volume at 50 (n=2) or 112 ppm (n=3) for 20 min; no other symptoms reported when exposure was increased to 35 or 60 min</w:t>
            </w:r>
          </w:p>
          <w:p w14:paraId="24AC065F" w14:textId="31AB0088" w:rsidR="00BA2634" w:rsidRDefault="00BA2634" w:rsidP="00BA2634">
            <w:pPr>
              <w:pStyle w:val="Tabletextprimarysource"/>
              <w:numPr>
                <w:ilvl w:val="0"/>
                <w:numId w:val="2"/>
              </w:numPr>
            </w:pPr>
            <w:r>
              <w:t>Unclear at which concentration odour becomes intolerable</w:t>
            </w:r>
          </w:p>
          <w:p w14:paraId="01B502F4" w14:textId="3A8E3471" w:rsidR="006A0AF2" w:rsidRDefault="006A0AF2" w:rsidP="00DF508D">
            <w:pPr>
              <w:pStyle w:val="Tabletextprimarysource"/>
              <w:numPr>
                <w:ilvl w:val="0"/>
                <w:numId w:val="2"/>
              </w:numPr>
            </w:pPr>
            <w:r w:rsidRPr="006A0AF2">
              <w:rPr>
                <w:i/>
              </w:rPr>
              <w:t xml:space="preserve">In </w:t>
            </w:r>
            <w:proofErr w:type="spellStart"/>
            <w:r w:rsidRPr="006A0AF2">
              <w:rPr>
                <w:i/>
              </w:rPr>
              <w:t>silico</w:t>
            </w:r>
            <w:proofErr w:type="spellEnd"/>
            <w:r>
              <w:t xml:space="preserve"> dermal absorption rate calculated at 1.07, 0.13, or 0.08</w:t>
            </w:r>
            <w:r w:rsidR="007256A4">
              <w:t xml:space="preserve"> </w:t>
            </w:r>
            <w:r>
              <w:t>mg/cm</w:t>
            </w:r>
            <w:r w:rsidRPr="006A0AF2">
              <w:rPr>
                <w:vertAlign w:val="superscript"/>
              </w:rPr>
              <w:t>2</w:t>
            </w:r>
            <w:r>
              <w:t xml:space="preserve">/h in 3 separate studies </w:t>
            </w:r>
            <w:r w:rsidRPr="006A0AF2">
              <w:rPr>
                <w:rFonts w:cs="Arial"/>
              </w:rPr>
              <w:t>≡2,140 mg; 260 mg; or 160 mg, respectively (</w:t>
            </w:r>
            <w:r>
              <w:t>assuming 2,000 cm</w:t>
            </w:r>
            <w:r w:rsidRPr="006A0AF2">
              <w:rPr>
                <w:vertAlign w:val="superscript"/>
              </w:rPr>
              <w:t>2</w:t>
            </w:r>
            <w:r>
              <w:t xml:space="preserve"> skin for 1 h)</w:t>
            </w:r>
          </w:p>
          <w:p w14:paraId="205B8319" w14:textId="0B100C50" w:rsidR="00BA2634" w:rsidRDefault="00DF508D" w:rsidP="006A0AF2">
            <w:pPr>
              <w:pStyle w:val="Tabletextprimarysource"/>
            </w:pPr>
            <w:r>
              <w:t>Animal data:</w:t>
            </w:r>
          </w:p>
          <w:p w14:paraId="6C3C8877" w14:textId="77777777" w:rsidR="00DF508D" w:rsidRDefault="00DF508D" w:rsidP="00DF508D">
            <w:pPr>
              <w:pStyle w:val="Tabletextprimarysource"/>
              <w:numPr>
                <w:ilvl w:val="0"/>
                <w:numId w:val="2"/>
              </w:numPr>
            </w:pPr>
            <w:r>
              <w:t>Acute exposure to 10, 100, or 1,000 ppm causes decreased respiratory frequency and expiratory volume only in 1,000 ppm group (rabbits, 20 min)</w:t>
            </w:r>
          </w:p>
          <w:p w14:paraId="57370379" w14:textId="788B14E5" w:rsidR="00DF508D" w:rsidRDefault="00DF508D" w:rsidP="00DF508D">
            <w:pPr>
              <w:pStyle w:val="Tabletextprimarysource"/>
              <w:numPr>
                <w:ilvl w:val="0"/>
                <w:numId w:val="2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2,000 mg/kg (rats</w:t>
            </w:r>
            <w:r w:rsidR="000B1264">
              <w:t>, dermal</w:t>
            </w:r>
            <w:r>
              <w:t>)</w:t>
            </w:r>
          </w:p>
          <w:p w14:paraId="1C3DBA00" w14:textId="77777777" w:rsidR="006A0AF2" w:rsidRDefault="006A0AF2" w:rsidP="006A0AF2">
            <w:pPr>
              <w:pStyle w:val="Tabletextprimarysource"/>
              <w:numPr>
                <w:ilvl w:val="0"/>
                <w:numId w:val="2"/>
              </w:numPr>
            </w:pPr>
            <w:r>
              <w:t>Moderate reversible erythema in patch test with 0.5 ml (rabbits); reversible in 24 h</w:t>
            </w:r>
          </w:p>
          <w:p w14:paraId="3FE5E637" w14:textId="6D5EA5FC" w:rsidR="006A0AF2" w:rsidRDefault="006A0AF2" w:rsidP="006A0AF2">
            <w:pPr>
              <w:pStyle w:val="Tabletextprimarysource"/>
              <w:numPr>
                <w:ilvl w:val="0"/>
                <w:numId w:val="2"/>
              </w:numPr>
            </w:pPr>
            <w:r>
              <w:t>No upper respiratory tract irritation in mice exposed to 750 ppm twice per min (duration not specified, no further information provided)</w:t>
            </w:r>
          </w:p>
          <w:p w14:paraId="4612CD54" w14:textId="77777777" w:rsidR="006A0AF2" w:rsidRDefault="006A0AF2" w:rsidP="006A0AF2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No data for </w:t>
            </w:r>
            <w:r w:rsidR="00E0761C">
              <w:t xml:space="preserve">carcinogenic, </w:t>
            </w:r>
            <w:r>
              <w:t>allergenic or reproductive toxicity presented</w:t>
            </w:r>
          </w:p>
          <w:p w14:paraId="1F653127" w14:textId="77777777" w:rsidR="001C5BCC" w:rsidRDefault="00E0761C" w:rsidP="006A0AF2">
            <w:pPr>
              <w:pStyle w:val="Tabletextprimarysource"/>
              <w:numPr>
                <w:ilvl w:val="0"/>
                <w:numId w:val="2"/>
              </w:numPr>
              <w:rPr>
                <w:i/>
              </w:rPr>
            </w:pPr>
            <w:r>
              <w:t xml:space="preserve">Only </w:t>
            </w:r>
            <w:r>
              <w:rPr>
                <w:i/>
              </w:rPr>
              <w:t>i</w:t>
            </w:r>
            <w:r w:rsidRPr="00E0761C">
              <w:rPr>
                <w:i/>
              </w:rPr>
              <w:t>n vitro</w:t>
            </w:r>
            <w:r>
              <w:t xml:space="preserve"> mutagenicity data is presented, these studies generally reported negative results except at high concentrations; substance considered non-genotoxic</w:t>
            </w:r>
            <w:r w:rsidR="00A22D2F">
              <w:t>.</w:t>
            </w:r>
            <w:r w:rsidRPr="00E0761C">
              <w:rPr>
                <w:i/>
              </w:rPr>
              <w:t xml:space="preserve"> </w:t>
            </w:r>
          </w:p>
          <w:p w14:paraId="5506CCC7" w14:textId="77777777" w:rsidR="00C40C77" w:rsidRDefault="00C40C77" w:rsidP="001C5BCC">
            <w:pPr>
              <w:pStyle w:val="Tabletextprimarysource"/>
            </w:pPr>
          </w:p>
          <w:p w14:paraId="70B1F560" w14:textId="2E60DCE3" w:rsidR="00E0761C" w:rsidRPr="00E0761C" w:rsidRDefault="001C5BCC" w:rsidP="001C5BCC">
            <w:pPr>
              <w:pStyle w:val="Tabletextprimarysource"/>
              <w:rPr>
                <w:i/>
              </w:rPr>
            </w:pPr>
            <w:r>
              <w:t xml:space="preserve">Skin notation warranted based on results of 3 </w:t>
            </w:r>
            <w:r>
              <w:rPr>
                <w:i/>
              </w:rPr>
              <w:t xml:space="preserve">in </w:t>
            </w:r>
            <w:proofErr w:type="spellStart"/>
            <w:r>
              <w:rPr>
                <w:i/>
              </w:rPr>
              <w:t>silico</w:t>
            </w:r>
            <w:proofErr w:type="spellEnd"/>
            <w:r>
              <w:t xml:space="preserve"> studies. Insufficient data to assign sensitisation notation.</w:t>
            </w:r>
          </w:p>
        </w:tc>
      </w:tr>
      <w:tr w:rsidR="00C978F0" w:rsidRPr="00DA352E" w14:paraId="1402C63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8CE78F3" w14:textId="175EC82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10A1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B10A10">
                  <w:t>NA</w:t>
                </w:r>
                <w:proofErr w:type="spellEnd"/>
              </w:sdtContent>
            </w:sdt>
          </w:p>
        </w:tc>
      </w:tr>
      <w:tr w:rsidR="00C978F0" w:rsidRPr="00DA352E" w14:paraId="30A6BE5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97BE255" w14:textId="3DEC29E9" w:rsidR="00C978F0" w:rsidRPr="00DA352E" w:rsidRDefault="00B10A10" w:rsidP="003365A5">
            <w:pPr>
              <w:pStyle w:val="Tabletextprimarysource"/>
            </w:pPr>
            <w:r>
              <w:t>No report</w:t>
            </w:r>
            <w:r w:rsidR="001C5BCC">
              <w:t>.</w:t>
            </w:r>
          </w:p>
        </w:tc>
      </w:tr>
      <w:tr w:rsidR="00DA352E" w:rsidRPr="00DA352E" w14:paraId="70846D7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7E17CFB" w14:textId="53C03FF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10A1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10A10">
                  <w:t>NA</w:t>
                </w:r>
                <w:proofErr w:type="spellEnd"/>
              </w:sdtContent>
            </w:sdt>
          </w:p>
        </w:tc>
      </w:tr>
      <w:tr w:rsidR="00DA352E" w:rsidRPr="00DA352E" w14:paraId="52DDBA3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3677419" w14:textId="3D338522" w:rsidR="00DA352E" w:rsidRPr="00DA352E" w:rsidRDefault="00B10A10" w:rsidP="003365A5">
            <w:pPr>
              <w:pStyle w:val="Tabletextprimarysource"/>
            </w:pPr>
            <w:r>
              <w:t>No report</w:t>
            </w:r>
            <w:r w:rsidR="001C5BCC">
              <w:t>.</w:t>
            </w:r>
          </w:p>
        </w:tc>
      </w:tr>
      <w:tr w:rsidR="00DA352E" w:rsidRPr="00DA352E" w14:paraId="28953A1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F3E0010" w14:textId="57BE202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10A10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B10A10" w:rsidRPr="00B10A10">
                  <w:t>TWA 8 hours</w:t>
                </w:r>
                <w:r w:rsidR="00B10A10">
                  <w:t>: 0.5 ppm (1 mg/m</w:t>
                </w:r>
                <w:r w:rsidR="00B10A10" w:rsidRPr="00B10A10">
                  <w:rPr>
                    <w:vertAlign w:val="superscript"/>
                  </w:rPr>
                  <w:t>3</w:t>
                </w:r>
                <w:r w:rsidR="00B10A10">
                  <w:t>)</w:t>
                </w:r>
              </w:sdtContent>
            </w:sdt>
          </w:p>
        </w:tc>
      </w:tr>
      <w:tr w:rsidR="00DA352E" w:rsidRPr="00DA352E" w14:paraId="4340361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5B70388" w14:textId="77777777" w:rsidR="00DA352E" w:rsidRDefault="00D4551A" w:rsidP="003365A5">
            <w:pPr>
              <w:pStyle w:val="Tabletextprimarysource"/>
            </w:pPr>
            <w:r>
              <w:t>Summary of additional data:</w:t>
            </w:r>
          </w:p>
          <w:p w14:paraId="448AF295" w14:textId="67784E6F" w:rsidR="00D4551A" w:rsidRDefault="00D4551A" w:rsidP="003365A5">
            <w:pPr>
              <w:pStyle w:val="Tabletextprimarysource"/>
            </w:pPr>
            <w:r>
              <w:t>Insufficient data available to recommend a health-based occupational exposure limit</w:t>
            </w:r>
            <w:r w:rsidR="00375879">
              <w:t xml:space="preserve"> (OEL)</w:t>
            </w:r>
            <w:r>
              <w:t>.</w:t>
            </w:r>
          </w:p>
          <w:p w14:paraId="00D774E4" w14:textId="77777777" w:rsidR="00D4551A" w:rsidRDefault="00D4551A" w:rsidP="003365A5">
            <w:pPr>
              <w:pStyle w:val="Tabletextprimarysource"/>
            </w:pPr>
            <w:r>
              <w:t>Human data:</w:t>
            </w:r>
          </w:p>
          <w:p w14:paraId="4EDFE760" w14:textId="77777777" w:rsidR="00D4551A" w:rsidRDefault="00D4551A" w:rsidP="00D4551A">
            <w:pPr>
              <w:pStyle w:val="Tabletextprimarysource"/>
              <w:numPr>
                <w:ilvl w:val="0"/>
                <w:numId w:val="2"/>
              </w:numPr>
            </w:pPr>
            <w:r>
              <w:t>Endogenous human metabolite excreted in breath and urine (higher in cirrhotic patients)</w:t>
            </w:r>
          </w:p>
          <w:p w14:paraId="19DF1CA1" w14:textId="76B1C764" w:rsidR="00D4551A" w:rsidRDefault="00D4551A" w:rsidP="00D4551A">
            <w:pPr>
              <w:pStyle w:val="Tabletextprimarysource"/>
              <w:numPr>
                <w:ilvl w:val="0"/>
                <w:numId w:val="2"/>
              </w:numPr>
            </w:pPr>
            <w:r>
              <w:t>60</w:t>
            </w:r>
            <w:r w:rsidR="00A22D2F">
              <w:t>–</w:t>
            </w:r>
            <w:r>
              <w:t xml:space="preserve">80% </w:t>
            </w:r>
            <w:r w:rsidR="00375879">
              <w:t xml:space="preserve">of inhaled substance </w:t>
            </w:r>
            <w:r>
              <w:t>absorbed from lungs into blood</w:t>
            </w:r>
            <w:r w:rsidR="001C5BCC">
              <w:t>.</w:t>
            </w:r>
          </w:p>
          <w:p w14:paraId="53CEB2A7" w14:textId="77777777" w:rsidR="00375879" w:rsidRDefault="00375879" w:rsidP="00375879">
            <w:pPr>
              <w:pStyle w:val="Tabletextprimarysource"/>
            </w:pPr>
            <w:r>
              <w:t>Animal data:</w:t>
            </w:r>
          </w:p>
          <w:p w14:paraId="10BA065C" w14:textId="1FCC60C4" w:rsidR="00375879" w:rsidRDefault="00375879" w:rsidP="00375879">
            <w:pPr>
              <w:pStyle w:val="Tabletextprimarysource"/>
              <w:numPr>
                <w:ilvl w:val="0"/>
                <w:numId w:val="2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 w:rsidR="000B1264">
              <w:t>:</w:t>
            </w:r>
            <w:r>
              <w:t xml:space="preserve"> &gt;2,000 (rabbits</w:t>
            </w:r>
            <w:r w:rsidR="000B1264">
              <w:t>, dermal</w:t>
            </w:r>
            <w:r>
              <w:t>)</w:t>
            </w:r>
          </w:p>
          <w:p w14:paraId="72E8AEBB" w14:textId="7EA91032" w:rsidR="00375879" w:rsidRDefault="00375879" w:rsidP="00375879">
            <w:pPr>
              <w:pStyle w:val="Tabletextprimarysource"/>
              <w:numPr>
                <w:ilvl w:val="0"/>
                <w:numId w:val="2"/>
              </w:numPr>
            </w:pPr>
            <w:r>
              <w:t>R</w:t>
            </w:r>
            <w:r w:rsidRPr="00375879">
              <w:t>epeat inhalation study</w:t>
            </w:r>
            <w:r>
              <w:t xml:space="preserve"> reported</w:t>
            </w:r>
            <w:r w:rsidRPr="00375879">
              <w:t xml:space="preserve"> LOAEL of 40 ppm for changes in cardiovascular </w:t>
            </w:r>
            <w:r>
              <w:t>regulation and organ weights in (cited in ACGIH, 2018) considered inadequate for derivation of a health-based OEL du</w:t>
            </w:r>
            <w:r w:rsidR="008335A6">
              <w:t>e to insufficient documentation</w:t>
            </w:r>
          </w:p>
          <w:p w14:paraId="7FE304E8" w14:textId="0CE67C70" w:rsidR="008335A6" w:rsidRPr="00DA352E" w:rsidRDefault="008335A6" w:rsidP="008335A6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Mutagenicity data is equivocal: </w:t>
            </w:r>
            <w:r w:rsidRPr="008335A6">
              <w:t xml:space="preserve">negative in </w:t>
            </w:r>
            <w:r w:rsidRPr="008335A6">
              <w:rPr>
                <w:i/>
              </w:rPr>
              <w:t>Salmonella typhimurium</w:t>
            </w:r>
            <w:r w:rsidRPr="008335A6">
              <w:t xml:space="preserve">, equivocal results in </w:t>
            </w:r>
            <w:r>
              <w:t>a</w:t>
            </w:r>
            <w:r w:rsidRPr="008335A6">
              <w:t xml:space="preserve"> mouse lymphoma forward mutation assay, and positive in Chinese hamster ovary </w:t>
            </w:r>
            <w:r>
              <w:t>sister chromatid exchange</w:t>
            </w:r>
            <w:r w:rsidRPr="008335A6">
              <w:t xml:space="preserve"> assay.</w:t>
            </w:r>
          </w:p>
        </w:tc>
      </w:tr>
    </w:tbl>
    <w:p w14:paraId="1167C2EF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2"/>
        <w:gridCol w:w="661"/>
        <w:gridCol w:w="6451"/>
      </w:tblGrid>
      <w:tr w:rsidR="004966BF" w:rsidRPr="00263255" w14:paraId="79378A64" w14:textId="77777777" w:rsidTr="000B1264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54AE159A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357F996D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B2DB453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236BCA2B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01248371" w14:textId="77777777" w:rsidTr="000B1264">
        <w:trPr>
          <w:cantSplit/>
        </w:trPr>
        <w:tc>
          <w:tcPr>
            <w:tcW w:w="1492" w:type="dxa"/>
          </w:tcPr>
          <w:p w14:paraId="62C51610" w14:textId="77777777"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22" w:type="dxa"/>
          </w:tcPr>
          <w:p w14:paraId="3DEC47D8" w14:textId="4931B3D2" w:rsidR="004966BF" w:rsidRPr="00CE617F" w:rsidRDefault="00AE1D0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310B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C8CEFC1" w14:textId="477F8980" w:rsidR="004966BF" w:rsidRPr="004C23F4" w:rsidRDefault="00B310BD" w:rsidP="00717D45">
            <w:pPr>
              <w:pStyle w:val="Tablefont"/>
            </w:pPr>
            <w:r>
              <w:t>2002</w:t>
            </w:r>
          </w:p>
        </w:tc>
        <w:tc>
          <w:tcPr>
            <w:tcW w:w="6451" w:type="dxa"/>
          </w:tcPr>
          <w:p w14:paraId="35D68120" w14:textId="0BBDD99C" w:rsidR="004966BF" w:rsidRPr="00F16236" w:rsidRDefault="00B310BD" w:rsidP="00F16236">
            <w:pPr>
              <w:pStyle w:val="Tablefont"/>
              <w:numPr>
                <w:ilvl w:val="0"/>
                <w:numId w:val="5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 w:rsidRPr="00F16236">
              <w:rPr>
                <w:rStyle w:val="checkbox"/>
                <w:rFonts w:ascii="Arial" w:hAnsi="Arial" w:cs="Arial"/>
              </w:rPr>
              <w:t>TWA: 0.5 ppm (1.3</w:t>
            </w:r>
            <w:r w:rsidR="00F07778">
              <w:rPr>
                <w:rStyle w:val="checkbox"/>
                <w:rFonts w:ascii="Arial" w:hAnsi="Arial" w:cs="Arial"/>
              </w:rPr>
              <w:t xml:space="preserve"> </w:t>
            </w:r>
            <w:r w:rsidRPr="00F16236">
              <w:rPr>
                <w:rStyle w:val="checkbox"/>
                <w:rFonts w:ascii="Arial" w:hAnsi="Arial" w:cs="Arial"/>
              </w:rPr>
              <w:t>mg/m</w:t>
            </w:r>
            <w:r w:rsidRPr="00A4399C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Pr="00F16236">
              <w:rPr>
                <w:rStyle w:val="checkbox"/>
                <w:rFonts w:ascii="Arial" w:hAnsi="Arial" w:cs="Arial"/>
              </w:rPr>
              <w:t>); STEL: 2 ppm (5.2 mg/m</w:t>
            </w:r>
            <w:r w:rsidR="00C40C77" w:rsidRPr="00F16236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Pr="00F16236">
              <w:rPr>
                <w:rStyle w:val="checkbox"/>
                <w:rFonts w:ascii="Arial" w:hAnsi="Arial" w:cs="Arial"/>
              </w:rPr>
              <w:t>)</w:t>
            </w:r>
            <w:r w:rsidR="001C5BCC" w:rsidRPr="00F16236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3BE62A5E" w14:textId="77777777" w:rsidTr="000B1264">
        <w:trPr>
          <w:cantSplit/>
        </w:trPr>
        <w:tc>
          <w:tcPr>
            <w:tcW w:w="1492" w:type="dxa"/>
          </w:tcPr>
          <w:p w14:paraId="7833A23C" w14:textId="77777777" w:rsidR="004966BF" w:rsidRPr="004C23F4" w:rsidRDefault="004966BF" w:rsidP="00224EE2">
            <w:pPr>
              <w:pStyle w:val="Tablefont"/>
            </w:pPr>
            <w:r>
              <w:t>OECD</w:t>
            </w:r>
          </w:p>
        </w:tc>
        <w:tc>
          <w:tcPr>
            <w:tcW w:w="422" w:type="dxa"/>
          </w:tcPr>
          <w:p w14:paraId="6FE3CC63" w14:textId="11CE5555" w:rsidR="004966BF" w:rsidRPr="00CE617F" w:rsidRDefault="00AE1D0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256A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124D4CC" w14:textId="3DAA101A" w:rsidR="004966BF" w:rsidRPr="004C23F4" w:rsidRDefault="007256A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2010</w:t>
            </w:r>
          </w:p>
        </w:tc>
        <w:tc>
          <w:tcPr>
            <w:tcW w:w="6451" w:type="dxa"/>
          </w:tcPr>
          <w:p w14:paraId="306A6A2A" w14:textId="548564D7" w:rsidR="00934C87" w:rsidRPr="00F16236" w:rsidRDefault="00934C87" w:rsidP="00F16236">
            <w:pPr>
              <w:pStyle w:val="Tablefont"/>
              <w:numPr>
                <w:ilvl w:val="0"/>
                <w:numId w:val="5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 w:rsidRPr="00F16236">
              <w:rPr>
                <w:rStyle w:val="checkbox"/>
                <w:rFonts w:ascii="Arial" w:hAnsi="Arial" w:cs="Arial"/>
              </w:rPr>
              <w:t>Grouped with other aliphatic thiols based on similar structure and toxic endpoints</w:t>
            </w:r>
          </w:p>
          <w:p w14:paraId="1C7A72FC" w14:textId="51936095" w:rsidR="00934C87" w:rsidRPr="00F16236" w:rsidRDefault="00934C87" w:rsidP="00F16236">
            <w:pPr>
              <w:pStyle w:val="Tablefont"/>
              <w:numPr>
                <w:ilvl w:val="0"/>
                <w:numId w:val="5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 w:rsidRPr="00F16236">
              <w:rPr>
                <w:rStyle w:val="checkbox"/>
                <w:rFonts w:ascii="Arial" w:hAnsi="Arial" w:cs="Arial"/>
              </w:rPr>
              <w:t xml:space="preserve">Ethyl </w:t>
            </w:r>
            <w:proofErr w:type="spellStart"/>
            <w:r w:rsidRPr="00F16236">
              <w:rPr>
                <w:rStyle w:val="checkbox"/>
                <w:rFonts w:ascii="Arial" w:hAnsi="Arial" w:cs="Arial"/>
              </w:rPr>
              <w:t>mercaptan</w:t>
            </w:r>
            <w:proofErr w:type="spellEnd"/>
            <w:r w:rsidRPr="00F16236">
              <w:rPr>
                <w:rStyle w:val="checkbox"/>
                <w:rFonts w:ascii="Arial" w:hAnsi="Arial" w:cs="Arial"/>
              </w:rPr>
              <w:t xml:space="preserve"> returned equivocal evidence for mutagenicity in mammalian cells in vitro and positive results for sister chromatid exchange at cytotoxic levels</w:t>
            </w:r>
          </w:p>
          <w:p w14:paraId="4E8218B3" w14:textId="77777777" w:rsidR="004966BF" w:rsidRDefault="00934C87" w:rsidP="00F16236">
            <w:pPr>
              <w:pStyle w:val="Tablefont"/>
              <w:numPr>
                <w:ilvl w:val="0"/>
                <w:numId w:val="5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W</w:t>
            </w:r>
            <w:r w:rsidRPr="00934C87">
              <w:rPr>
                <w:rStyle w:val="checkbox"/>
                <w:rFonts w:ascii="Arial" w:hAnsi="Arial" w:cs="Arial"/>
              </w:rPr>
              <w:t>eight of evidence</w:t>
            </w:r>
            <w:r>
              <w:rPr>
                <w:rStyle w:val="checkbox"/>
                <w:rFonts w:ascii="Arial" w:hAnsi="Arial" w:cs="Arial"/>
              </w:rPr>
              <w:t xml:space="preserve"> suggests </w:t>
            </w:r>
            <w:r w:rsidRPr="00934C87">
              <w:rPr>
                <w:rStyle w:val="checkbox"/>
                <w:rFonts w:ascii="Arial" w:hAnsi="Arial" w:cs="Arial"/>
              </w:rPr>
              <w:t>that</w:t>
            </w:r>
            <w:r>
              <w:rPr>
                <w:rStyle w:val="checkbox"/>
                <w:rFonts w:ascii="Arial" w:hAnsi="Arial" w:cs="Arial"/>
              </w:rPr>
              <w:t xml:space="preserve"> aliphatic thiols of this group, including ethyl </w:t>
            </w:r>
            <w:proofErr w:type="spellStart"/>
            <w:r>
              <w:rPr>
                <w:rStyle w:val="checkbox"/>
                <w:rFonts w:ascii="Arial" w:hAnsi="Arial" w:cs="Arial"/>
              </w:rPr>
              <w:t>mercaptan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, </w:t>
            </w:r>
            <w:r w:rsidRPr="00934C87">
              <w:rPr>
                <w:rStyle w:val="checkbox"/>
                <w:rFonts w:ascii="Arial" w:hAnsi="Arial" w:cs="Arial"/>
              </w:rPr>
              <w:t>do not induce gene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934C87">
              <w:rPr>
                <w:rStyle w:val="checkbox"/>
                <w:rFonts w:ascii="Arial" w:hAnsi="Arial" w:cs="Arial"/>
              </w:rPr>
              <w:t xml:space="preserve">mutations in bacteria or chromosomal </w:t>
            </w:r>
            <w:r>
              <w:rPr>
                <w:rStyle w:val="checkbox"/>
                <w:rFonts w:ascii="Arial" w:hAnsi="Arial" w:cs="Arial"/>
              </w:rPr>
              <w:t xml:space="preserve">aberrations </w:t>
            </w:r>
            <w:r w:rsidRPr="00F16236">
              <w:rPr>
                <w:rStyle w:val="checkbox"/>
                <w:rFonts w:ascii="Arial" w:hAnsi="Arial" w:cs="Arial"/>
                <w:i/>
              </w:rPr>
              <w:t>in vivo</w:t>
            </w:r>
            <w:r>
              <w:rPr>
                <w:rStyle w:val="checkbox"/>
                <w:rFonts w:ascii="Arial" w:hAnsi="Arial" w:cs="Arial"/>
              </w:rPr>
              <w:t xml:space="preserve"> or </w:t>
            </w:r>
            <w:r w:rsidRPr="00F16236">
              <w:rPr>
                <w:rStyle w:val="checkbox"/>
                <w:rFonts w:ascii="Arial" w:hAnsi="Arial" w:cs="Arial"/>
                <w:i/>
              </w:rPr>
              <w:t>in vitro</w:t>
            </w:r>
          </w:p>
          <w:p w14:paraId="4D046010" w14:textId="51D44A48" w:rsidR="007256A4" w:rsidRPr="004C23F4" w:rsidRDefault="007256A4" w:rsidP="00F16236">
            <w:pPr>
              <w:pStyle w:val="Tablefont"/>
              <w:numPr>
                <w:ilvl w:val="0"/>
                <w:numId w:val="5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 w:rsidRPr="007256A4">
              <w:rPr>
                <w:rStyle w:val="checkbox"/>
                <w:rFonts w:ascii="Arial" w:hAnsi="Arial" w:cs="Arial"/>
              </w:rPr>
              <w:t xml:space="preserve">No carcinogenicity studies were identified for any of the </w:t>
            </w:r>
            <w:r>
              <w:rPr>
                <w:rStyle w:val="checkbox"/>
                <w:rFonts w:ascii="Arial" w:hAnsi="Arial" w:cs="Arial"/>
              </w:rPr>
              <w:t>4</w:t>
            </w:r>
            <w:r w:rsidRPr="007256A4">
              <w:rPr>
                <w:rStyle w:val="checkbox"/>
                <w:rFonts w:ascii="Arial" w:hAnsi="Arial" w:cs="Arial"/>
              </w:rPr>
              <w:t xml:space="preserve"> compounds</w:t>
            </w:r>
            <w:r>
              <w:rPr>
                <w:rStyle w:val="checkbox"/>
                <w:rFonts w:ascii="Arial" w:hAnsi="Arial" w:cs="Arial"/>
              </w:rPr>
              <w:t xml:space="preserve"> in the group</w:t>
            </w:r>
            <w:r w:rsidR="00A22D2F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2C47463C" w14:textId="77777777" w:rsidTr="000B1264">
        <w:trPr>
          <w:cantSplit/>
        </w:trPr>
        <w:tc>
          <w:tcPr>
            <w:tcW w:w="1492" w:type="dxa"/>
          </w:tcPr>
          <w:p w14:paraId="07F428DA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14:paraId="3CCFD85C" w14:textId="3E44EFD2" w:rsidR="004966BF" w:rsidRDefault="00AE1D0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310B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CAC1EDC" w14:textId="39DC416B" w:rsidR="004966BF" w:rsidRPr="004C23F4" w:rsidRDefault="00B310B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1" w:type="dxa"/>
          </w:tcPr>
          <w:p w14:paraId="4228A4CE" w14:textId="3DAC049D" w:rsidR="004966BF" w:rsidRPr="004C23F4" w:rsidRDefault="00B310BD" w:rsidP="00F16236">
            <w:pPr>
              <w:pStyle w:val="Tablefont"/>
              <w:numPr>
                <w:ilvl w:val="0"/>
                <w:numId w:val="5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 w:rsidRPr="00B310BD">
              <w:rPr>
                <w:rStyle w:val="checkbox"/>
                <w:rFonts w:ascii="Arial" w:hAnsi="Arial" w:cs="Arial"/>
              </w:rPr>
              <w:t>IDLH based on acute inha</w:t>
            </w:r>
            <w:r>
              <w:rPr>
                <w:rStyle w:val="checkbox"/>
                <w:rFonts w:ascii="Arial" w:hAnsi="Arial" w:cs="Arial"/>
              </w:rPr>
              <w:t>lation toxicity data in animals; may be</w:t>
            </w:r>
            <w:r w:rsidRPr="00B310BD">
              <w:rPr>
                <w:rStyle w:val="checkbox"/>
                <w:rFonts w:ascii="Arial" w:hAnsi="Arial" w:cs="Arial"/>
              </w:rPr>
              <w:t xml:space="preserve"> conservative due to lack of relevant acute toxicity data for workers.</w:t>
            </w:r>
          </w:p>
        </w:tc>
      </w:tr>
    </w:tbl>
    <w:bookmarkEnd w:id="1"/>
    <w:p w14:paraId="47D6E71C" w14:textId="77777777" w:rsidR="007E2A4B" w:rsidRDefault="007E2A4B" w:rsidP="000B1264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6FE88335" w14:textId="77777777" w:rsidTr="007256A4">
        <w:trPr>
          <w:trHeight w:val="454"/>
          <w:tblHeader/>
        </w:trPr>
        <w:tc>
          <w:tcPr>
            <w:tcW w:w="6597" w:type="dxa"/>
            <w:vAlign w:val="center"/>
          </w:tcPr>
          <w:p w14:paraId="1A6CF18B" w14:textId="77777777" w:rsidR="002E0D61" w:rsidRDefault="00B1422A" w:rsidP="000B1264">
            <w:pPr>
              <w:pStyle w:val="Tablefont"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607B2933" w14:textId="2DC03D1A" w:rsidR="002E0D61" w:rsidRDefault="00E0761C" w:rsidP="000B1264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5B86A27B" w14:textId="77777777" w:rsidTr="007256A4">
        <w:trPr>
          <w:trHeight w:val="454"/>
        </w:trPr>
        <w:tc>
          <w:tcPr>
            <w:tcW w:w="6597" w:type="dxa"/>
            <w:vAlign w:val="center"/>
          </w:tcPr>
          <w:p w14:paraId="45FE87DB" w14:textId="77777777" w:rsidR="008A36CF" w:rsidRDefault="008A36CF" w:rsidP="000B1264">
            <w:pPr>
              <w:pStyle w:val="Tablefont"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0AEC349" w14:textId="1DC357CC" w:rsidR="008A36CF" w:rsidRDefault="00E0761C" w:rsidP="000B1264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4E2AF570" w14:textId="77777777" w:rsidTr="007256A4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57143627" w14:textId="237295E4" w:rsidR="008A36CF" w:rsidRPr="006901A2" w:rsidRDefault="00E0761C" w:rsidP="000B1264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3D6E5E78" w14:textId="77777777" w:rsidR="008A36CF" w:rsidRDefault="008A36CF" w:rsidP="000B1264">
            <w:pPr>
              <w:pStyle w:val="Tablefont"/>
              <w:keepLines/>
              <w:spacing w:before="40" w:after="40"/>
            </w:pPr>
          </w:p>
        </w:tc>
      </w:tr>
    </w:tbl>
    <w:bookmarkEnd w:id="2"/>
    <w:p w14:paraId="1BCAF7E0" w14:textId="77777777" w:rsidR="00687890" w:rsidRPr="004C23F4" w:rsidRDefault="00B479A9" w:rsidP="00A22D2F">
      <w:pPr>
        <w:pStyle w:val="Heading2"/>
      </w:pPr>
      <w:r w:rsidRPr="004C23F4">
        <w:lastRenderedPageBreak/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18E8E60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4940E03" w14:textId="77777777" w:rsidR="00687890" w:rsidRPr="004C23F4" w:rsidRDefault="00687890" w:rsidP="000B1264">
            <w:pPr>
              <w:pStyle w:val="Tableheader"/>
              <w:keepNext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EEA676D" w14:textId="77777777" w:rsidR="00687890" w:rsidRPr="004C23F4" w:rsidRDefault="00687890" w:rsidP="000B1264">
            <w:pPr>
              <w:pStyle w:val="Tableheader"/>
              <w:keepNext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DEF4F25" w14:textId="77777777" w:rsidTr="00812887">
        <w:trPr>
          <w:cantSplit/>
        </w:trPr>
        <w:tc>
          <w:tcPr>
            <w:tcW w:w="3227" w:type="dxa"/>
          </w:tcPr>
          <w:p w14:paraId="24F8C12F" w14:textId="77777777" w:rsidR="004079B4" w:rsidRPr="004C23F4" w:rsidRDefault="00084513" w:rsidP="000B1264">
            <w:pPr>
              <w:pStyle w:val="Tablefont"/>
              <w:keepNext/>
            </w:pPr>
            <w:r w:rsidRPr="004C23F4">
              <w:t>SWA</w:t>
            </w:r>
          </w:p>
        </w:tc>
        <w:tc>
          <w:tcPr>
            <w:tcW w:w="6015" w:type="dxa"/>
          </w:tcPr>
          <w:p w14:paraId="7617E669" w14:textId="01C56918" w:rsidR="00687890" w:rsidRPr="00DD2F9B" w:rsidRDefault="00B10A10" w:rsidP="000B1264">
            <w:pPr>
              <w:pStyle w:val="Tablefont"/>
              <w:keepNext/>
            </w:pPr>
            <w:r>
              <w:t>—</w:t>
            </w:r>
          </w:p>
        </w:tc>
      </w:tr>
      <w:tr w:rsidR="007925F0" w:rsidRPr="004C23F4" w14:paraId="42A4AE35" w14:textId="77777777" w:rsidTr="00812887">
        <w:trPr>
          <w:cantSplit/>
        </w:trPr>
        <w:tc>
          <w:tcPr>
            <w:tcW w:w="3227" w:type="dxa"/>
          </w:tcPr>
          <w:p w14:paraId="30BC01CE" w14:textId="77777777" w:rsidR="004079B4" w:rsidRPr="004C23F4" w:rsidRDefault="007925F0" w:rsidP="000B1264">
            <w:pPr>
              <w:pStyle w:val="Tablefont"/>
              <w:keepNext/>
            </w:pPr>
            <w:r>
              <w:t>HCIS</w:t>
            </w:r>
          </w:p>
        </w:tc>
        <w:tc>
          <w:tcPr>
            <w:tcW w:w="6015" w:type="dxa"/>
          </w:tcPr>
          <w:p w14:paraId="379DFAA0" w14:textId="27E4D7DF" w:rsidR="007925F0" w:rsidRPr="00DD2F9B" w:rsidRDefault="00B10A10" w:rsidP="000B1264">
            <w:pPr>
              <w:pStyle w:val="Tablefont"/>
              <w:keepNext/>
            </w:pPr>
            <w:r>
              <w:t>—</w:t>
            </w:r>
          </w:p>
        </w:tc>
      </w:tr>
      <w:tr w:rsidR="00AF483F" w:rsidRPr="004C23F4" w14:paraId="0E6CE7BB" w14:textId="77777777" w:rsidTr="00812887">
        <w:trPr>
          <w:cantSplit/>
        </w:trPr>
        <w:tc>
          <w:tcPr>
            <w:tcW w:w="3227" w:type="dxa"/>
          </w:tcPr>
          <w:p w14:paraId="42BBF82D" w14:textId="77777777" w:rsidR="00AF483F" w:rsidRPr="004C23F4" w:rsidRDefault="00AF483F" w:rsidP="000B1264">
            <w:pPr>
              <w:pStyle w:val="Tablefont"/>
              <w:keepNext/>
            </w:pPr>
            <w:r>
              <w:t>NICNAS</w:t>
            </w:r>
          </w:p>
        </w:tc>
        <w:tc>
          <w:tcPr>
            <w:tcW w:w="6015" w:type="dxa"/>
          </w:tcPr>
          <w:p w14:paraId="402CB6C8" w14:textId="1846F8CC" w:rsidR="00AF483F" w:rsidRPr="00DD2F9B" w:rsidRDefault="00B10A10" w:rsidP="000B1264">
            <w:pPr>
              <w:pStyle w:val="Tablefont"/>
              <w:keepNext/>
            </w:pPr>
            <w:r>
              <w:t>NA</w:t>
            </w:r>
          </w:p>
        </w:tc>
      </w:tr>
      <w:tr w:rsidR="00687890" w:rsidRPr="004C23F4" w14:paraId="64FD7E5B" w14:textId="77777777" w:rsidTr="00812887">
        <w:trPr>
          <w:cantSplit/>
        </w:trPr>
        <w:tc>
          <w:tcPr>
            <w:tcW w:w="3227" w:type="dxa"/>
          </w:tcPr>
          <w:p w14:paraId="0302B8F2" w14:textId="77777777" w:rsidR="004079B4" w:rsidRPr="004C23F4" w:rsidRDefault="00687890" w:rsidP="000B1264">
            <w:pPr>
              <w:pStyle w:val="Tablefont"/>
              <w:keepNext/>
            </w:pPr>
            <w:r w:rsidRPr="004C23F4">
              <w:t>EU Annex</w:t>
            </w:r>
          </w:p>
        </w:tc>
        <w:tc>
          <w:tcPr>
            <w:tcW w:w="6015" w:type="dxa"/>
          </w:tcPr>
          <w:p w14:paraId="1A7DBE62" w14:textId="76E264B0" w:rsidR="00687890" w:rsidRPr="00DD2F9B" w:rsidRDefault="00B310BD" w:rsidP="000B1264">
            <w:pPr>
              <w:pStyle w:val="Tablefont"/>
              <w:keepNext/>
            </w:pPr>
            <w:r>
              <w:t>—</w:t>
            </w:r>
          </w:p>
        </w:tc>
      </w:tr>
      <w:tr w:rsidR="00E41A26" w:rsidRPr="004C23F4" w14:paraId="3BCDDF03" w14:textId="77777777" w:rsidTr="00812887">
        <w:trPr>
          <w:cantSplit/>
        </w:trPr>
        <w:tc>
          <w:tcPr>
            <w:tcW w:w="3227" w:type="dxa"/>
          </w:tcPr>
          <w:p w14:paraId="6BE56836" w14:textId="77777777" w:rsidR="00E41A26" w:rsidRDefault="00E41A26" w:rsidP="000B1264">
            <w:pPr>
              <w:pStyle w:val="Tablefont"/>
              <w:keepNext/>
            </w:pPr>
            <w:r>
              <w:t>ECHA</w:t>
            </w:r>
          </w:p>
        </w:tc>
        <w:tc>
          <w:tcPr>
            <w:tcW w:w="6015" w:type="dxa"/>
          </w:tcPr>
          <w:p w14:paraId="5ADBC2D2" w14:textId="234C485E" w:rsidR="00E41A26" w:rsidRPr="00DD2F9B" w:rsidRDefault="00E41BC7" w:rsidP="000B1264">
            <w:pPr>
              <w:pStyle w:val="Tablefont"/>
              <w:keepNext/>
            </w:pPr>
            <w:r>
              <w:t>—</w:t>
            </w:r>
          </w:p>
        </w:tc>
      </w:tr>
      <w:tr w:rsidR="002E0D61" w:rsidRPr="004C23F4" w14:paraId="52FDF357" w14:textId="77777777" w:rsidTr="00812887">
        <w:trPr>
          <w:cantSplit/>
        </w:trPr>
        <w:tc>
          <w:tcPr>
            <w:tcW w:w="3227" w:type="dxa"/>
          </w:tcPr>
          <w:p w14:paraId="63F13F11" w14:textId="77777777" w:rsidR="004079B4" w:rsidRPr="004C23F4" w:rsidRDefault="002E0D61" w:rsidP="000B1264">
            <w:pPr>
              <w:pStyle w:val="Tablefont"/>
              <w:keepNext/>
            </w:pPr>
            <w:r>
              <w:t>ACGIH</w:t>
            </w:r>
          </w:p>
        </w:tc>
        <w:tc>
          <w:tcPr>
            <w:tcW w:w="6015" w:type="dxa"/>
          </w:tcPr>
          <w:p w14:paraId="390D6C3B" w14:textId="07825EAD" w:rsidR="002E0D61" w:rsidRPr="00DD2F9B" w:rsidRDefault="00E41BC7" w:rsidP="000B1264">
            <w:pPr>
              <w:pStyle w:val="Tablefont"/>
              <w:keepNext/>
            </w:pPr>
            <w:r>
              <w:t>—</w:t>
            </w:r>
          </w:p>
        </w:tc>
      </w:tr>
      <w:tr w:rsidR="002E0D61" w:rsidRPr="004C23F4" w14:paraId="3A58EE8B" w14:textId="77777777" w:rsidTr="00812887">
        <w:trPr>
          <w:cantSplit/>
        </w:trPr>
        <w:tc>
          <w:tcPr>
            <w:tcW w:w="3227" w:type="dxa"/>
          </w:tcPr>
          <w:p w14:paraId="736D3DA0" w14:textId="77777777" w:rsidR="004079B4" w:rsidRPr="004C23F4" w:rsidRDefault="002E0D61" w:rsidP="000B1264">
            <w:pPr>
              <w:pStyle w:val="Tablefont"/>
              <w:keepNext/>
            </w:pPr>
            <w:r>
              <w:t>DFG</w:t>
            </w:r>
          </w:p>
        </w:tc>
        <w:tc>
          <w:tcPr>
            <w:tcW w:w="6015" w:type="dxa"/>
          </w:tcPr>
          <w:p w14:paraId="40E207FB" w14:textId="7043F3C0" w:rsidR="002E0D61" w:rsidRPr="00DD2F9B" w:rsidRDefault="00E41BC7" w:rsidP="000B1264">
            <w:pPr>
              <w:pStyle w:val="Tablefont"/>
              <w:keepNext/>
            </w:pPr>
            <w:r w:rsidRPr="00E41BC7">
              <w:t>H (skin)</w:t>
            </w:r>
          </w:p>
        </w:tc>
      </w:tr>
      <w:tr w:rsidR="002E0D61" w:rsidRPr="004C23F4" w14:paraId="1CEF8100" w14:textId="77777777" w:rsidTr="00812887">
        <w:trPr>
          <w:cantSplit/>
        </w:trPr>
        <w:tc>
          <w:tcPr>
            <w:tcW w:w="3227" w:type="dxa"/>
          </w:tcPr>
          <w:p w14:paraId="00C4137B" w14:textId="77777777" w:rsidR="004079B4" w:rsidRPr="004C23F4" w:rsidRDefault="002E0D61" w:rsidP="000B1264">
            <w:pPr>
              <w:pStyle w:val="Tablefont"/>
              <w:keepNext/>
            </w:pPr>
            <w:r>
              <w:t>SCOEL</w:t>
            </w:r>
          </w:p>
        </w:tc>
        <w:tc>
          <w:tcPr>
            <w:tcW w:w="6015" w:type="dxa"/>
          </w:tcPr>
          <w:p w14:paraId="7D2C0602" w14:textId="140D7950" w:rsidR="002E0D61" w:rsidRPr="00DD2F9B" w:rsidRDefault="00E41BC7" w:rsidP="000B1264">
            <w:pPr>
              <w:pStyle w:val="Tablefont"/>
              <w:keepNext/>
            </w:pPr>
            <w:r>
              <w:t>NA</w:t>
            </w:r>
          </w:p>
        </w:tc>
      </w:tr>
      <w:tr w:rsidR="002E0D61" w:rsidRPr="004C23F4" w14:paraId="5A8FA5D5" w14:textId="77777777" w:rsidTr="00812887">
        <w:trPr>
          <w:cantSplit/>
        </w:trPr>
        <w:tc>
          <w:tcPr>
            <w:tcW w:w="3227" w:type="dxa"/>
          </w:tcPr>
          <w:p w14:paraId="2B34AF33" w14:textId="77777777" w:rsidR="004079B4" w:rsidRDefault="002E0D61" w:rsidP="000B1264">
            <w:pPr>
              <w:pStyle w:val="Tablefont"/>
              <w:keepNext/>
            </w:pPr>
            <w:r>
              <w:t>HCOTN</w:t>
            </w:r>
          </w:p>
        </w:tc>
        <w:tc>
          <w:tcPr>
            <w:tcW w:w="6015" w:type="dxa"/>
          </w:tcPr>
          <w:p w14:paraId="1F31F4F9" w14:textId="1F76F91B" w:rsidR="002E0D61" w:rsidRPr="00DD2F9B" w:rsidRDefault="00E41BC7" w:rsidP="000B1264">
            <w:pPr>
              <w:pStyle w:val="Tablefont"/>
              <w:keepNext/>
            </w:pPr>
            <w:r>
              <w:t>—</w:t>
            </w:r>
          </w:p>
        </w:tc>
      </w:tr>
      <w:tr w:rsidR="00386093" w:rsidRPr="004C23F4" w14:paraId="17D27598" w14:textId="77777777" w:rsidTr="00812887">
        <w:trPr>
          <w:cantSplit/>
        </w:trPr>
        <w:tc>
          <w:tcPr>
            <w:tcW w:w="3227" w:type="dxa"/>
          </w:tcPr>
          <w:p w14:paraId="53D9D11E" w14:textId="77777777" w:rsidR="004079B4" w:rsidRDefault="00386093" w:rsidP="000B1264">
            <w:pPr>
              <w:pStyle w:val="Tablefont"/>
              <w:keepNext/>
            </w:pPr>
            <w:r>
              <w:t>IARC</w:t>
            </w:r>
          </w:p>
        </w:tc>
        <w:tc>
          <w:tcPr>
            <w:tcW w:w="6015" w:type="dxa"/>
          </w:tcPr>
          <w:p w14:paraId="66384596" w14:textId="1637E8CD" w:rsidR="00386093" w:rsidRPr="00DD2F9B" w:rsidRDefault="00E41BC7" w:rsidP="000B1264">
            <w:pPr>
              <w:pStyle w:val="Tablefont"/>
              <w:keepNext/>
            </w:pPr>
            <w:r>
              <w:t>NA</w:t>
            </w:r>
          </w:p>
        </w:tc>
      </w:tr>
      <w:tr w:rsidR="00386093" w:rsidRPr="004C23F4" w14:paraId="79329A68" w14:textId="77777777" w:rsidTr="00812887">
        <w:trPr>
          <w:cantSplit/>
        </w:trPr>
        <w:tc>
          <w:tcPr>
            <w:tcW w:w="3227" w:type="dxa"/>
          </w:tcPr>
          <w:p w14:paraId="7FF6037C" w14:textId="77777777" w:rsidR="004079B4" w:rsidRDefault="00386093" w:rsidP="00A22D2F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BF09FE3" w14:textId="5D0DB9E5" w:rsidR="00386093" w:rsidRPr="00DD2F9B" w:rsidRDefault="00E41BC7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255A8AE8" w14:textId="77777777" w:rsidR="00485BFD" w:rsidRDefault="00485BFD" w:rsidP="000B1264">
      <w:pPr>
        <w:pStyle w:val="Tablefooter"/>
        <w:keepNext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D8FBB54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D0FCF37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E123F36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C26C963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757" w:type="dxa"/>
              <w:tblLook w:val="04A0" w:firstRow="1" w:lastRow="0" w:firstColumn="1" w:lastColumn="0" w:noHBand="0" w:noVBand="1"/>
            </w:tblPr>
            <w:tblGrid>
              <w:gridCol w:w="3778"/>
              <w:gridCol w:w="566"/>
              <w:gridCol w:w="547"/>
              <w:gridCol w:w="3870"/>
            </w:tblGrid>
            <w:tr w:rsidR="00170DA0" w:rsidRPr="007256A4" w14:paraId="33B760F2" w14:textId="77777777" w:rsidTr="00170DA0">
              <w:trPr>
                <w:trHeight w:val="266"/>
              </w:trPr>
              <w:tc>
                <w:tcPr>
                  <w:tcW w:w="3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C43EE9" w14:textId="77777777" w:rsidR="007256A4" w:rsidRPr="007256A4" w:rsidRDefault="007256A4" w:rsidP="007256A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AE2D44" w14:textId="77777777" w:rsidR="007256A4" w:rsidRPr="007256A4" w:rsidRDefault="007256A4" w:rsidP="007256A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0B3B28" w14:textId="77777777" w:rsidR="007256A4" w:rsidRPr="007256A4" w:rsidRDefault="007256A4" w:rsidP="007256A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E942DF" w14:textId="77777777" w:rsidR="007256A4" w:rsidRPr="007256A4" w:rsidRDefault="007256A4" w:rsidP="007256A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70DA0" w:rsidRPr="007256A4" w14:paraId="1D57D5FF" w14:textId="77777777" w:rsidTr="00170DA0">
              <w:trPr>
                <w:trHeight w:val="266"/>
              </w:trPr>
              <w:tc>
                <w:tcPr>
                  <w:tcW w:w="3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0EE82D" w14:textId="77777777" w:rsidR="007256A4" w:rsidRPr="007256A4" w:rsidRDefault="007256A4" w:rsidP="007256A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EDCC08" w14:textId="77777777" w:rsidR="007256A4" w:rsidRPr="007256A4" w:rsidRDefault="007256A4" w:rsidP="007256A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B925E6" w14:textId="77777777" w:rsidR="007256A4" w:rsidRPr="007256A4" w:rsidRDefault="007256A4" w:rsidP="007256A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EFBDFA" w14:textId="77777777" w:rsidR="007256A4" w:rsidRPr="007256A4" w:rsidRDefault="007256A4" w:rsidP="007256A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70DA0" w:rsidRPr="007256A4" w14:paraId="1EDFCB00" w14:textId="77777777" w:rsidTr="00170DA0">
              <w:trPr>
                <w:trHeight w:val="266"/>
              </w:trPr>
              <w:tc>
                <w:tcPr>
                  <w:tcW w:w="3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B957A0" w14:textId="77777777" w:rsidR="007256A4" w:rsidRPr="007256A4" w:rsidRDefault="007256A4" w:rsidP="007256A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63739C" w14:textId="77777777" w:rsidR="007256A4" w:rsidRPr="007256A4" w:rsidRDefault="007256A4" w:rsidP="007256A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570363" w14:textId="77777777" w:rsidR="007256A4" w:rsidRPr="007256A4" w:rsidRDefault="007256A4" w:rsidP="007256A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29AD08" w14:textId="77777777" w:rsidR="007256A4" w:rsidRPr="007256A4" w:rsidRDefault="007256A4" w:rsidP="007256A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70DA0" w:rsidRPr="007256A4" w14:paraId="0F929D3C" w14:textId="77777777" w:rsidTr="00170DA0">
              <w:trPr>
                <w:trHeight w:val="266"/>
              </w:trPr>
              <w:tc>
                <w:tcPr>
                  <w:tcW w:w="3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7B703B" w14:textId="77777777" w:rsidR="007256A4" w:rsidRPr="007256A4" w:rsidRDefault="007256A4" w:rsidP="007256A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8D47DF" w14:textId="77777777" w:rsidR="007256A4" w:rsidRPr="007256A4" w:rsidRDefault="007256A4" w:rsidP="007256A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0B17F2" w14:textId="77777777" w:rsidR="007256A4" w:rsidRPr="007256A4" w:rsidRDefault="007256A4" w:rsidP="007256A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A261E7" w14:textId="77777777" w:rsidR="007256A4" w:rsidRPr="007256A4" w:rsidRDefault="007256A4" w:rsidP="007256A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70DA0" w:rsidRPr="007256A4" w14:paraId="5559B3FC" w14:textId="77777777" w:rsidTr="00170DA0">
              <w:trPr>
                <w:trHeight w:val="266"/>
              </w:trPr>
              <w:tc>
                <w:tcPr>
                  <w:tcW w:w="3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A6B0C3" w14:textId="77777777" w:rsidR="007256A4" w:rsidRPr="007256A4" w:rsidRDefault="007256A4" w:rsidP="007256A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D7D187" w14:textId="77777777" w:rsidR="007256A4" w:rsidRPr="007256A4" w:rsidRDefault="007256A4" w:rsidP="007256A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8DF3B8" w14:textId="77777777" w:rsidR="007256A4" w:rsidRPr="007256A4" w:rsidRDefault="007256A4" w:rsidP="007256A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CBC537" w14:textId="77777777" w:rsidR="007256A4" w:rsidRPr="007256A4" w:rsidRDefault="007256A4" w:rsidP="007256A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70DA0" w:rsidRPr="007256A4" w14:paraId="4A253C69" w14:textId="77777777" w:rsidTr="00170DA0">
              <w:trPr>
                <w:trHeight w:val="266"/>
              </w:trPr>
              <w:tc>
                <w:tcPr>
                  <w:tcW w:w="3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5A9EB0" w14:textId="77777777" w:rsidR="007256A4" w:rsidRPr="007256A4" w:rsidRDefault="007256A4" w:rsidP="007256A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886C577" w14:textId="77777777" w:rsidR="007256A4" w:rsidRPr="007256A4" w:rsidRDefault="007256A4" w:rsidP="007256A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524610" w14:textId="77777777" w:rsidR="007256A4" w:rsidRPr="007256A4" w:rsidRDefault="007256A4" w:rsidP="007256A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2.00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56B9DD" w14:textId="77777777" w:rsidR="007256A4" w:rsidRPr="007256A4" w:rsidRDefault="007256A4" w:rsidP="007256A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70DA0" w:rsidRPr="007256A4" w14:paraId="52C863E9" w14:textId="77777777" w:rsidTr="00170DA0">
              <w:trPr>
                <w:trHeight w:val="266"/>
              </w:trPr>
              <w:tc>
                <w:tcPr>
                  <w:tcW w:w="3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8B5BFE" w14:textId="77777777" w:rsidR="007256A4" w:rsidRPr="007256A4" w:rsidRDefault="007256A4" w:rsidP="007256A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54DC91" w14:textId="77777777" w:rsidR="007256A4" w:rsidRPr="007256A4" w:rsidRDefault="007256A4" w:rsidP="007256A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9E707C" w14:textId="77777777" w:rsidR="007256A4" w:rsidRPr="007256A4" w:rsidRDefault="007256A4" w:rsidP="007256A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4DF54E" w14:textId="77777777" w:rsidR="007256A4" w:rsidRPr="007256A4" w:rsidRDefault="007256A4" w:rsidP="007256A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56A4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insufficient data to assign a skin notation</w:t>
                  </w:r>
                </w:p>
              </w:tc>
            </w:tr>
          </w:tbl>
          <w:p w14:paraId="328D273B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2708DBB2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20A720A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9E0F18A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59F059C" w14:textId="234E66B4" w:rsidR="00EB3D1B" w:rsidRDefault="00E41BC7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469C0DCB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4563A7D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BC9F2E5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D782657" w14:textId="1CBDC3F7" w:rsidR="001B79E5" w:rsidRDefault="00E41BC7" w:rsidP="001B79E5">
                <w:pPr>
                  <w:pStyle w:val="Tablefont"/>
                </w:pPr>
                <w:r w:rsidRPr="00E41BC7">
                  <w:t>62.13</w:t>
                </w:r>
              </w:p>
            </w:tc>
          </w:sdtContent>
        </w:sdt>
      </w:tr>
      <w:tr w:rsidR="00A31D99" w:rsidRPr="004C23F4" w14:paraId="068EA8E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B2B44A4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5F51760" w14:textId="4659A35D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E41BC7">
                  <w:t>2.54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E41BC7">
                  <w:t>0.394</w:t>
                </w:r>
              </w:sdtContent>
            </w:sdt>
            <w:r w:rsidRPr="00E41BC7">
              <w:t xml:space="preserve"> </w:t>
            </w:r>
            <w:r>
              <w:t>ppm</w:t>
            </w:r>
          </w:p>
        </w:tc>
      </w:tr>
      <w:tr w:rsidR="00687890" w:rsidRPr="004C23F4" w14:paraId="7095E89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9F15B8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B517F85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AA76C7C" w14:textId="77777777" w:rsidTr="00EA6243">
        <w:trPr>
          <w:cantSplit/>
        </w:trPr>
        <w:tc>
          <w:tcPr>
            <w:tcW w:w="4077" w:type="dxa"/>
            <w:vAlign w:val="center"/>
          </w:tcPr>
          <w:p w14:paraId="4209739A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FA4A6FE" w14:textId="3F764AA0" w:rsidR="00687890" w:rsidRPr="004C23F4" w:rsidRDefault="00934C87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091ACDAF" w14:textId="77777777" w:rsidTr="00EA6243">
        <w:trPr>
          <w:cantSplit/>
        </w:trPr>
        <w:tc>
          <w:tcPr>
            <w:tcW w:w="4077" w:type="dxa"/>
            <w:vAlign w:val="center"/>
          </w:tcPr>
          <w:p w14:paraId="33F9C7F6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078E5F6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94544DB" w14:textId="77777777" w:rsidTr="00EA6243">
        <w:trPr>
          <w:cantSplit/>
        </w:trPr>
        <w:tc>
          <w:tcPr>
            <w:tcW w:w="4077" w:type="dxa"/>
            <w:vAlign w:val="center"/>
          </w:tcPr>
          <w:p w14:paraId="645178B5" w14:textId="77777777" w:rsidR="00E06F40" w:rsidRPr="00263255" w:rsidRDefault="00E06F40" w:rsidP="00084513">
            <w:pPr>
              <w:pStyle w:val="Tablefont"/>
            </w:pPr>
            <w:r w:rsidRPr="00263255">
              <w:lastRenderedPageBreak/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4909232" w14:textId="77777777" w:rsidR="00E06F40" w:rsidRPr="00A006A0" w:rsidRDefault="00AE1D0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16F645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2A075FA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9695531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8F60EBF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08DC36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0DAC153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3376E42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498E0FC6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9FFF219" w14:textId="4CF0704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1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F102B3C" w14:textId="06520D08" w:rsidR="00E41BC7" w:rsidRDefault="00E41BC7" w:rsidP="00084859">
      <w:r>
        <w:t xml:space="preserve">Deutsche </w:t>
      </w:r>
      <w:proofErr w:type="spellStart"/>
      <w:r>
        <w:t>Forschungsgemeinschaft</w:t>
      </w:r>
      <w:proofErr w:type="spellEnd"/>
      <w:r>
        <w:t xml:space="preserve"> (DFG) (2005) </w:t>
      </w:r>
      <w:proofErr w:type="spellStart"/>
      <w:r w:rsidRPr="00E41BC7">
        <w:t>Ethanethiol</w:t>
      </w:r>
      <w:proofErr w:type="spellEnd"/>
      <w:r>
        <w:t xml:space="preserve"> – MAK value documentation.</w:t>
      </w:r>
    </w:p>
    <w:p w14:paraId="636D7C7C" w14:textId="77777777" w:rsidR="00A22D2F" w:rsidRDefault="00A22D2F" w:rsidP="00A22D2F">
      <w:r>
        <w:t xml:space="preserve">European Chemicals Agency (ECHA) (2019) </w:t>
      </w:r>
      <w:r w:rsidRPr="00E41BC7">
        <w:t xml:space="preserve">Ethyl </w:t>
      </w:r>
      <w:proofErr w:type="spellStart"/>
      <w:r w:rsidRPr="00E41BC7">
        <w:t>mercaptan</w:t>
      </w:r>
      <w:proofErr w:type="spellEnd"/>
      <w:r>
        <w:t xml:space="preserve"> – REACH assessment.</w:t>
      </w:r>
    </w:p>
    <w:p w14:paraId="2B9E2A49" w14:textId="1104DA8E" w:rsidR="00E41BC7" w:rsidRDefault="00E41BC7" w:rsidP="00084859">
      <w:r>
        <w:t xml:space="preserve">Health Council of the Netherlands (HCOTN) (2004) </w:t>
      </w:r>
      <w:proofErr w:type="spellStart"/>
      <w:r w:rsidRPr="00E41BC7">
        <w:t>Ethanethiol</w:t>
      </w:r>
      <w:proofErr w:type="spellEnd"/>
      <w:r>
        <w:t xml:space="preserve">. Health-based calculated occupational cancer risk values. The Hague: Health Council of the Netherlands; publication no. </w:t>
      </w:r>
      <w:r w:rsidRPr="00E41BC7">
        <w:t>2000/15OSH/120</w:t>
      </w:r>
      <w:r>
        <w:t>.</w:t>
      </w:r>
    </w:p>
    <w:p w14:paraId="31B01CEA" w14:textId="77777777" w:rsidR="00A22D2F" w:rsidRDefault="00A22D2F" w:rsidP="00A22D2F">
      <w:r w:rsidRPr="00D86E03">
        <w:t>Organisation for Economic Cooperation and Development (OECD)</w:t>
      </w:r>
      <w:r>
        <w:t xml:space="preserve"> (2010) SIDS initial assessment profile – </w:t>
      </w:r>
      <w:r w:rsidRPr="00170DA0">
        <w:t>C2-C4 Aliphatic Thiols Category</w:t>
      </w:r>
      <w:r w:rsidRPr="00D86E03">
        <w:t>.</w:t>
      </w:r>
    </w:p>
    <w:p w14:paraId="7AEF2ACA" w14:textId="5B2729B7" w:rsidR="00170DA0" w:rsidRDefault="00170DA0" w:rsidP="00084859">
      <w:r w:rsidRPr="00170DA0">
        <w:t>UK Health and Safety Executive (HSE) (2002) EH40/2005 Workplace exposure limits.</w:t>
      </w:r>
    </w:p>
    <w:p w14:paraId="37AC0DC8" w14:textId="1C2BC2D5" w:rsidR="000B1264" w:rsidRDefault="000B1264" w:rsidP="000B1264">
      <w:r>
        <w:t xml:space="preserve">US 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or health concentrations – Ethyl </w:t>
      </w:r>
      <w:proofErr w:type="spellStart"/>
      <w:r>
        <w:t>mercaptan</w:t>
      </w:r>
      <w:proofErr w:type="spellEnd"/>
      <w:r>
        <w:t xml:space="preserve">. </w:t>
      </w:r>
    </w:p>
    <w:p w14:paraId="06A7658F" w14:textId="77777777" w:rsidR="00E41BC7" w:rsidRPr="00351FE0" w:rsidRDefault="00E41BC7" w:rsidP="00084859"/>
    <w:sectPr w:rsidR="00E41BC7" w:rsidRPr="00351FE0" w:rsidSect="00B87D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6F33AB" w16cid:durableId="2180DA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F7858" w14:textId="77777777" w:rsidR="00964A0A" w:rsidRDefault="00964A0A" w:rsidP="00F43AD5">
      <w:pPr>
        <w:spacing w:after="0" w:line="240" w:lineRule="auto"/>
      </w:pPr>
      <w:r>
        <w:separator/>
      </w:r>
    </w:p>
  </w:endnote>
  <w:endnote w:type="continuationSeparator" w:id="0">
    <w:p w14:paraId="74FAE702" w14:textId="77777777" w:rsidR="00964A0A" w:rsidRDefault="00964A0A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D8C5" w14:textId="77777777" w:rsidR="00FA4E60" w:rsidRDefault="00FA4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0475388" w14:textId="77777777" w:rsidR="00FA4E60" w:rsidRDefault="00FA4E60" w:rsidP="00FA4E60">
        <w:pPr>
          <w:pStyle w:val="Footer"/>
        </w:pPr>
      </w:p>
      <w:p w14:paraId="23C550EE" w14:textId="469ABD9A" w:rsidR="00FA4E60" w:rsidRDefault="00FA4E60" w:rsidP="00FA4E60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 xml:space="preserve">Ethyl </w:t>
        </w:r>
        <w:proofErr w:type="spellStart"/>
        <w:r>
          <w:rPr>
            <w:b/>
            <w:sz w:val="18"/>
            <w:szCs w:val="18"/>
          </w:rPr>
          <w:t>mercaptan</w:t>
        </w:r>
        <w:proofErr w:type="spellEnd"/>
        <w:r>
          <w:rPr>
            <w:b/>
            <w:sz w:val="18"/>
            <w:szCs w:val="18"/>
          </w:rPr>
          <w:t xml:space="preserve"> (75-08</w:t>
        </w:r>
        <w:r w:rsidRPr="00C86EAE">
          <w:rPr>
            <w:b/>
            <w:sz w:val="18"/>
            <w:szCs w:val="18"/>
          </w:rPr>
          <w:t>-1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63BE6D56" w14:textId="428DB1ED" w:rsidR="00FA4E60" w:rsidRPr="00F43AD5" w:rsidRDefault="00FA4E60" w:rsidP="00FA4E60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AE1D00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  <w:p w14:paraId="706E9B48" w14:textId="77777777" w:rsidR="00FA4E60" w:rsidRDefault="00FA4E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9FC25" w14:textId="77777777" w:rsidR="00FA4E60" w:rsidRDefault="00FA4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1EAF3" w14:textId="77777777" w:rsidR="00964A0A" w:rsidRDefault="00964A0A" w:rsidP="00F43AD5">
      <w:pPr>
        <w:spacing w:after="0" w:line="240" w:lineRule="auto"/>
      </w:pPr>
      <w:r>
        <w:separator/>
      </w:r>
    </w:p>
  </w:footnote>
  <w:footnote w:type="continuationSeparator" w:id="0">
    <w:p w14:paraId="56C4C9F3" w14:textId="77777777" w:rsidR="00964A0A" w:rsidRDefault="00964A0A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F8927" w14:textId="5BBAAA24" w:rsidR="00FA4E60" w:rsidRDefault="00AE1D00">
    <w:pPr>
      <w:pStyle w:val="Header"/>
    </w:pPr>
    <w:r>
      <w:rPr>
        <w:noProof/>
      </w:rPr>
      <w:pict w14:anchorId="645995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365672" o:spid="_x0000_s10242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8048" w14:textId="4B92047A" w:rsidR="008A36CF" w:rsidRDefault="00AE1D00" w:rsidP="00F43AD5">
    <w:pPr>
      <w:pStyle w:val="Header"/>
      <w:jc w:val="right"/>
    </w:pPr>
    <w:r>
      <w:rPr>
        <w:noProof/>
      </w:rPr>
      <w:pict w14:anchorId="2DC076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365673" o:spid="_x0000_s10243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FA4E60">
      <w:rPr>
        <w:noProof/>
        <w:lang w:eastAsia="en-AU"/>
      </w:rPr>
      <w:drawing>
        <wp:inline distT="0" distB="0" distL="0" distR="0" wp14:anchorId="2CA58734" wp14:editId="6540B220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ADD234" w14:textId="77777777" w:rsidR="00FA4E60" w:rsidRDefault="00FA4E60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889C7" w14:textId="0E1CFE1C" w:rsidR="00FA4E60" w:rsidRDefault="00AE1D00">
    <w:pPr>
      <w:pStyle w:val="Header"/>
    </w:pPr>
    <w:r>
      <w:rPr>
        <w:noProof/>
      </w:rPr>
      <w:pict w14:anchorId="05E71B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365671" o:spid="_x0000_s10241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222C8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32425F"/>
    <w:multiLevelType w:val="hybridMultilevel"/>
    <w:tmpl w:val="FEE65D98"/>
    <w:lvl w:ilvl="0" w:tplc="B47444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05B49"/>
    <w:multiLevelType w:val="hybridMultilevel"/>
    <w:tmpl w:val="AD74C824"/>
    <w:lvl w:ilvl="0" w:tplc="8BE665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842F9"/>
    <w:multiLevelType w:val="hybridMultilevel"/>
    <w:tmpl w:val="26329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73A4A"/>
    <w:multiLevelType w:val="hybridMultilevel"/>
    <w:tmpl w:val="81201638"/>
    <w:lvl w:ilvl="0" w:tplc="9D8EF0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B1091"/>
    <w:multiLevelType w:val="hybridMultilevel"/>
    <w:tmpl w:val="967C8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1264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63E6E"/>
    <w:rsid w:val="00170DA0"/>
    <w:rsid w:val="00177CA1"/>
    <w:rsid w:val="0018186D"/>
    <w:rsid w:val="00183823"/>
    <w:rsid w:val="00183942"/>
    <w:rsid w:val="001A009E"/>
    <w:rsid w:val="001A1287"/>
    <w:rsid w:val="001A3859"/>
    <w:rsid w:val="001A3C9D"/>
    <w:rsid w:val="001A43F8"/>
    <w:rsid w:val="001B79E5"/>
    <w:rsid w:val="001C159F"/>
    <w:rsid w:val="001C5BCC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207E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B209E"/>
    <w:rsid w:val="002C34F2"/>
    <w:rsid w:val="002C58FF"/>
    <w:rsid w:val="002C7AFE"/>
    <w:rsid w:val="002D05D2"/>
    <w:rsid w:val="002D3DEA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5879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D75D5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A52C9"/>
    <w:rsid w:val="004C1E3F"/>
    <w:rsid w:val="004C23F4"/>
    <w:rsid w:val="004C3475"/>
    <w:rsid w:val="004C58B6"/>
    <w:rsid w:val="004D16A3"/>
    <w:rsid w:val="004D4AA1"/>
    <w:rsid w:val="004D6D68"/>
    <w:rsid w:val="004E5EDD"/>
    <w:rsid w:val="004F042E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036D"/>
    <w:rsid w:val="00591E38"/>
    <w:rsid w:val="005A19C5"/>
    <w:rsid w:val="005A3034"/>
    <w:rsid w:val="005A462D"/>
    <w:rsid w:val="005B253B"/>
    <w:rsid w:val="005B771D"/>
    <w:rsid w:val="005C5D16"/>
    <w:rsid w:val="005D3193"/>
    <w:rsid w:val="005D3AE0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5AD0"/>
    <w:rsid w:val="006867F3"/>
    <w:rsid w:val="00687890"/>
    <w:rsid w:val="006901A2"/>
    <w:rsid w:val="00690368"/>
    <w:rsid w:val="0069079C"/>
    <w:rsid w:val="00690B53"/>
    <w:rsid w:val="00695B72"/>
    <w:rsid w:val="006A0AF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256A4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44D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1E19"/>
    <w:rsid w:val="008335A6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5C1D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4C87"/>
    <w:rsid w:val="0093760E"/>
    <w:rsid w:val="00946044"/>
    <w:rsid w:val="0094660B"/>
    <w:rsid w:val="00946A33"/>
    <w:rsid w:val="0095260E"/>
    <w:rsid w:val="009578DD"/>
    <w:rsid w:val="00961124"/>
    <w:rsid w:val="009621B6"/>
    <w:rsid w:val="00964A0A"/>
    <w:rsid w:val="00974F2D"/>
    <w:rsid w:val="00977524"/>
    <w:rsid w:val="00977E88"/>
    <w:rsid w:val="00984920"/>
    <w:rsid w:val="00990D26"/>
    <w:rsid w:val="0099303A"/>
    <w:rsid w:val="009971C2"/>
    <w:rsid w:val="009A1254"/>
    <w:rsid w:val="009B2FF2"/>
    <w:rsid w:val="009B3743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2D2F"/>
    <w:rsid w:val="00A27E2D"/>
    <w:rsid w:val="00A31D99"/>
    <w:rsid w:val="00A357BA"/>
    <w:rsid w:val="00A35ADC"/>
    <w:rsid w:val="00A364F1"/>
    <w:rsid w:val="00A402A3"/>
    <w:rsid w:val="00A4399C"/>
    <w:rsid w:val="00A53681"/>
    <w:rsid w:val="00A633D4"/>
    <w:rsid w:val="00A6461A"/>
    <w:rsid w:val="00A74B20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1D00"/>
    <w:rsid w:val="00AE2745"/>
    <w:rsid w:val="00AE2F64"/>
    <w:rsid w:val="00AF42CB"/>
    <w:rsid w:val="00AF483F"/>
    <w:rsid w:val="00AF5E07"/>
    <w:rsid w:val="00AF5F06"/>
    <w:rsid w:val="00B00A25"/>
    <w:rsid w:val="00B10A10"/>
    <w:rsid w:val="00B1422A"/>
    <w:rsid w:val="00B1765C"/>
    <w:rsid w:val="00B213C4"/>
    <w:rsid w:val="00B236B6"/>
    <w:rsid w:val="00B310BD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2634"/>
    <w:rsid w:val="00BA4510"/>
    <w:rsid w:val="00BA529A"/>
    <w:rsid w:val="00BB612A"/>
    <w:rsid w:val="00BC4CBD"/>
    <w:rsid w:val="00BD36F9"/>
    <w:rsid w:val="00BD499F"/>
    <w:rsid w:val="00BD56DE"/>
    <w:rsid w:val="00BD5FFD"/>
    <w:rsid w:val="00BF2406"/>
    <w:rsid w:val="00C06E43"/>
    <w:rsid w:val="00C16315"/>
    <w:rsid w:val="00C3091E"/>
    <w:rsid w:val="00C40C77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054A"/>
    <w:rsid w:val="00CC1A68"/>
    <w:rsid w:val="00CC2123"/>
    <w:rsid w:val="00CD2BFD"/>
    <w:rsid w:val="00CE5AD6"/>
    <w:rsid w:val="00CE617F"/>
    <w:rsid w:val="00CE78EF"/>
    <w:rsid w:val="00CF4B94"/>
    <w:rsid w:val="00D048F7"/>
    <w:rsid w:val="00D0517E"/>
    <w:rsid w:val="00D140FC"/>
    <w:rsid w:val="00D21D8C"/>
    <w:rsid w:val="00D31357"/>
    <w:rsid w:val="00D33220"/>
    <w:rsid w:val="00D334D1"/>
    <w:rsid w:val="00D44C89"/>
    <w:rsid w:val="00D4551A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508D"/>
    <w:rsid w:val="00DF6F36"/>
    <w:rsid w:val="00E0084C"/>
    <w:rsid w:val="00E025AB"/>
    <w:rsid w:val="00E02B23"/>
    <w:rsid w:val="00E06F40"/>
    <w:rsid w:val="00E0761C"/>
    <w:rsid w:val="00E07CE8"/>
    <w:rsid w:val="00E26A07"/>
    <w:rsid w:val="00E32595"/>
    <w:rsid w:val="00E37CFD"/>
    <w:rsid w:val="00E41A26"/>
    <w:rsid w:val="00E41BC7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A7774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07778"/>
    <w:rsid w:val="00F10C97"/>
    <w:rsid w:val="00F11C71"/>
    <w:rsid w:val="00F16019"/>
    <w:rsid w:val="00F16236"/>
    <w:rsid w:val="00F20E68"/>
    <w:rsid w:val="00F22093"/>
    <w:rsid w:val="00F234CC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4E60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934C87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5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A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A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AD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ih.org/tlv-bei-guidelines/policies-procedures-presen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0209DCCEE9C48B481ED68DDD32DA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F37BD-0C5E-4678-A007-D481487553DA}"/>
      </w:docPartPr>
      <w:docPartBody>
        <w:p w:rsidR="0061718A" w:rsidRDefault="00300302" w:rsidP="00300302">
          <w:pPr>
            <w:pStyle w:val="F0209DCCEE9C48B481ED68DDD32DA2D4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00302"/>
    <w:rsid w:val="0035039D"/>
    <w:rsid w:val="0061718A"/>
    <w:rsid w:val="00682795"/>
    <w:rsid w:val="00D21A9F"/>
    <w:rsid w:val="00F4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0302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E0FC870E5B942509E060F5158C5B014">
    <w:name w:val="3E0FC870E5B942509E060F5158C5B014"/>
    <w:rsid w:val="00F466DB"/>
  </w:style>
  <w:style w:type="paragraph" w:customStyle="1" w:styleId="CFFA18AD35D44ABCB1AF93E243FE74E0">
    <w:name w:val="CFFA18AD35D44ABCB1AF93E243FE74E0"/>
    <w:rsid w:val="00F466DB"/>
  </w:style>
  <w:style w:type="paragraph" w:customStyle="1" w:styleId="8C76EF1490D24D65B3F62C06E6F4B29C">
    <w:name w:val="8C76EF1490D24D65B3F62C06E6F4B29C"/>
    <w:rsid w:val="00F466DB"/>
  </w:style>
  <w:style w:type="paragraph" w:customStyle="1" w:styleId="3BF5269299914C65B139F5389ED09439">
    <w:name w:val="3BF5269299914C65B139F5389ED09439"/>
    <w:rsid w:val="00F466DB"/>
  </w:style>
  <w:style w:type="paragraph" w:customStyle="1" w:styleId="43B7709DA89847F2A946716ED8483E14">
    <w:name w:val="43B7709DA89847F2A946716ED8483E14"/>
    <w:rsid w:val="00F466DB"/>
  </w:style>
  <w:style w:type="paragraph" w:customStyle="1" w:styleId="87426127EC254342913D89B1AC03E2B7">
    <w:name w:val="87426127EC254342913D89B1AC03E2B7"/>
    <w:rsid w:val="00F466DB"/>
  </w:style>
  <w:style w:type="paragraph" w:customStyle="1" w:styleId="6B8A71869B3845509D6DABB5BAD14227">
    <w:name w:val="6B8A71869B3845509D6DABB5BAD14227"/>
    <w:rsid w:val="00F466DB"/>
  </w:style>
  <w:style w:type="paragraph" w:customStyle="1" w:styleId="6445DBE1E01D4177AB054FF13572FC0F">
    <w:name w:val="6445DBE1E01D4177AB054FF13572FC0F"/>
    <w:rsid w:val="00682795"/>
  </w:style>
  <w:style w:type="paragraph" w:customStyle="1" w:styleId="597B429A76FB4C47A174805827158E6C">
    <w:name w:val="597B429A76FB4C47A174805827158E6C"/>
    <w:rsid w:val="00682795"/>
  </w:style>
  <w:style w:type="paragraph" w:customStyle="1" w:styleId="F0209DCCEE9C48B481ED68DDD32DA2D4">
    <w:name w:val="F0209DCCEE9C48B481ED68DDD32DA2D4"/>
    <w:rsid w:val="00300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608E3-0519-42F7-AF60-A61F1693D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34A0C5-339D-4424-A6EE-8C232D46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1547</Words>
  <Characters>8623</Characters>
  <Application>Microsoft Office Word</Application>
  <DocSecurity>0</DocSecurity>
  <Lines>359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23</cp:revision>
  <cp:lastPrinted>2018-10-22T22:41:00Z</cp:lastPrinted>
  <dcterms:created xsi:type="dcterms:W3CDTF">2019-08-26T23:52:00Z</dcterms:created>
  <dcterms:modified xsi:type="dcterms:W3CDTF">2019-11-21T21:41:00Z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