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0F5068A" w14:textId="5406EEA8" w:rsidR="00BD499F" w:rsidRPr="004C23F4" w:rsidRDefault="006A5D16" w:rsidP="006A5D16">
          <w:pPr>
            <w:pStyle w:val="Heading1"/>
            <w:jc w:val="center"/>
            <w:rPr>
              <w:rFonts w:ascii="Arial" w:hAnsi="Arial" w:cs="Arial"/>
            </w:rPr>
          </w:pPr>
          <w:r w:rsidRPr="006A5D16">
            <w:rPr>
              <w:rFonts w:ascii="Arial" w:hAnsi="Arial" w:cs="Arial"/>
            </w:rPr>
            <w:t>Ethylene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45D8F458" w14:textId="77777777" w:rsidTr="00BE17E5">
        <w:trPr>
          <w:cantSplit/>
          <w:tblHeader/>
        </w:trPr>
        <w:tc>
          <w:tcPr>
            <w:tcW w:w="3985" w:type="dxa"/>
          </w:tcPr>
          <w:p w14:paraId="5308977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1" w:type="dxa"/>
          </w:tcPr>
          <w:p w14:paraId="0BA7F7C5" w14:textId="73A7AFE4" w:rsidR="00F43AD5" w:rsidRPr="00717D45" w:rsidRDefault="00665736" w:rsidP="00B76A41">
            <w:pPr>
              <w:pStyle w:val="Tablefont"/>
            </w:pPr>
            <w:r w:rsidRPr="00665736">
              <w:t>74-85-1</w:t>
            </w:r>
          </w:p>
        </w:tc>
      </w:tr>
      <w:tr w:rsidR="00F43AD5" w:rsidRPr="004C23F4" w14:paraId="6854D8A0" w14:textId="77777777" w:rsidTr="00BE17E5">
        <w:trPr>
          <w:cantSplit/>
        </w:trPr>
        <w:tc>
          <w:tcPr>
            <w:tcW w:w="3985" w:type="dxa"/>
          </w:tcPr>
          <w:p w14:paraId="2F229B2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1" w:type="dxa"/>
          </w:tcPr>
          <w:p w14:paraId="5DA6F012" w14:textId="1954A801" w:rsidR="00F43AD5" w:rsidRPr="00717D45" w:rsidRDefault="00665736" w:rsidP="00B76A41">
            <w:pPr>
              <w:pStyle w:val="Tablefont"/>
            </w:pPr>
            <w:proofErr w:type="spellStart"/>
            <w:r>
              <w:t>Acet</w:t>
            </w:r>
            <w:r w:rsidR="00490D99">
              <w:t>e</w:t>
            </w:r>
            <w:r>
              <w:t>ne</w:t>
            </w:r>
            <w:proofErr w:type="spellEnd"/>
            <w:r>
              <w:t xml:space="preserve">, </w:t>
            </w:r>
            <w:proofErr w:type="spellStart"/>
            <w:r w:rsidR="00E405FB">
              <w:t>bicarburetted</w:t>
            </w:r>
            <w:proofErr w:type="spellEnd"/>
            <w:r w:rsidR="00E405FB">
              <w:t xml:space="preserve"> </w:t>
            </w:r>
            <w:r>
              <w:t xml:space="preserve">hydrogen, </w:t>
            </w:r>
            <w:proofErr w:type="spellStart"/>
            <w:r w:rsidR="00E405FB">
              <w:t>elayl</w:t>
            </w:r>
            <w:proofErr w:type="spellEnd"/>
            <w:r>
              <w:t xml:space="preserve">, </w:t>
            </w:r>
            <w:proofErr w:type="spellStart"/>
            <w:r w:rsidR="00E405FB">
              <w:t>ethene</w:t>
            </w:r>
            <w:proofErr w:type="spellEnd"/>
            <w:r>
              <w:t xml:space="preserve">, </w:t>
            </w:r>
            <w:proofErr w:type="spellStart"/>
            <w:r w:rsidR="00E405FB">
              <w:t>olefiant</w:t>
            </w:r>
            <w:proofErr w:type="spellEnd"/>
            <w:r w:rsidR="00E405FB">
              <w:t xml:space="preserve"> </w:t>
            </w:r>
            <w:r>
              <w:t>gas</w:t>
            </w:r>
          </w:p>
        </w:tc>
      </w:tr>
      <w:tr w:rsidR="00F43AD5" w:rsidRPr="004C23F4" w14:paraId="3E55CDF0" w14:textId="77777777" w:rsidTr="00BE17E5">
        <w:trPr>
          <w:cantSplit/>
        </w:trPr>
        <w:tc>
          <w:tcPr>
            <w:tcW w:w="3985" w:type="dxa"/>
          </w:tcPr>
          <w:p w14:paraId="1A07562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1" w:type="dxa"/>
          </w:tcPr>
          <w:p w14:paraId="268102D1" w14:textId="718A23C6" w:rsidR="00F43AD5" w:rsidRPr="00717D45" w:rsidRDefault="00665736" w:rsidP="00B76A41">
            <w:pPr>
              <w:pStyle w:val="Tablefont"/>
            </w:pPr>
            <w:r>
              <w:t>C</w:t>
            </w:r>
            <w:r w:rsidRPr="00665736">
              <w:rPr>
                <w:vertAlign w:val="subscript"/>
              </w:rPr>
              <w:t>2</w:t>
            </w:r>
            <w:r>
              <w:t>H</w:t>
            </w:r>
            <w:r w:rsidRPr="00665736">
              <w:rPr>
                <w:vertAlign w:val="subscript"/>
              </w:rPr>
              <w:t>4</w:t>
            </w:r>
          </w:p>
        </w:tc>
      </w:tr>
    </w:tbl>
    <w:p w14:paraId="529E1851" w14:textId="75A3E71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D13DF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7"/>
        <w:gridCol w:w="5019"/>
      </w:tblGrid>
      <w:tr w:rsidR="002C7AFE" w:rsidRPr="004C23F4" w14:paraId="0B57DC83" w14:textId="77777777" w:rsidTr="00380EF9">
        <w:trPr>
          <w:cantSplit/>
          <w:tblHeader/>
        </w:trPr>
        <w:tc>
          <w:tcPr>
            <w:tcW w:w="4007" w:type="dxa"/>
            <w:vAlign w:val="center"/>
          </w:tcPr>
          <w:p w14:paraId="1617C8F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9" w:type="dxa"/>
          </w:tcPr>
          <w:p w14:paraId="2985C15D" w14:textId="3EC6179B" w:rsidR="002C7AFE" w:rsidRPr="00EB3D1B" w:rsidRDefault="003D13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3B3715B" w14:textId="77777777" w:rsidTr="00380EF9">
        <w:trPr>
          <w:cantSplit/>
        </w:trPr>
        <w:tc>
          <w:tcPr>
            <w:tcW w:w="4007" w:type="dxa"/>
            <w:vAlign w:val="center"/>
          </w:tcPr>
          <w:p w14:paraId="44B34B4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9" w:type="dxa"/>
          </w:tcPr>
          <w:p w14:paraId="2D5AE943" w14:textId="2DA309F7" w:rsidR="002C7AFE" w:rsidRPr="00EB3D1B" w:rsidRDefault="003D13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BF93905" w14:textId="77777777" w:rsidTr="00380EF9">
        <w:trPr>
          <w:cantSplit/>
        </w:trPr>
        <w:tc>
          <w:tcPr>
            <w:tcW w:w="4007" w:type="dxa"/>
            <w:vAlign w:val="center"/>
          </w:tcPr>
          <w:p w14:paraId="6610648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9" w:type="dxa"/>
          </w:tcPr>
          <w:p w14:paraId="1DECAEC3" w14:textId="6FEA10DD" w:rsidR="002C7AFE" w:rsidRPr="00EB3D1B" w:rsidRDefault="003D13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0F01CA0" w14:textId="77777777" w:rsidTr="00380EF9">
        <w:trPr>
          <w:cantSplit/>
        </w:trPr>
        <w:tc>
          <w:tcPr>
            <w:tcW w:w="4007" w:type="dxa"/>
          </w:tcPr>
          <w:p w14:paraId="430D47E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9" w:type="dxa"/>
          </w:tcPr>
          <w:p w14:paraId="6F8CA057" w14:textId="14A74C4A" w:rsidR="002C7AFE" w:rsidRPr="00EB3D1B" w:rsidRDefault="003D13D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EF41659" w14:textId="77777777" w:rsidTr="00380EF9">
        <w:trPr>
          <w:cantSplit/>
        </w:trPr>
        <w:tc>
          <w:tcPr>
            <w:tcW w:w="4007" w:type="dxa"/>
            <w:vAlign w:val="center"/>
          </w:tcPr>
          <w:p w14:paraId="1686D2B6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9" w:type="dxa"/>
          </w:tcPr>
          <w:p w14:paraId="4D4E4684" w14:textId="7F8FF25B" w:rsidR="002C7AFE" w:rsidRPr="003D13DF" w:rsidRDefault="00380EF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380EF9" w:rsidRPr="004C23F4" w14:paraId="2D51C141" w14:textId="77777777" w:rsidTr="00F80CE8">
        <w:trPr>
          <w:cantSplit/>
        </w:trPr>
        <w:tc>
          <w:tcPr>
            <w:tcW w:w="9026" w:type="dxa"/>
            <w:gridSpan w:val="2"/>
            <w:vAlign w:val="center"/>
          </w:tcPr>
          <w:p w14:paraId="73A573A0" w14:textId="7DF36C75" w:rsidR="00380EF9" w:rsidRPr="00EB3D1B" w:rsidRDefault="00380EF9" w:rsidP="00017C82">
            <w:pPr>
              <w:pStyle w:val="Tablefont"/>
              <w:rPr>
                <w:b/>
              </w:rPr>
            </w:pPr>
            <w: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r>
              <w:rPr>
                <w:rStyle w:val="WESstatus"/>
                <w:b/>
                <w:color w:val="auto"/>
              </w:rPr>
              <w:t>N/A</w:t>
            </w:r>
          </w:p>
        </w:tc>
      </w:tr>
    </w:tbl>
    <w:p w14:paraId="346FA57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A2BB1AE" w14:textId="165A2334" w:rsidR="006639B4" w:rsidRPr="004C23F4" w:rsidRDefault="003D13DF" w:rsidP="000C139A">
      <w:pPr>
        <w:rPr>
          <w:rFonts w:cs="Arial"/>
        </w:rPr>
      </w:pPr>
      <w:r w:rsidRPr="003D13DF">
        <w:rPr>
          <w:rFonts w:cs="Arial"/>
        </w:rPr>
        <w:t xml:space="preserve">Insufficient data </w:t>
      </w:r>
      <w:r w:rsidR="00BE17E5">
        <w:rPr>
          <w:rFonts w:cs="Arial"/>
        </w:rPr>
        <w:t>a</w:t>
      </w:r>
      <w:r w:rsidR="00EB5375">
        <w:rPr>
          <w:rFonts w:cs="Arial"/>
        </w:rPr>
        <w:t>re available</w:t>
      </w:r>
      <w:r w:rsidR="00EB5375" w:rsidRPr="003D13DF">
        <w:rPr>
          <w:rFonts w:cs="Arial"/>
        </w:rPr>
        <w:t xml:space="preserve"> </w:t>
      </w:r>
      <w:r w:rsidRPr="003D13DF">
        <w:rPr>
          <w:rFonts w:cs="Arial"/>
        </w:rPr>
        <w:t>to perform a risk-based assessment</w:t>
      </w:r>
      <w:r w:rsidR="00BE17E5">
        <w:rPr>
          <w:rFonts w:cs="Arial"/>
        </w:rPr>
        <w:t>.</w:t>
      </w:r>
      <w:r w:rsidRPr="003D13DF">
        <w:rPr>
          <w:rFonts w:cs="Arial"/>
        </w:rPr>
        <w:t xml:space="preserve"> </w:t>
      </w:r>
      <w:r w:rsidR="00BE17E5">
        <w:rPr>
          <w:rFonts w:cs="Arial"/>
        </w:rPr>
        <w:t>T</w:t>
      </w:r>
      <w:r w:rsidRPr="003D13DF">
        <w:rPr>
          <w:rFonts w:cs="Arial"/>
        </w:rPr>
        <w:t>herefore</w:t>
      </w:r>
      <w:r w:rsidR="00EB5375">
        <w:rPr>
          <w:rFonts w:cs="Arial"/>
        </w:rPr>
        <w:t>,</w:t>
      </w:r>
      <w:r w:rsidRPr="003D13DF">
        <w:rPr>
          <w:rFonts w:cs="Arial"/>
        </w:rPr>
        <w:t xml:space="preserve"> it</w:t>
      </w:r>
      <w:r w:rsidR="00BE17E5">
        <w:rPr>
          <w:rFonts w:cs="Arial"/>
        </w:rPr>
        <w:t xml:space="preserve"> is recommended that an investigation</w:t>
      </w:r>
      <w:r w:rsidRPr="003D13DF">
        <w:rPr>
          <w:rFonts w:cs="Arial"/>
        </w:rPr>
        <w:t xml:space="preserve"> </w:t>
      </w:r>
      <w:r w:rsidR="00BE17E5">
        <w:rPr>
          <w:rFonts w:cs="Arial"/>
        </w:rPr>
        <w:t xml:space="preserve">of additional data sources </w:t>
      </w:r>
      <w:r w:rsidRPr="003D13DF">
        <w:rPr>
          <w:rFonts w:cs="Arial"/>
        </w:rPr>
        <w:t>be undertaken at the n</w:t>
      </w:r>
      <w:r>
        <w:rPr>
          <w:rFonts w:cs="Arial"/>
        </w:rPr>
        <w:t xml:space="preserve">ext scheduled </w:t>
      </w:r>
      <w:r w:rsidR="00BE17E5">
        <w:rPr>
          <w:rFonts w:cs="Arial"/>
        </w:rPr>
        <w:t>review</w:t>
      </w:r>
      <w:r>
        <w:rPr>
          <w:rFonts w:cs="Arial"/>
        </w:rPr>
        <w:t>.</w:t>
      </w:r>
    </w:p>
    <w:p w14:paraId="394C25D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4F530FB" w14:textId="77777777" w:rsidR="00BE17E5" w:rsidRDefault="00AF5061" w:rsidP="006639B4">
      <w:pPr>
        <w:rPr>
          <w:rFonts w:cs="Arial"/>
        </w:rPr>
      </w:pPr>
      <w:r>
        <w:rPr>
          <w:rFonts w:cs="Arial"/>
        </w:rPr>
        <w:t xml:space="preserve">Ethylene is a gas under standard conditions and is used as a starting material in the manufacture of plastics and small organic compounds, as a </w:t>
      </w:r>
      <w:r w:rsidR="00C23F1A">
        <w:rPr>
          <w:rFonts w:cs="Arial"/>
        </w:rPr>
        <w:t xml:space="preserve">plant </w:t>
      </w:r>
      <w:r>
        <w:rPr>
          <w:rFonts w:cs="Arial"/>
        </w:rPr>
        <w:t xml:space="preserve">maturation hormone in the food industry and </w:t>
      </w:r>
      <w:r w:rsidR="0016328A">
        <w:rPr>
          <w:rFonts w:cs="Arial"/>
        </w:rPr>
        <w:t xml:space="preserve">occasionally </w:t>
      </w:r>
      <w:r>
        <w:rPr>
          <w:rFonts w:cs="Arial"/>
        </w:rPr>
        <w:t xml:space="preserve">as an anaesthetic. </w:t>
      </w:r>
    </w:p>
    <w:p w14:paraId="7F2C4348" w14:textId="36828289" w:rsidR="003D13DF" w:rsidRDefault="00BE17E5" w:rsidP="006639B4">
      <w:pPr>
        <w:rPr>
          <w:rFonts w:cs="Arial"/>
        </w:rPr>
      </w:pPr>
      <w:r>
        <w:rPr>
          <w:rFonts w:cs="Arial"/>
        </w:rPr>
        <w:t>It</w:t>
      </w:r>
      <w:r w:rsidR="00AF5061">
        <w:rPr>
          <w:rFonts w:cs="Arial"/>
        </w:rPr>
        <w:t xml:space="preserve"> is relatively non-toxic and causes </w:t>
      </w:r>
      <w:r w:rsidR="0016328A">
        <w:rPr>
          <w:rFonts w:cs="Arial"/>
        </w:rPr>
        <w:t xml:space="preserve">anaesthesia and </w:t>
      </w:r>
      <w:r w:rsidR="00AF5061">
        <w:rPr>
          <w:rFonts w:cs="Arial"/>
        </w:rPr>
        <w:t>asphyxiation at extremely high concentrations</w:t>
      </w:r>
      <w:r w:rsidR="004C1F29">
        <w:rPr>
          <w:rFonts w:cs="Arial"/>
        </w:rPr>
        <w:t xml:space="preserve"> (</w:t>
      </w:r>
      <w:proofErr w:type="gramStart"/>
      <w:r w:rsidR="004C1F29">
        <w:rPr>
          <w:rFonts w:cs="Arial"/>
        </w:rPr>
        <w:t>greater</w:t>
      </w:r>
      <w:proofErr w:type="gramEnd"/>
      <w:r w:rsidR="004C1F29">
        <w:rPr>
          <w:rFonts w:cs="Arial"/>
        </w:rPr>
        <w:t xml:space="preserve"> than 50,000 ppm)</w:t>
      </w:r>
      <w:r w:rsidR="00AF5061">
        <w:rPr>
          <w:rFonts w:cs="Arial"/>
        </w:rPr>
        <w:t>.</w:t>
      </w:r>
      <w:r>
        <w:rPr>
          <w:rFonts w:cs="Arial"/>
        </w:rPr>
        <w:t xml:space="preserve"> </w:t>
      </w:r>
      <w:r w:rsidR="005A45F1">
        <w:rPr>
          <w:rFonts w:cs="Arial"/>
        </w:rPr>
        <w:t xml:space="preserve">Approximately </w:t>
      </w:r>
      <w:r w:rsidR="0016328A">
        <w:rPr>
          <w:rFonts w:cs="Arial"/>
        </w:rPr>
        <w:t>0.5</w:t>
      </w:r>
      <w:r w:rsidR="003A59A2">
        <w:rPr>
          <w:rFonts w:cs="Arial"/>
        </w:rPr>
        <w:t xml:space="preserve"> to </w:t>
      </w:r>
      <w:r w:rsidR="003D13DF">
        <w:rPr>
          <w:rFonts w:cs="Arial"/>
        </w:rPr>
        <w:t>4</w:t>
      </w:r>
      <w:r w:rsidR="005A45F1">
        <w:rPr>
          <w:rFonts w:cs="Arial"/>
        </w:rPr>
        <w:t>% is absorbed by inhalation</w:t>
      </w:r>
      <w:r w:rsidR="00A300AF">
        <w:rPr>
          <w:rFonts w:cs="Arial"/>
        </w:rPr>
        <w:t xml:space="preserve"> and partly</w:t>
      </w:r>
      <w:r w:rsidR="005A45F1">
        <w:rPr>
          <w:rFonts w:cs="Arial"/>
        </w:rPr>
        <w:t xml:space="preserve"> metabolised to ethylene oxide (</w:t>
      </w:r>
      <w:proofErr w:type="spellStart"/>
      <w:proofErr w:type="gramStart"/>
      <w:r w:rsidR="005A45F1">
        <w:rPr>
          <w:rFonts w:cs="Arial"/>
        </w:rPr>
        <w:t>EtO</w:t>
      </w:r>
      <w:proofErr w:type="spellEnd"/>
      <w:proofErr w:type="gramEnd"/>
      <w:r w:rsidR="005A45F1">
        <w:rPr>
          <w:rFonts w:cs="Arial"/>
        </w:rPr>
        <w:t xml:space="preserve">), which is a known </w:t>
      </w:r>
      <w:r w:rsidR="00C1280A">
        <w:rPr>
          <w:rFonts w:cs="Arial"/>
        </w:rPr>
        <w:t xml:space="preserve">genotoxic </w:t>
      </w:r>
      <w:r w:rsidR="005A45F1">
        <w:rPr>
          <w:rFonts w:cs="Arial"/>
        </w:rPr>
        <w:t>carcinogen (ACGIH, 2018; DFG, 1998</w:t>
      </w:r>
      <w:r w:rsidR="003D13DF">
        <w:rPr>
          <w:rFonts w:cs="Arial"/>
        </w:rPr>
        <w:t>; OECD, 1996</w:t>
      </w:r>
      <w:r w:rsidR="005A45F1">
        <w:rPr>
          <w:rFonts w:cs="Arial"/>
        </w:rPr>
        <w:t xml:space="preserve">). </w:t>
      </w:r>
      <w:r w:rsidR="000A4E01">
        <w:rPr>
          <w:rFonts w:cs="Arial"/>
        </w:rPr>
        <w:t xml:space="preserve">Modelled ADME data </w:t>
      </w:r>
      <w:r w:rsidR="006F75CC">
        <w:rPr>
          <w:rFonts w:cs="Arial"/>
        </w:rPr>
        <w:t>i</w:t>
      </w:r>
      <w:r w:rsidR="000A4E01">
        <w:rPr>
          <w:rFonts w:cs="Arial"/>
        </w:rPr>
        <w:t>ndicate</w:t>
      </w:r>
      <w:r w:rsidR="00A300AF">
        <w:rPr>
          <w:rFonts w:cs="Arial"/>
        </w:rPr>
        <w:t xml:space="preserve"> that an external ethylene air concentration of </w:t>
      </w:r>
      <w:r w:rsidR="000A4E01">
        <w:rPr>
          <w:rFonts w:cs="Arial"/>
        </w:rPr>
        <w:t>1,000</w:t>
      </w:r>
      <w:r w:rsidR="00E405FB">
        <w:rPr>
          <w:rFonts w:cs="Arial"/>
        </w:rPr>
        <w:t xml:space="preserve"> </w:t>
      </w:r>
      <w:r w:rsidR="00A300AF">
        <w:rPr>
          <w:rFonts w:cs="Arial"/>
        </w:rPr>
        <w:t xml:space="preserve">ppm equates to an internal exposure to </w:t>
      </w:r>
      <w:proofErr w:type="spellStart"/>
      <w:proofErr w:type="gramStart"/>
      <w:r w:rsidR="00A300AF">
        <w:rPr>
          <w:rFonts w:cs="Arial"/>
        </w:rPr>
        <w:t>EtO</w:t>
      </w:r>
      <w:proofErr w:type="spellEnd"/>
      <w:proofErr w:type="gramEnd"/>
      <w:r w:rsidR="00A300AF">
        <w:rPr>
          <w:rFonts w:cs="Arial"/>
        </w:rPr>
        <w:t xml:space="preserve"> of </w:t>
      </w:r>
      <w:r w:rsidR="000A4E01">
        <w:rPr>
          <w:rFonts w:cs="Arial"/>
        </w:rPr>
        <w:t>5.6</w:t>
      </w:r>
      <w:r w:rsidR="00A300AF">
        <w:rPr>
          <w:rFonts w:cs="Arial"/>
        </w:rPr>
        <w:t xml:space="preserve"> ppm </w:t>
      </w:r>
      <w:r w:rsidR="0016328A">
        <w:rPr>
          <w:rFonts w:cs="Arial"/>
        </w:rPr>
        <w:t xml:space="preserve">in rats </w:t>
      </w:r>
      <w:r w:rsidR="00A300AF">
        <w:rPr>
          <w:rFonts w:cs="Arial"/>
        </w:rPr>
        <w:t>(</w:t>
      </w:r>
      <w:r w:rsidR="000A4E01" w:rsidRPr="000A4E01">
        <w:rPr>
          <w:rFonts w:cs="Arial"/>
        </w:rPr>
        <w:t>ACGIH, 2018; DFG, 1998</w:t>
      </w:r>
      <w:r w:rsidR="00A300AF">
        <w:rPr>
          <w:rFonts w:cs="Arial"/>
        </w:rPr>
        <w:t>)</w:t>
      </w:r>
      <w:r w:rsidR="000A4E01">
        <w:rPr>
          <w:rFonts w:cs="Arial"/>
        </w:rPr>
        <w:t xml:space="preserve">. </w:t>
      </w:r>
      <w:r w:rsidR="00F02F22">
        <w:rPr>
          <w:rFonts w:cs="Arial"/>
        </w:rPr>
        <w:t>External e</w:t>
      </w:r>
      <w:r w:rsidR="000A4E01">
        <w:rPr>
          <w:rFonts w:cs="Arial"/>
        </w:rPr>
        <w:t xml:space="preserve">xposure to 5.6 ppm </w:t>
      </w:r>
      <w:proofErr w:type="spellStart"/>
      <w:proofErr w:type="gramStart"/>
      <w:r w:rsidR="000A4E01">
        <w:rPr>
          <w:rFonts w:cs="Arial"/>
        </w:rPr>
        <w:t>EtO</w:t>
      </w:r>
      <w:proofErr w:type="spellEnd"/>
      <w:proofErr w:type="gramEnd"/>
      <w:r w:rsidR="000A4E01">
        <w:rPr>
          <w:rFonts w:cs="Arial"/>
        </w:rPr>
        <w:t xml:space="preserve"> i</w:t>
      </w:r>
      <w:r w:rsidR="0049333D">
        <w:rPr>
          <w:rFonts w:cs="Arial"/>
        </w:rPr>
        <w:t>s tumorigenic in rats (ACGIH, 2018)</w:t>
      </w:r>
      <w:r>
        <w:rPr>
          <w:rFonts w:cs="Arial"/>
        </w:rPr>
        <w:t>.</w:t>
      </w:r>
      <w:r w:rsidR="000A4E01">
        <w:rPr>
          <w:rFonts w:cs="Arial"/>
        </w:rPr>
        <w:t xml:space="preserve"> </w:t>
      </w:r>
      <w:r>
        <w:rPr>
          <w:rFonts w:cs="Arial"/>
        </w:rPr>
        <w:t>A</w:t>
      </w:r>
      <w:r w:rsidR="004C1F29">
        <w:rPr>
          <w:rFonts w:cs="Arial"/>
        </w:rPr>
        <w:t>n air concentration of</w:t>
      </w:r>
      <w:r w:rsidR="000A4E01">
        <w:rPr>
          <w:rFonts w:cs="Arial"/>
        </w:rPr>
        <w:t xml:space="preserve"> ethylene that yields </w:t>
      </w:r>
      <w:r w:rsidR="00F02F22">
        <w:rPr>
          <w:rFonts w:cs="Arial"/>
        </w:rPr>
        <w:t xml:space="preserve">such </w:t>
      </w:r>
      <w:r w:rsidR="000A4E01">
        <w:rPr>
          <w:rFonts w:cs="Arial"/>
        </w:rPr>
        <w:t xml:space="preserve">an </w:t>
      </w:r>
      <w:r w:rsidR="0049333D">
        <w:rPr>
          <w:rFonts w:cs="Arial"/>
        </w:rPr>
        <w:t xml:space="preserve">internal </w:t>
      </w:r>
      <w:proofErr w:type="spellStart"/>
      <w:proofErr w:type="gramStart"/>
      <w:r w:rsidR="0049333D">
        <w:rPr>
          <w:rFonts w:cs="Arial"/>
        </w:rPr>
        <w:t>EtO</w:t>
      </w:r>
      <w:proofErr w:type="spellEnd"/>
      <w:proofErr w:type="gramEnd"/>
      <w:r w:rsidR="0049333D">
        <w:rPr>
          <w:rFonts w:cs="Arial"/>
        </w:rPr>
        <w:t xml:space="preserve"> exposure </w:t>
      </w:r>
      <w:r w:rsidR="006F75CC">
        <w:rPr>
          <w:rFonts w:cs="Arial"/>
        </w:rPr>
        <w:t>however</w:t>
      </w:r>
      <w:r w:rsidR="002C496E">
        <w:rPr>
          <w:rFonts w:cs="Arial"/>
        </w:rPr>
        <w:t>,</w:t>
      </w:r>
      <w:r w:rsidR="006F75CC">
        <w:rPr>
          <w:rFonts w:cs="Arial"/>
        </w:rPr>
        <w:t xml:space="preserve"> </w:t>
      </w:r>
      <w:r w:rsidR="00F02F22">
        <w:rPr>
          <w:rFonts w:cs="Arial"/>
        </w:rPr>
        <w:t>show</w:t>
      </w:r>
      <w:r w:rsidR="00006F72">
        <w:rPr>
          <w:rFonts w:cs="Arial"/>
        </w:rPr>
        <w:t>ed</w:t>
      </w:r>
      <w:r w:rsidR="00F02F22">
        <w:rPr>
          <w:rFonts w:cs="Arial"/>
        </w:rPr>
        <w:t xml:space="preserve"> no</w:t>
      </w:r>
      <w:r w:rsidR="00C1280A">
        <w:rPr>
          <w:rFonts w:cs="Arial"/>
        </w:rPr>
        <w:t xml:space="preserve"> </w:t>
      </w:r>
      <w:r w:rsidR="00A300AF">
        <w:rPr>
          <w:rFonts w:cs="Arial"/>
        </w:rPr>
        <w:t xml:space="preserve">comparable </w:t>
      </w:r>
      <w:r w:rsidR="00C1280A">
        <w:rPr>
          <w:rFonts w:cs="Arial"/>
        </w:rPr>
        <w:t>c</w:t>
      </w:r>
      <w:r w:rsidR="005A45F1">
        <w:rPr>
          <w:rFonts w:cs="Arial"/>
        </w:rPr>
        <w:t xml:space="preserve">arcinogenic </w:t>
      </w:r>
      <w:r w:rsidR="00F02F22">
        <w:rPr>
          <w:rFonts w:cs="Arial"/>
        </w:rPr>
        <w:t xml:space="preserve">or </w:t>
      </w:r>
      <w:r w:rsidR="00A300AF">
        <w:rPr>
          <w:rFonts w:cs="Arial"/>
        </w:rPr>
        <w:t xml:space="preserve">mutagenic </w:t>
      </w:r>
      <w:r w:rsidR="00F02F22">
        <w:rPr>
          <w:rFonts w:cs="Arial"/>
        </w:rPr>
        <w:t xml:space="preserve">activity in </w:t>
      </w:r>
      <w:r w:rsidR="0016328A">
        <w:rPr>
          <w:rFonts w:cs="Arial"/>
        </w:rPr>
        <w:t xml:space="preserve">extensive </w:t>
      </w:r>
      <w:r w:rsidR="00F02F22">
        <w:rPr>
          <w:rFonts w:cs="Arial"/>
        </w:rPr>
        <w:t xml:space="preserve">animal </w:t>
      </w:r>
      <w:r w:rsidR="0016328A">
        <w:rPr>
          <w:rFonts w:cs="Arial"/>
        </w:rPr>
        <w:t xml:space="preserve">studies </w:t>
      </w:r>
      <w:r w:rsidR="00F02F22">
        <w:rPr>
          <w:rFonts w:cs="Arial"/>
        </w:rPr>
        <w:t xml:space="preserve">or human </w:t>
      </w:r>
      <w:r w:rsidR="0016328A">
        <w:rPr>
          <w:rFonts w:cs="Arial"/>
        </w:rPr>
        <w:t xml:space="preserve">case </w:t>
      </w:r>
      <w:r w:rsidR="00F02F22">
        <w:rPr>
          <w:rFonts w:cs="Arial"/>
        </w:rPr>
        <w:t>studies</w:t>
      </w:r>
      <w:r w:rsidR="003D13DF">
        <w:rPr>
          <w:rFonts w:cs="Arial"/>
        </w:rPr>
        <w:t xml:space="preserve"> (ACGIH, 2018; DFG, 1998)</w:t>
      </w:r>
      <w:r w:rsidR="00C1280A">
        <w:rPr>
          <w:rFonts w:cs="Arial"/>
        </w:rPr>
        <w:t>.</w:t>
      </w:r>
      <w:r w:rsidR="00FF56B5">
        <w:rPr>
          <w:rFonts w:cs="Arial"/>
        </w:rPr>
        <w:t xml:space="preserve"> </w:t>
      </w:r>
      <w:r w:rsidR="001C2350">
        <w:rPr>
          <w:rFonts w:cs="Arial"/>
        </w:rPr>
        <w:t xml:space="preserve">Similarly, an ethylene air concentration of 45 ppm equates to an internal </w:t>
      </w:r>
      <w:proofErr w:type="spellStart"/>
      <w:proofErr w:type="gramStart"/>
      <w:r w:rsidR="001C2350">
        <w:rPr>
          <w:rFonts w:cs="Arial"/>
        </w:rPr>
        <w:t>EtO</w:t>
      </w:r>
      <w:proofErr w:type="spellEnd"/>
      <w:proofErr w:type="gramEnd"/>
      <w:r w:rsidR="001C2350">
        <w:rPr>
          <w:rFonts w:cs="Arial"/>
        </w:rPr>
        <w:t xml:space="preserve"> exposure of 1</w:t>
      </w:r>
      <w:r w:rsidR="00E405FB">
        <w:rPr>
          <w:rFonts w:cs="Arial"/>
        </w:rPr>
        <w:t xml:space="preserve"> </w:t>
      </w:r>
      <w:r w:rsidR="001C2350">
        <w:rPr>
          <w:rFonts w:cs="Arial"/>
        </w:rPr>
        <w:t xml:space="preserve">ppm, which </w:t>
      </w:r>
      <w:r w:rsidR="00006F72">
        <w:rPr>
          <w:rFonts w:cs="Arial"/>
        </w:rPr>
        <w:t>demonstrated an</w:t>
      </w:r>
      <w:r w:rsidR="001C2350">
        <w:rPr>
          <w:rFonts w:cs="Arial"/>
        </w:rPr>
        <w:t xml:space="preserve"> increased in</w:t>
      </w:r>
      <w:bookmarkStart w:id="0" w:name="_GoBack"/>
      <w:bookmarkEnd w:id="0"/>
      <w:r w:rsidR="001C2350">
        <w:rPr>
          <w:rFonts w:cs="Arial"/>
        </w:rPr>
        <w:t xml:space="preserve">cidence of leukaemia in workers (DFG, 1998). </w:t>
      </w:r>
      <w:r w:rsidR="00FF56B5">
        <w:rPr>
          <w:rFonts w:cs="Arial"/>
        </w:rPr>
        <w:t>Systemic dermal toxicity or sensitisation effects are considered unlikely (ACGIH, 2018), but not discussed in the available source material.</w:t>
      </w:r>
    </w:p>
    <w:p w14:paraId="5A2EE169" w14:textId="26513620" w:rsidR="00AF5061" w:rsidRPr="004C23F4" w:rsidRDefault="008A6432" w:rsidP="006639B4">
      <w:pPr>
        <w:rPr>
          <w:rFonts w:cs="Arial"/>
        </w:rPr>
      </w:pPr>
      <w:r>
        <w:rPr>
          <w:rFonts w:cs="Arial"/>
        </w:rPr>
        <w:t>A</w:t>
      </w:r>
      <w:r w:rsidR="006F75CC">
        <w:rPr>
          <w:rFonts w:cs="Arial"/>
        </w:rPr>
        <w:t xml:space="preserve"> TWA for </w:t>
      </w:r>
      <w:proofErr w:type="spellStart"/>
      <w:proofErr w:type="gramStart"/>
      <w:r w:rsidR="006F75CC">
        <w:rPr>
          <w:rFonts w:cs="Arial"/>
        </w:rPr>
        <w:t>EtO</w:t>
      </w:r>
      <w:proofErr w:type="spellEnd"/>
      <w:proofErr w:type="gramEnd"/>
      <w:r w:rsidR="006F75CC">
        <w:rPr>
          <w:rFonts w:cs="Arial"/>
        </w:rPr>
        <w:t xml:space="preserve"> (0.015 ppb) </w:t>
      </w:r>
      <w:r>
        <w:rPr>
          <w:rFonts w:cs="Arial"/>
        </w:rPr>
        <w:t xml:space="preserve">is </w:t>
      </w:r>
      <w:r>
        <w:rPr>
          <w:rFonts w:cs="Arial"/>
        </w:rPr>
        <w:t>proposed</w:t>
      </w:r>
      <w:r>
        <w:rPr>
          <w:rFonts w:cs="Arial"/>
        </w:rPr>
        <w:t xml:space="preserve"> and </w:t>
      </w:r>
      <w:r w:rsidR="006F75CC">
        <w:rPr>
          <w:rFonts w:cs="Arial"/>
        </w:rPr>
        <w:t>is intended to minimise excess incidence of lung cancer in exposed workers</w:t>
      </w:r>
      <w:r>
        <w:rPr>
          <w:rFonts w:cs="Arial"/>
        </w:rPr>
        <w:t>. However,</w:t>
      </w:r>
      <w:r w:rsidR="006F75CC">
        <w:rPr>
          <w:rFonts w:cs="Arial"/>
        </w:rPr>
        <w:t xml:space="preserve"> no ADME data </w:t>
      </w:r>
      <w:r w:rsidR="004C1F29">
        <w:rPr>
          <w:rFonts w:cs="Arial"/>
        </w:rPr>
        <w:t>are</w:t>
      </w:r>
      <w:r w:rsidR="006F75CC">
        <w:rPr>
          <w:rFonts w:cs="Arial"/>
        </w:rPr>
        <w:t xml:space="preserve"> available to infer an equivalent ethylene exposure </w:t>
      </w:r>
      <w:r w:rsidR="00837BC7">
        <w:rPr>
          <w:rFonts w:cs="Arial"/>
        </w:rPr>
        <w:t xml:space="preserve">that yields an internal </w:t>
      </w:r>
      <w:proofErr w:type="spellStart"/>
      <w:proofErr w:type="gramStart"/>
      <w:r w:rsidR="00837BC7">
        <w:rPr>
          <w:rFonts w:cs="Arial"/>
        </w:rPr>
        <w:t>EtO</w:t>
      </w:r>
      <w:proofErr w:type="spellEnd"/>
      <w:proofErr w:type="gramEnd"/>
      <w:r w:rsidR="00837BC7">
        <w:rPr>
          <w:rFonts w:cs="Arial"/>
        </w:rPr>
        <w:t xml:space="preserve"> concentration at this TWA. </w:t>
      </w:r>
      <w:r w:rsidR="003D13DF">
        <w:rPr>
          <w:rFonts w:cs="Arial"/>
        </w:rPr>
        <w:t>In the absence of a previous TWA recommendation and inconsistencies in the current database regarding potential genotoxic carcinogenicity</w:t>
      </w:r>
      <w:r w:rsidR="004C1F29">
        <w:rPr>
          <w:rFonts w:cs="Arial"/>
        </w:rPr>
        <w:t xml:space="preserve"> (DFG,</w:t>
      </w:r>
      <w:r w:rsidR="008362B7">
        <w:rPr>
          <w:rFonts w:cs="Arial"/>
        </w:rPr>
        <w:t> </w:t>
      </w:r>
      <w:r w:rsidR="004C1F29">
        <w:rPr>
          <w:rFonts w:cs="Arial"/>
        </w:rPr>
        <w:t>1998)</w:t>
      </w:r>
      <w:r w:rsidR="003D13DF">
        <w:rPr>
          <w:rFonts w:cs="Arial"/>
        </w:rPr>
        <w:t xml:space="preserve">, a TWA for ethylene is withheld in the interim. </w:t>
      </w:r>
      <w:r w:rsidR="006E51EF">
        <w:rPr>
          <w:rFonts w:cs="Arial"/>
        </w:rPr>
        <w:t>A</w:t>
      </w:r>
      <w:r w:rsidR="00837BC7">
        <w:rPr>
          <w:rFonts w:cs="Arial"/>
        </w:rPr>
        <w:t xml:space="preserve"> detailed examination of the</w:t>
      </w:r>
      <w:r w:rsidR="006E51EF">
        <w:rPr>
          <w:rFonts w:cs="Arial"/>
        </w:rPr>
        <w:t xml:space="preserve"> available data should</w:t>
      </w:r>
      <w:r w:rsidR="00837BC7">
        <w:rPr>
          <w:rFonts w:cs="Arial"/>
        </w:rPr>
        <w:t xml:space="preserve"> be prioritised during subsequent reviews.</w:t>
      </w:r>
    </w:p>
    <w:p w14:paraId="5BF90B9A" w14:textId="77777777" w:rsidR="004529F0" w:rsidRPr="004C23F4" w:rsidRDefault="004529F0" w:rsidP="00E405FB">
      <w:pPr>
        <w:pStyle w:val="Heading2"/>
      </w:pPr>
      <w:r>
        <w:lastRenderedPageBreak/>
        <w:t>Recommendation for notations</w:t>
      </w:r>
    </w:p>
    <w:p w14:paraId="10ADD320" w14:textId="58EBD9E0" w:rsidR="00665736" w:rsidRPr="00A70823" w:rsidRDefault="00665736" w:rsidP="00380EF9">
      <w:pPr>
        <w:keepNext/>
        <w:rPr>
          <w:rFonts w:cs="Arial"/>
        </w:rPr>
      </w:pPr>
      <w:r w:rsidRPr="00A70823">
        <w:rPr>
          <w:rFonts w:cs="Arial"/>
        </w:rPr>
        <w:t>Not classified as a carcinogen according to the Globally Harmonized System of</w:t>
      </w:r>
      <w:r w:rsidR="00380EF9">
        <w:rPr>
          <w:rFonts w:cs="Arial"/>
        </w:rPr>
        <w:t xml:space="preserve"> Classification and Labelling of</w:t>
      </w:r>
      <w:r w:rsidRPr="00A70823">
        <w:rPr>
          <w:rFonts w:cs="Arial"/>
        </w:rPr>
        <w:t xml:space="preserve"> Chemicals (GHS). </w:t>
      </w:r>
    </w:p>
    <w:p w14:paraId="77891B9C" w14:textId="2288ED45" w:rsidR="00665736" w:rsidRPr="00A70823" w:rsidRDefault="00665736" w:rsidP="00380EF9">
      <w:pPr>
        <w:keepNext/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380EF9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6AFD9428" w14:textId="37FD7A0C" w:rsidR="005E6979" w:rsidRPr="004C23F4" w:rsidRDefault="00FF56B5" w:rsidP="00380EF9">
      <w:pPr>
        <w:keepNext/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FF56B5">
        <w:rPr>
          <w:rFonts w:cs="Arial"/>
        </w:rPr>
        <w:t xml:space="preserve">There </w:t>
      </w:r>
      <w:r w:rsidR="00173F6A">
        <w:rPr>
          <w:rFonts w:cs="Arial"/>
        </w:rPr>
        <w:t>are</w:t>
      </w:r>
      <w:r w:rsidRPr="00FF56B5">
        <w:rPr>
          <w:rFonts w:cs="Arial"/>
        </w:rPr>
        <w:t xml:space="preserve"> insufficient </w:t>
      </w:r>
      <w:r w:rsidR="00173F6A">
        <w:rPr>
          <w:rFonts w:cs="Arial"/>
        </w:rPr>
        <w:t>date</w:t>
      </w:r>
      <w:r w:rsidRPr="00FF56B5">
        <w:rPr>
          <w:rFonts w:cs="Arial"/>
        </w:rPr>
        <w:t xml:space="preserve"> to recommend a skin notation.</w:t>
      </w:r>
    </w:p>
    <w:p w14:paraId="1D29AE8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3185AF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CDEBC6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8666FE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A9593A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7EF18C2" w14:textId="0C3B1C0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65736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665736">
                  <w:t>NA</w:t>
                </w:r>
                <w:proofErr w:type="spellEnd"/>
              </w:sdtContent>
            </w:sdt>
          </w:p>
        </w:tc>
      </w:tr>
      <w:tr w:rsidR="00C978F0" w:rsidRPr="00DA352E" w14:paraId="6C0189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74F65CE" w14:textId="69B2A245" w:rsidR="00C978F0" w:rsidRPr="00DA352E" w:rsidRDefault="00665736" w:rsidP="003365A5">
            <w:pPr>
              <w:pStyle w:val="Tabletextprimarysource"/>
            </w:pPr>
            <w:r>
              <w:t>No report</w:t>
            </w:r>
          </w:p>
        </w:tc>
      </w:tr>
      <w:tr w:rsidR="00C978F0" w:rsidRPr="00DA352E" w14:paraId="44C1480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0E2C2C" w14:textId="28F4B60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65736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65736">
                  <w:t>TLV-TWA: 200 ppm (230 mg/m</w:t>
                </w:r>
                <w:r w:rsidR="00665736" w:rsidRPr="00665736">
                  <w:rPr>
                    <w:vertAlign w:val="superscript"/>
                  </w:rPr>
                  <w:t>3</w:t>
                </w:r>
                <w:r w:rsidR="00665736">
                  <w:t>)</w:t>
                </w:r>
              </w:sdtContent>
            </w:sdt>
          </w:p>
        </w:tc>
      </w:tr>
      <w:tr w:rsidR="00C978F0" w:rsidRPr="00DA352E" w14:paraId="149515A7" w14:textId="77777777" w:rsidTr="00380EF9">
        <w:trPr>
          <w:gridAfter w:val="1"/>
          <w:wAfter w:w="8" w:type="pct"/>
        </w:trPr>
        <w:tc>
          <w:tcPr>
            <w:tcW w:w="0" w:type="pct"/>
          </w:tcPr>
          <w:p w14:paraId="4FF9311C" w14:textId="0C8F385E" w:rsidR="00C978F0" w:rsidRDefault="006413BC" w:rsidP="003365A5">
            <w:pPr>
              <w:pStyle w:val="Tabletextprimarysource"/>
            </w:pPr>
            <w:r>
              <w:t xml:space="preserve">TLV-TWA intended to protect for asphyxiation. </w:t>
            </w:r>
          </w:p>
          <w:p w14:paraId="75211077" w14:textId="2D479C43" w:rsidR="00EB7ACB" w:rsidRDefault="00EB7ACB" w:rsidP="003365A5">
            <w:pPr>
              <w:pStyle w:val="Tabletextprimarysource"/>
            </w:pPr>
            <w:r>
              <w:t>Summary of data:</w:t>
            </w:r>
          </w:p>
          <w:p w14:paraId="4F88C35B" w14:textId="77777777" w:rsidR="006E51EF" w:rsidRDefault="002031D6" w:rsidP="003365A5">
            <w:pPr>
              <w:pStyle w:val="Tabletextprimarysource"/>
            </w:pPr>
            <w:r>
              <w:t xml:space="preserve">Considered to be </w:t>
            </w:r>
            <w:r w:rsidR="00EB7ACB">
              <w:t>non-toxic anaesthetic that causes asphyxiation by oxygen displacement</w:t>
            </w:r>
            <w:r w:rsidR="006E51EF">
              <w:t>.</w:t>
            </w:r>
            <w:r w:rsidR="00FA2954">
              <w:t xml:space="preserve"> </w:t>
            </w:r>
            <w:r w:rsidR="006E51EF">
              <w:t>O</w:t>
            </w:r>
            <w:r w:rsidR="00FA2954">
              <w:t xml:space="preserve">bserved liver toxicity in rats pre-treated with </w:t>
            </w:r>
            <w:proofErr w:type="spellStart"/>
            <w:r w:rsidR="00FA2954">
              <w:t>Aroclor</w:t>
            </w:r>
            <w:proofErr w:type="spellEnd"/>
            <w:r w:rsidR="00FA2954">
              <w:t xml:space="preserve"> 1254 considered irrelevant to workplace exposure</w:t>
            </w:r>
            <w:r w:rsidR="00EB7ACB">
              <w:t xml:space="preserve">. </w:t>
            </w:r>
          </w:p>
          <w:p w14:paraId="2DCA7119" w14:textId="77777777" w:rsidR="006E51EF" w:rsidRDefault="00EB7ACB" w:rsidP="003365A5">
            <w:pPr>
              <w:pStyle w:val="Tabletextprimarysource"/>
            </w:pPr>
            <w:r>
              <w:t xml:space="preserve">TLV-TWA based on a NOAEL of 3,000 ppm from a chronic inhalational study with rats to which </w:t>
            </w:r>
            <w:r w:rsidR="006E51EF">
              <w:t>a UF</w:t>
            </w:r>
            <w:r>
              <w:t xml:space="preserve"> of 15 is applied (derivation of UF not discussed).</w:t>
            </w:r>
            <w:r w:rsidR="00543770">
              <w:t xml:space="preserve"> </w:t>
            </w:r>
          </w:p>
          <w:p w14:paraId="1324A777" w14:textId="5AE660F3" w:rsidR="00EB7ACB" w:rsidRDefault="00543770" w:rsidP="003365A5">
            <w:pPr>
              <w:pStyle w:val="Tabletextprimarysource"/>
            </w:pPr>
            <w:r>
              <w:t xml:space="preserve">Several experimental and modelled data show the substance is poorly bioavailable, but can be metabolised to </w:t>
            </w:r>
            <w:proofErr w:type="spellStart"/>
            <w:r w:rsidR="00AF5061">
              <w:t>EtO</w:t>
            </w:r>
            <w:proofErr w:type="spellEnd"/>
            <w:r w:rsidR="006E51EF">
              <w:t>,</w:t>
            </w:r>
            <w:r>
              <w:t xml:space="preserve"> a known carcinogen. </w:t>
            </w:r>
          </w:p>
          <w:p w14:paraId="67AB898F" w14:textId="72C1F988" w:rsidR="00EB7ACB" w:rsidRDefault="00EB7ACB" w:rsidP="003365A5">
            <w:pPr>
              <w:pStyle w:val="Tabletextprimarysource"/>
            </w:pPr>
            <w:r>
              <w:t>Human data:</w:t>
            </w:r>
          </w:p>
          <w:p w14:paraId="1FC39EEF" w14:textId="77777777" w:rsidR="006E51EF" w:rsidRDefault="00543770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2% of </w:t>
            </w:r>
            <w:r w:rsidR="00C23F1A">
              <w:t>inhaled</w:t>
            </w:r>
            <w:r>
              <w:t xml:space="preserve"> ethylene is metabolised in volunteer chamber study at 5–50 ppm (n=6, 2</w:t>
            </w:r>
            <w:r w:rsidR="00E405FB">
              <w:t xml:space="preserve"> </w:t>
            </w:r>
            <w:r>
              <w:t>h)</w:t>
            </w:r>
          </w:p>
          <w:p w14:paraId="168EBBB6" w14:textId="6562F0FA" w:rsidR="000D10DC" w:rsidRDefault="00543770" w:rsidP="006E51E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rate of metabolism is 3 times </w:t>
            </w:r>
            <w:r w:rsidR="003A59A2">
              <w:t xml:space="preserve">greater </w:t>
            </w:r>
            <w:r>
              <w:t>in rats</w:t>
            </w:r>
          </w:p>
          <w:p w14:paraId="23F0AB05" w14:textId="77777777" w:rsidR="006E51EF" w:rsidRPr="006E51EF" w:rsidRDefault="00543770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Internal exposure to </w:t>
            </w:r>
            <w:proofErr w:type="spellStart"/>
            <w:r>
              <w:t>EtO</w:t>
            </w:r>
            <w:proofErr w:type="spellEnd"/>
            <w:r>
              <w:t xml:space="preserve"> at 45 ppm ethylene </w:t>
            </w:r>
            <w:r w:rsidR="006E51EF">
              <w:rPr>
                <w:rFonts w:cs="Arial"/>
              </w:rPr>
              <w:t xml:space="preserve">≡1 ppm atmospheric </w:t>
            </w:r>
            <w:proofErr w:type="spellStart"/>
            <w:r w:rsidR="006E51EF">
              <w:rPr>
                <w:rFonts w:cs="Arial"/>
              </w:rPr>
              <w:t>EtO</w:t>
            </w:r>
            <w:proofErr w:type="spellEnd"/>
          </w:p>
          <w:p w14:paraId="40CCA91D" w14:textId="306814BF" w:rsidR="00543770" w:rsidRPr="00543770" w:rsidRDefault="00543770" w:rsidP="006E51E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rPr>
                <w:rFonts w:cs="Arial"/>
              </w:rPr>
              <w:t xml:space="preserve">ADME </w:t>
            </w:r>
            <w:r w:rsidRPr="006E51EF">
              <w:t>model</w:t>
            </w:r>
            <w:r>
              <w:rPr>
                <w:rFonts w:cs="Arial"/>
              </w:rPr>
              <w:t xml:space="preserve"> agrees well with experimental data</w:t>
            </w:r>
          </w:p>
          <w:p w14:paraId="5855FCD7" w14:textId="77777777" w:rsidR="006E51EF" w:rsidRDefault="00543770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Case study of fruit store workers </w:t>
            </w:r>
            <w:r w:rsidR="006E51EF">
              <w:t>exposed at</w:t>
            </w:r>
            <w:r w:rsidR="00716043">
              <w:t xml:space="preserve"> 0.3 ppm </w:t>
            </w:r>
            <w:r>
              <w:t>showed 3% of abso</w:t>
            </w:r>
            <w:r w:rsidR="006E51EF">
              <w:t xml:space="preserve">rbed ethylene converted to </w:t>
            </w:r>
            <w:proofErr w:type="spellStart"/>
            <w:r w:rsidR="006E51EF">
              <w:t>EtO</w:t>
            </w:r>
            <w:proofErr w:type="spellEnd"/>
          </w:p>
          <w:p w14:paraId="77991D54" w14:textId="73713047" w:rsidR="00543770" w:rsidRDefault="00543770" w:rsidP="006E51E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exposed workers had </w:t>
            </w:r>
            <w:r>
              <w:rPr>
                <w:rFonts w:cs="Arial"/>
              </w:rPr>
              <w:t>≈</w:t>
            </w:r>
            <w:r w:rsidR="00716043">
              <w:t>2 times more haemoglobin-ethylene adduct concentrations than unexposed workers</w:t>
            </w:r>
          </w:p>
          <w:p w14:paraId="52576E89" w14:textId="7C3EE5FB" w:rsidR="00546989" w:rsidRDefault="00546989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Case study of workers</w:t>
            </w:r>
            <w:r w:rsidR="006E51EF">
              <w:t xml:space="preserve"> in plastics industry exposed at</w:t>
            </w:r>
            <w:r>
              <w:t xml:space="preserve"> 3.5–</w:t>
            </w:r>
            <w:r w:rsidR="009F34EF">
              <w:t xml:space="preserve">3.8 ppm </w:t>
            </w:r>
            <w:r w:rsidR="00FA0CE0">
              <w:t xml:space="preserve">showed that </w:t>
            </w:r>
            <w:r w:rsidR="0016328A">
              <w:t xml:space="preserve">inhaled </w:t>
            </w:r>
            <w:r w:rsidR="00FA0CE0">
              <w:t xml:space="preserve">ethylene converted to </w:t>
            </w:r>
            <w:proofErr w:type="spellStart"/>
            <w:r w:rsidR="00FA0CE0">
              <w:t>EtO</w:t>
            </w:r>
            <w:proofErr w:type="spellEnd"/>
            <w:r w:rsidR="00FA0CE0">
              <w:t xml:space="preserve"> at a rate of 0.5%</w:t>
            </w:r>
          </w:p>
          <w:p w14:paraId="411F3E14" w14:textId="77777777" w:rsidR="006E51EF" w:rsidRDefault="002031D6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Increased risks (not specified) associated with exposures to mixtures of chemicals, including ethy</w:t>
            </w:r>
            <w:r w:rsidR="006E51EF">
              <w:t>lene, in petrochemical workers</w:t>
            </w:r>
          </w:p>
          <w:p w14:paraId="6CCDACC1" w14:textId="0F3923BA" w:rsidR="002031D6" w:rsidRDefault="006E51EF" w:rsidP="006E51E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proofErr w:type="gramStart"/>
            <w:r>
              <w:t>health</w:t>
            </w:r>
            <w:proofErr w:type="gramEnd"/>
            <w:r>
              <w:t xml:space="preserve"> risks</w:t>
            </w:r>
            <w:r w:rsidR="002031D6">
              <w:t xml:space="preserve"> not shown to increase with exposure/employment duration</w:t>
            </w:r>
            <w:r w:rsidR="00173F6A">
              <w:t>.</w:t>
            </w:r>
          </w:p>
          <w:p w14:paraId="04FAB577" w14:textId="77777777" w:rsidR="00EB7ACB" w:rsidRDefault="00EB7ACB" w:rsidP="003365A5">
            <w:pPr>
              <w:pStyle w:val="Tabletextprimarysource"/>
            </w:pPr>
            <w:r>
              <w:t>Animal data:</w:t>
            </w:r>
          </w:p>
          <w:p w14:paraId="693E888A" w14:textId="4CC4BC86" w:rsidR="005E38F1" w:rsidRDefault="00543770" w:rsidP="003D13DF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M</w:t>
            </w:r>
            <w:r w:rsidR="00F62C8C">
              <w:t xml:space="preserve">odelled ADME data generally </w:t>
            </w:r>
            <w:r w:rsidR="008E5C88">
              <w:t>agree</w:t>
            </w:r>
            <w:r w:rsidR="00F62C8C">
              <w:t xml:space="preserve"> well with experimental data</w:t>
            </w:r>
            <w:r w:rsidR="00BF6169">
              <w:t>:</w:t>
            </w:r>
          </w:p>
          <w:p w14:paraId="24099CB0" w14:textId="6DE43958" w:rsidR="005E38F1" w:rsidRDefault="00173F6A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i</w:t>
            </w:r>
            <w:r w:rsidR="005E38F1">
              <w:t>nhalational absorption rate of 17% (rats); of the systemically available ethylene, 76% is exhaled unchanged</w:t>
            </w:r>
          </w:p>
          <w:p w14:paraId="2607BDA7" w14:textId="41EC2335" w:rsidR="006A0EC2" w:rsidRDefault="00173F6A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r</w:t>
            </w:r>
            <w:r w:rsidR="006A0EC2">
              <w:t xml:space="preserve">ats inhaling 1,000 ppm (160 min), exhaled </w:t>
            </w:r>
            <w:proofErr w:type="spellStart"/>
            <w:r w:rsidR="006A0EC2">
              <w:t>EtO</w:t>
            </w:r>
            <w:proofErr w:type="spellEnd"/>
            <w:r w:rsidR="006A0EC2">
              <w:t xml:space="preserve"> at peak of 0.6 ppm (45 min)</w:t>
            </w:r>
          </w:p>
          <w:p w14:paraId="4AB00CB4" w14:textId="237F50FD" w:rsidR="006A0EC2" w:rsidRDefault="00173F6A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m</w:t>
            </w:r>
            <w:r w:rsidR="00546EC4">
              <w:t xml:space="preserve">etabolism, including </w:t>
            </w:r>
            <w:r w:rsidR="00F62C8C">
              <w:t xml:space="preserve">formation of haemoglobin </w:t>
            </w:r>
            <w:r w:rsidR="00546EC4">
              <w:t xml:space="preserve">and DNA </w:t>
            </w:r>
            <w:r w:rsidR="00F62C8C">
              <w:t>adduct</w:t>
            </w:r>
            <w:r w:rsidR="00546EC4">
              <w:t>s,</w:t>
            </w:r>
            <w:r w:rsidR="00F62C8C">
              <w:t xml:space="preserve"> reaches saturation at </w:t>
            </w:r>
            <w:r w:rsidR="008E5C88">
              <w:rPr>
                <w:rFonts w:cs="Arial"/>
              </w:rPr>
              <w:t>≈</w:t>
            </w:r>
            <w:r w:rsidR="00F62C8C">
              <w:t>1,000 ppm in rats</w:t>
            </w:r>
            <w:r w:rsidR="008E5C88">
              <w:t xml:space="preserve"> and mice</w:t>
            </w:r>
          </w:p>
          <w:p w14:paraId="34F3A3E7" w14:textId="0CB6CF52" w:rsidR="008E5C88" w:rsidRDefault="00173F6A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a</w:t>
            </w:r>
            <w:r w:rsidR="008E5C88">
              <w:t xml:space="preserve">ssuming 100% conversion to </w:t>
            </w:r>
            <w:proofErr w:type="spellStart"/>
            <w:r w:rsidR="008E5C88">
              <w:t>EtO</w:t>
            </w:r>
            <w:proofErr w:type="spellEnd"/>
            <w:r w:rsidR="008E5C88">
              <w:t xml:space="preserve">, internal exposure to </w:t>
            </w:r>
            <w:proofErr w:type="spellStart"/>
            <w:r w:rsidR="008E5C88">
              <w:t>EtO</w:t>
            </w:r>
            <w:proofErr w:type="spellEnd"/>
            <w:r w:rsidR="008E5C88">
              <w:t xml:space="preserve"> at 1,000 ppm ethylene </w:t>
            </w:r>
            <w:r w:rsidR="008E5C88">
              <w:rPr>
                <w:rFonts w:cs="Arial"/>
              </w:rPr>
              <w:t>≡</w:t>
            </w:r>
            <w:r w:rsidR="008E5C88">
              <w:t xml:space="preserve">5.6 ppm </w:t>
            </w:r>
            <w:r w:rsidR="002C496E">
              <w:t xml:space="preserve">air concentration of </w:t>
            </w:r>
            <w:proofErr w:type="spellStart"/>
            <w:r w:rsidR="008E5C88">
              <w:t>EtO</w:t>
            </w:r>
            <w:proofErr w:type="spellEnd"/>
            <w:r w:rsidR="0049333D">
              <w:t xml:space="preserve"> (rats)</w:t>
            </w:r>
            <w:r w:rsidR="008E5C88">
              <w:t xml:space="preserve">; 37 ppm ethylene </w:t>
            </w:r>
            <w:r w:rsidR="008E5C88">
              <w:rPr>
                <w:rFonts w:cs="Arial"/>
              </w:rPr>
              <w:t>≡</w:t>
            </w:r>
            <w:r w:rsidR="008E5C88">
              <w:t xml:space="preserve">1 ppm atmospheric </w:t>
            </w:r>
            <w:proofErr w:type="spellStart"/>
            <w:r w:rsidR="008E5C88">
              <w:t>EtO</w:t>
            </w:r>
            <w:proofErr w:type="spellEnd"/>
            <w:r w:rsidR="0049333D">
              <w:t xml:space="preserve"> (rats)</w:t>
            </w:r>
          </w:p>
          <w:p w14:paraId="23A75A95" w14:textId="56A4E9E8" w:rsidR="0049333D" w:rsidRDefault="0049333D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proofErr w:type="spellStart"/>
            <w:r>
              <w:t>EtO</w:t>
            </w:r>
            <w:proofErr w:type="spellEnd"/>
            <w:r>
              <w:t xml:space="preserve"> exposure at 5.6 ppm is demonstrably tumorigenic in rats</w:t>
            </w:r>
          </w:p>
          <w:p w14:paraId="060CA8BE" w14:textId="39ADC7D7" w:rsidR="00F62C8C" w:rsidRDefault="00173F6A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p</w:t>
            </w:r>
            <w:r w:rsidR="008E5C88">
              <w:t xml:space="preserve">redicted increase in tumour incidence due to internal </w:t>
            </w:r>
            <w:proofErr w:type="spellStart"/>
            <w:r w:rsidR="008E5C88">
              <w:t>EtO</w:t>
            </w:r>
            <w:proofErr w:type="spellEnd"/>
            <w:r w:rsidR="008E5C88">
              <w:t xml:space="preserve"> exposure at 1,000 ppm </w:t>
            </w:r>
            <w:r w:rsidR="000A4E01">
              <w:t xml:space="preserve">ethylene </w:t>
            </w:r>
            <w:r w:rsidR="008E5C88">
              <w:t xml:space="preserve">is 2% (rats), </w:t>
            </w:r>
            <w:r w:rsidR="000A4E01">
              <w:t>but</w:t>
            </w:r>
            <w:r w:rsidR="008E5C88">
              <w:t xml:space="preserve"> not affirmed by chronic inhalation studies</w:t>
            </w:r>
          </w:p>
          <w:p w14:paraId="7260D36E" w14:textId="4DC8D113" w:rsidR="00FA2954" w:rsidRDefault="00EB7ACB" w:rsidP="003A59A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 adverse changes to heart, lungs, adrenals and kidneys after repeated anaesthetisation </w:t>
            </w:r>
            <w:r w:rsidR="00FA2954">
              <w:t>(mice, no further information)</w:t>
            </w:r>
          </w:p>
          <w:p w14:paraId="5F73BA2F" w14:textId="77777777" w:rsidR="00EB7ACB" w:rsidRDefault="00FA2954" w:rsidP="003A59A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lastRenderedPageBreak/>
              <w:t>No</w:t>
            </w:r>
            <w:r w:rsidR="00EB7ACB">
              <w:t xml:space="preserve"> adverse effects to liver at 50,000 ppm (rats, 4 h)</w:t>
            </w:r>
            <w:r>
              <w:t xml:space="preserve">; only rats pre-treated with </w:t>
            </w:r>
            <w:proofErr w:type="spellStart"/>
            <w:r>
              <w:t>Aroclor</w:t>
            </w:r>
            <w:proofErr w:type="spellEnd"/>
            <w:r>
              <w:t xml:space="preserve"> showed increasing liver damage from 10,000–50,000 ppm</w:t>
            </w:r>
          </w:p>
          <w:p w14:paraId="339511FF" w14:textId="0E563862" w:rsidR="00FA2954" w:rsidRDefault="00FA2954" w:rsidP="003A59A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No adverse effects in sub</w:t>
            </w:r>
            <w:r w:rsidR="002C496E">
              <w:t>-</w:t>
            </w:r>
            <w:r>
              <w:t>chronic</w:t>
            </w:r>
            <w:r w:rsidR="000D10DC">
              <w:t xml:space="preserve"> or chronic</w:t>
            </w:r>
            <w:r>
              <w:t xml:space="preserve"> inhalational study, treatment range: </w:t>
            </w:r>
            <w:r w:rsidR="0090246C">
              <w:br/>
            </w:r>
            <w:r>
              <w:t>300</w:t>
            </w:r>
            <w:r w:rsidR="0090246C">
              <w:t>–</w:t>
            </w:r>
            <w:r>
              <w:t>10,000 ppm (rats, 6 h/d, 5 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wk</w:t>
            </w:r>
            <w:proofErr w:type="spellEnd"/>
            <w:r w:rsidR="000D10DC">
              <w:t xml:space="preserve"> or 2 </w:t>
            </w:r>
            <w:proofErr w:type="spellStart"/>
            <w:r w:rsidR="000D10DC">
              <w:t>yr</w:t>
            </w:r>
            <w:proofErr w:type="spellEnd"/>
            <w:r>
              <w:t>)</w:t>
            </w:r>
          </w:p>
          <w:p w14:paraId="460814A9" w14:textId="3F002713" w:rsidR="005E38F1" w:rsidRDefault="005E38F1" w:rsidP="003A59A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No effects on development or reproduction at 5,000 ppm (rats)</w:t>
            </w:r>
          </w:p>
          <w:p w14:paraId="567C3C45" w14:textId="77777777" w:rsidR="001A5E52" w:rsidRDefault="001A5E52" w:rsidP="003A59A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>
              <w:t xml:space="preserve">; concentration required to produce mutagenic level of </w:t>
            </w:r>
            <w:proofErr w:type="spellStart"/>
            <w:proofErr w:type="gramStart"/>
            <w:r>
              <w:t>EtO</w:t>
            </w:r>
            <w:proofErr w:type="spellEnd"/>
            <w:proofErr w:type="gramEnd"/>
            <w:r>
              <w:t xml:space="preserve"> </w:t>
            </w:r>
            <w:r>
              <w:rPr>
                <w:i/>
              </w:rPr>
              <w:t>in vivo</w:t>
            </w:r>
            <w:r>
              <w:t xml:space="preserve"> not </w:t>
            </w:r>
            <w:r w:rsidR="00C23F1A">
              <w:t>achieved</w:t>
            </w:r>
            <w:r>
              <w:t xml:space="preserve"> under experimental conditions</w:t>
            </w:r>
            <w:r w:rsidR="00546989">
              <w:t>.</w:t>
            </w:r>
          </w:p>
          <w:p w14:paraId="732858DA" w14:textId="77777777" w:rsidR="00BF6169" w:rsidRDefault="00BF6169" w:rsidP="003A59A2">
            <w:pPr>
              <w:pStyle w:val="Tabletextprimarysource"/>
            </w:pPr>
          </w:p>
          <w:p w14:paraId="4C49F29A" w14:textId="77777777" w:rsidR="00BF6169" w:rsidRDefault="00BF6169" w:rsidP="003A59A2">
            <w:pPr>
              <w:pStyle w:val="Tabletextprimarysource"/>
            </w:pPr>
            <w:r>
              <w:t>No evidence to suggest a skin or sensitisation notation are necessary. Carcinogenicity studies in animals were negative, which supports an A4 classification. Insufficient data to recommend a STEL.</w:t>
            </w:r>
          </w:p>
          <w:p w14:paraId="45F64A81" w14:textId="5F7951F4" w:rsidR="00862C24" w:rsidRPr="00DA352E" w:rsidRDefault="00862C24" w:rsidP="003A59A2">
            <w:pPr>
              <w:pStyle w:val="Tabletextprimarysource"/>
            </w:pPr>
          </w:p>
        </w:tc>
      </w:tr>
      <w:tr w:rsidR="00C978F0" w:rsidRPr="00DA352E" w14:paraId="74A6DAF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66C5287" w14:textId="0D2FFD39" w:rsidR="00C978F0" w:rsidRPr="00DA352E" w:rsidRDefault="00DA352E" w:rsidP="003A59A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90D99">
                  <w:t>199</w:t>
                </w:r>
                <w:r w:rsidR="003A59A2">
                  <w:t>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90D99">
                  <w:t>Not assigned</w:t>
                </w:r>
              </w:sdtContent>
            </w:sdt>
          </w:p>
        </w:tc>
      </w:tr>
      <w:tr w:rsidR="00C978F0" w:rsidRPr="00DA352E" w14:paraId="6DB6E42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A33F5A" w14:textId="208A13CF" w:rsidR="00C23F1A" w:rsidRDefault="00C23F1A" w:rsidP="003365A5">
            <w:pPr>
              <w:pStyle w:val="Tabletextprimarysource"/>
            </w:pPr>
            <w:r>
              <w:t>Summary of additional data:</w:t>
            </w:r>
          </w:p>
          <w:p w14:paraId="6DE337F2" w14:textId="77777777" w:rsidR="006E51EF" w:rsidRDefault="002031D6" w:rsidP="003365A5">
            <w:pPr>
              <w:pStyle w:val="Tabletextprimarysource"/>
            </w:pPr>
            <w:r>
              <w:t xml:space="preserve">No MAK established based on potential carcinogenicity of </w:t>
            </w:r>
            <w:proofErr w:type="spellStart"/>
            <w:r>
              <w:t>EtO</w:t>
            </w:r>
            <w:proofErr w:type="spellEnd"/>
            <w:r>
              <w:t xml:space="preserve"> metabolite. </w:t>
            </w:r>
            <w:r w:rsidR="0026785C">
              <w:t xml:space="preserve">Available animal carcinogenicity data may be inadequate to demonstrate low level of carcinogenicity. </w:t>
            </w:r>
            <w:r>
              <w:t>No positive results available from epidemiological or carcinogenicity studies; therefore, assigned in carcinogenicity group 3B.</w:t>
            </w:r>
            <w:r w:rsidR="00AA2266">
              <w:t xml:space="preserve"> </w:t>
            </w:r>
            <w:r w:rsidR="006E51EF">
              <w:t>Notes that s</w:t>
            </w:r>
            <w:r w:rsidR="00AA2266">
              <w:t xml:space="preserve">everal epidemiological studies </w:t>
            </w:r>
            <w:r w:rsidR="00A429F7">
              <w:t>of</w:t>
            </w:r>
            <w:r w:rsidR="00AA2266">
              <w:t xml:space="preserve"> </w:t>
            </w:r>
            <w:proofErr w:type="spellStart"/>
            <w:r w:rsidR="00AA2266">
              <w:t>EtO</w:t>
            </w:r>
            <w:proofErr w:type="spellEnd"/>
            <w:r w:rsidR="00AA2266">
              <w:t xml:space="preserve"> </w:t>
            </w:r>
            <w:r w:rsidR="00A429F7">
              <w:t xml:space="preserve">exposure </w:t>
            </w:r>
            <w:r w:rsidR="00AA2266">
              <w:t xml:space="preserve">equivocally indicate an association </w:t>
            </w:r>
            <w:r w:rsidR="00A429F7">
              <w:t>with</w:t>
            </w:r>
            <w:r w:rsidR="00AA2266">
              <w:t xml:space="preserve"> increased cancer risk.</w:t>
            </w:r>
            <w:r w:rsidR="003D13DF">
              <w:t xml:space="preserve"> </w:t>
            </w:r>
          </w:p>
          <w:p w14:paraId="153A1F1E" w14:textId="0EA8697A" w:rsidR="00C978F0" w:rsidRDefault="003D13DF" w:rsidP="003365A5">
            <w:pPr>
              <w:pStyle w:val="Tabletextprimarysource"/>
            </w:pPr>
            <w:r>
              <w:t>Skin absorption and sensitisation effects not presented.</w:t>
            </w:r>
          </w:p>
          <w:p w14:paraId="4C36B2B0" w14:textId="60B9EC7B" w:rsidR="005D56AF" w:rsidRDefault="005D56AF" w:rsidP="003365A5">
            <w:pPr>
              <w:pStyle w:val="Tabletextprimarysource"/>
            </w:pPr>
            <w:r>
              <w:t>Human data:</w:t>
            </w:r>
          </w:p>
          <w:p w14:paraId="239F8150" w14:textId="30D6CC8D" w:rsidR="00AA4ABB" w:rsidRDefault="00AA4ABB" w:rsidP="00FE2958">
            <w:pPr>
              <w:pStyle w:val="Tabletextprimarysource"/>
              <w:numPr>
                <w:ilvl w:val="0"/>
                <w:numId w:val="1"/>
              </w:numPr>
            </w:pPr>
            <w:r>
              <w:t>No reports of acute exposure</w:t>
            </w:r>
          </w:p>
          <w:p w14:paraId="72BDB124" w14:textId="70B32501" w:rsidR="00FE2958" w:rsidRDefault="00FE2958" w:rsidP="00FE2958">
            <w:pPr>
              <w:pStyle w:val="Tabletextprimarysource"/>
              <w:numPr>
                <w:ilvl w:val="0"/>
                <w:numId w:val="1"/>
              </w:numPr>
            </w:pPr>
            <w:r>
              <w:t>Rate of ethylene metabolism is directly related to exposure concentration up to 50 ppm in humans (cf. 80 ppm in rats)</w:t>
            </w:r>
          </w:p>
          <w:p w14:paraId="5E347DF9" w14:textId="2035F872" w:rsidR="00FE2958" w:rsidRDefault="00FE2958" w:rsidP="00FE295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From internal exposure to endogenous ethylene, average </w:t>
            </w:r>
            <w:r w:rsidR="005D56AF">
              <w:t>concentration of</w:t>
            </w:r>
            <w:r>
              <w:t xml:space="preserve"> </w:t>
            </w:r>
            <w:proofErr w:type="spellStart"/>
            <w:r>
              <w:t>EtO</w:t>
            </w:r>
            <w:proofErr w:type="spellEnd"/>
            <w:r>
              <w:t xml:space="preserve"> is 0.17</w:t>
            </w:r>
            <w:r w:rsidR="00862C24">
              <w:t> </w:t>
            </w:r>
            <w:proofErr w:type="spellStart"/>
            <w:r>
              <w:t>nmol</w:t>
            </w:r>
            <w:proofErr w:type="spellEnd"/>
            <w:r>
              <w:t>/kg; occupational exposure to 45 ppm ethylene (assuming 8 h/d, 5 d/</w:t>
            </w:r>
            <w:proofErr w:type="spellStart"/>
            <w:r>
              <w:t>wk</w:t>
            </w:r>
            <w:proofErr w:type="spellEnd"/>
            <w:r>
              <w:t>, 52</w:t>
            </w:r>
            <w:r w:rsidR="00862C24">
              <w:t> </w:t>
            </w:r>
            <w:proofErr w:type="spellStart"/>
            <w:r>
              <w:t>wk</w:t>
            </w:r>
            <w:proofErr w:type="spellEnd"/>
            <w:r>
              <w:t>/</w:t>
            </w:r>
            <w:proofErr w:type="spellStart"/>
            <w:r>
              <w:t>yr</w:t>
            </w:r>
            <w:proofErr w:type="spellEnd"/>
            <w:r>
              <w:t>, 45</w:t>
            </w:r>
            <w:r w:rsidR="00862C24">
              <w:t> </w:t>
            </w:r>
            <w:proofErr w:type="spellStart"/>
            <w:r>
              <w:t>yr</w:t>
            </w:r>
            <w:proofErr w:type="spellEnd"/>
            <w:r>
              <w:t xml:space="preserve">) </w:t>
            </w:r>
            <w:r>
              <w:rPr>
                <w:rFonts w:cs="Arial"/>
              </w:rPr>
              <w:t>≡</w:t>
            </w:r>
            <w:r>
              <w:t xml:space="preserve">14 </w:t>
            </w:r>
            <w:proofErr w:type="spellStart"/>
            <w:r>
              <w:t>nmol</w:t>
            </w:r>
            <w:proofErr w:type="spellEnd"/>
            <w:r>
              <w:t>/kg</w:t>
            </w:r>
            <w:r w:rsidR="005D56AF">
              <w:t xml:space="preserve"> </w:t>
            </w:r>
            <w:proofErr w:type="spellStart"/>
            <w:r w:rsidR="005D56AF">
              <w:t>EtO</w:t>
            </w:r>
            <w:proofErr w:type="spellEnd"/>
            <w:r>
              <w:t xml:space="preserve">, which would also be </w:t>
            </w:r>
            <w:r w:rsidR="00BF7496">
              <w:t>reached</w:t>
            </w:r>
            <w:r>
              <w:t xml:space="preserve"> </w:t>
            </w:r>
            <w:r w:rsidR="00AA4ABB">
              <w:t xml:space="preserve">at an </w:t>
            </w:r>
            <w:proofErr w:type="spellStart"/>
            <w:r w:rsidR="00AA4ABB">
              <w:t>EtO</w:t>
            </w:r>
            <w:proofErr w:type="spellEnd"/>
            <w:r w:rsidR="00AA4ABB">
              <w:t xml:space="preserve"> exposure of 1</w:t>
            </w:r>
            <w:r w:rsidR="008362B7">
              <w:t> </w:t>
            </w:r>
            <w:r w:rsidR="00AA4ABB">
              <w:t>ppm over the same period</w:t>
            </w:r>
            <w:r w:rsidR="00862C24">
              <w:t>:</w:t>
            </w:r>
          </w:p>
          <w:p w14:paraId="28E68E58" w14:textId="75CA3D47" w:rsidR="00BF7496" w:rsidRDefault="00173F6A" w:rsidP="003A59A2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</w:t>
            </w:r>
            <w:r w:rsidR="00BF7496">
              <w:t>alculation used in</w:t>
            </w:r>
            <w:r w:rsidR="00A429F7">
              <w:t xml:space="preserve"> risk assessment to address indistinguishability of </w:t>
            </w:r>
            <w:proofErr w:type="spellStart"/>
            <w:r w:rsidR="00A429F7">
              <w:t>tumorigenicity</w:t>
            </w:r>
            <w:proofErr w:type="spellEnd"/>
            <w:r w:rsidR="00A429F7">
              <w:t xml:space="preserve"> between exposure and control groups in chronic animal studies</w:t>
            </w:r>
          </w:p>
          <w:p w14:paraId="1707C037" w14:textId="4D4C5C85" w:rsidR="00AA4ABB" w:rsidRDefault="00AA4ABB" w:rsidP="00FE295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Evidence for </w:t>
            </w:r>
            <w:proofErr w:type="spellStart"/>
            <w:r w:rsidR="008341A6">
              <w:t>genotoxicity</w:t>
            </w:r>
            <w:proofErr w:type="spellEnd"/>
            <w:r>
              <w:t xml:space="preserve"> in workers</w:t>
            </w:r>
            <w:r w:rsidR="003D0919">
              <w:t xml:space="preserve"> occupationally exposed</w:t>
            </w:r>
            <w:r>
              <w:t xml:space="preserve"> to </w:t>
            </w:r>
            <w:proofErr w:type="spellStart"/>
            <w:r w:rsidR="00AA2266">
              <w:t>EtO</w:t>
            </w:r>
            <w:proofErr w:type="spellEnd"/>
            <w:r>
              <w:t xml:space="preserve"> </w:t>
            </w:r>
            <w:r w:rsidR="003D0919">
              <w:t>at</w:t>
            </w:r>
            <w:r>
              <w:t xml:space="preserve"> 0.025 ppm</w:t>
            </w:r>
          </w:p>
          <w:p w14:paraId="5E9EE78F" w14:textId="5188EAA1" w:rsidR="005D56AF" w:rsidRDefault="003D0919" w:rsidP="00FE2958">
            <w:pPr>
              <w:pStyle w:val="Tabletextprimarysource"/>
              <w:numPr>
                <w:ilvl w:val="0"/>
                <w:numId w:val="1"/>
              </w:numPr>
            </w:pPr>
            <w:r>
              <w:t>2 e</w:t>
            </w:r>
            <w:r w:rsidR="005D56AF">
              <w:t xml:space="preserve">pidemiological studies indicate </w:t>
            </w:r>
            <w:r>
              <w:t>i</w:t>
            </w:r>
            <w:r w:rsidR="005D56AF">
              <w:t>ncreased risk of leukaemia at exposures 20</w:t>
            </w:r>
            <w:r w:rsidR="005D56AF">
              <w:rPr>
                <w:rFonts w:cs="Arial"/>
              </w:rPr>
              <w:t>±</w:t>
            </w:r>
            <w:r w:rsidR="005D56AF">
              <w:t xml:space="preserve">10 ppm </w:t>
            </w:r>
            <w:r>
              <w:t xml:space="preserve">for 4–10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r w:rsidR="005D56AF">
              <w:t>(n=70</w:t>
            </w:r>
            <w:r>
              <w:t>); calculated risk</w:t>
            </w:r>
            <w:r w:rsidR="0026785C">
              <w:t>s</w:t>
            </w:r>
            <w:r>
              <w:t xml:space="preserve"> at 1 ppm for occupational exposure (assuming 8 h/d, 5</w:t>
            </w:r>
            <w:r w:rsidR="00862C24">
              <w:t> 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 xml:space="preserve">, 46 </w:t>
            </w:r>
            <w:proofErr w:type="spellStart"/>
            <w:r>
              <w:t>wk</w:t>
            </w:r>
            <w:proofErr w:type="spellEnd"/>
            <w:r>
              <w:t>/</w:t>
            </w:r>
            <w:proofErr w:type="spellStart"/>
            <w:r>
              <w:t>yr</w:t>
            </w:r>
            <w:proofErr w:type="spellEnd"/>
            <w:r>
              <w:t xml:space="preserve">, 45 </w:t>
            </w:r>
            <w:proofErr w:type="spellStart"/>
            <w:r>
              <w:t>yr</w:t>
            </w:r>
            <w:proofErr w:type="spellEnd"/>
            <w:r>
              <w:t>) =1.2–</w:t>
            </w:r>
            <w:r w:rsidR="0026785C">
              <w:t>6.4</w:t>
            </w:r>
            <w:r>
              <w:t xml:space="preserve">% </w:t>
            </w:r>
            <w:r w:rsidR="0026785C">
              <w:t>and</w:t>
            </w:r>
            <w:r>
              <w:t xml:space="preserve"> life-time </w:t>
            </w:r>
            <w:r w:rsidR="0026785C">
              <w:t xml:space="preserve">exposure </w:t>
            </w:r>
            <w:r>
              <w:t xml:space="preserve">risk </w:t>
            </w:r>
            <w:r w:rsidR="0026785C">
              <w:t>=</w:t>
            </w:r>
            <w:r>
              <w:t>50%</w:t>
            </w:r>
            <w:r w:rsidR="00862C24">
              <w:t>.</w:t>
            </w:r>
          </w:p>
          <w:p w14:paraId="1C26869B" w14:textId="77777777" w:rsidR="00AA2266" w:rsidRDefault="00AA2266" w:rsidP="00AA2266">
            <w:pPr>
              <w:pStyle w:val="Tabletextprimarysource"/>
            </w:pPr>
            <w:r>
              <w:t>Animal data:</w:t>
            </w:r>
          </w:p>
          <w:p w14:paraId="6E90F5E4" w14:textId="77777777" w:rsidR="00BF7496" w:rsidRDefault="00BF7496" w:rsidP="00A429F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The rate of metabolism of ethylene is possibly too low to result in sufficient </w:t>
            </w:r>
            <w:proofErr w:type="spellStart"/>
            <w:proofErr w:type="gramStart"/>
            <w:r>
              <w:t>EtO</w:t>
            </w:r>
            <w:proofErr w:type="spellEnd"/>
            <w:proofErr w:type="gramEnd"/>
            <w:r>
              <w:t xml:space="preserve"> concentrations that increase </w:t>
            </w:r>
            <w:proofErr w:type="spellStart"/>
            <w:r>
              <w:t>tumorigenicity</w:t>
            </w:r>
            <w:proofErr w:type="spellEnd"/>
            <w:r>
              <w:t xml:space="preserve"> above control </w:t>
            </w:r>
            <w:r w:rsidR="00A429F7">
              <w:t>groups</w:t>
            </w:r>
            <w:r>
              <w:t xml:space="preserve"> in standard carcinogenicity studies</w:t>
            </w:r>
            <w:r w:rsidR="00C1280A">
              <w:t>.</w:t>
            </w:r>
          </w:p>
          <w:p w14:paraId="402BDC80" w14:textId="5BAF4904" w:rsidR="00862C24" w:rsidRPr="00DA352E" w:rsidRDefault="00862C24" w:rsidP="003A59A2">
            <w:pPr>
              <w:pStyle w:val="Tabletextprimarysource"/>
            </w:pPr>
          </w:p>
        </w:tc>
      </w:tr>
      <w:tr w:rsidR="00C978F0" w:rsidRPr="00DA352E" w14:paraId="015E47F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C5B9B37" w14:textId="5DDC6B8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90D9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90D99">
                  <w:t>NA</w:t>
                </w:r>
                <w:proofErr w:type="spellEnd"/>
              </w:sdtContent>
            </w:sdt>
          </w:p>
        </w:tc>
      </w:tr>
      <w:tr w:rsidR="00C978F0" w:rsidRPr="00DA352E" w14:paraId="7237E6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FB0D3F" w14:textId="23A37A0E" w:rsidR="00C978F0" w:rsidRPr="00DA352E" w:rsidRDefault="00490D99" w:rsidP="003365A5">
            <w:pPr>
              <w:pStyle w:val="Tabletextprimarysource"/>
            </w:pPr>
            <w:r>
              <w:t>No report</w:t>
            </w:r>
            <w:r w:rsidR="00380EF9">
              <w:t>.</w:t>
            </w:r>
          </w:p>
        </w:tc>
      </w:tr>
      <w:tr w:rsidR="00DA352E" w:rsidRPr="00DA352E" w14:paraId="03E35E4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9E45A9" w14:textId="3702046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90D9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90D99">
                  <w:t>NA</w:t>
                </w:r>
                <w:proofErr w:type="spellEnd"/>
              </w:sdtContent>
            </w:sdt>
          </w:p>
        </w:tc>
      </w:tr>
      <w:tr w:rsidR="00DA352E" w:rsidRPr="00DA352E" w14:paraId="20AFBF3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4A59E1E" w14:textId="5830B725" w:rsidR="00DA352E" w:rsidRPr="00DA352E" w:rsidRDefault="00490D99" w:rsidP="003365A5">
            <w:pPr>
              <w:pStyle w:val="Tabletextprimarysource"/>
            </w:pPr>
            <w:r>
              <w:t>No report</w:t>
            </w:r>
            <w:r w:rsidR="00380EF9">
              <w:t>.</w:t>
            </w:r>
          </w:p>
        </w:tc>
      </w:tr>
      <w:tr w:rsidR="00DA352E" w:rsidRPr="00DA352E" w14:paraId="554C539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46698F" w14:textId="62AAD48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90D9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490D99">
                  <w:t>NA</w:t>
                </w:r>
                <w:proofErr w:type="spellEnd"/>
              </w:sdtContent>
            </w:sdt>
          </w:p>
        </w:tc>
      </w:tr>
      <w:tr w:rsidR="00DA352E" w:rsidRPr="00DA352E" w14:paraId="1B721E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022FB43" w14:textId="77777777" w:rsidR="00DA352E" w:rsidRDefault="004679BA" w:rsidP="0026785C">
            <w:pPr>
              <w:pStyle w:val="Tabletextprimarysource"/>
            </w:pPr>
            <w:r>
              <w:t>Summary of additional data:</w:t>
            </w:r>
          </w:p>
          <w:p w14:paraId="2EAAF87B" w14:textId="1664092D" w:rsidR="004679BA" w:rsidRDefault="0079736F" w:rsidP="004679B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Amount of </w:t>
            </w:r>
            <w:proofErr w:type="spellStart"/>
            <w:r>
              <w:t>EtO</w:t>
            </w:r>
            <w:proofErr w:type="spellEnd"/>
            <w:r>
              <w:t xml:space="preserve"> formed from ethylene metabolism is insufficient to elicit carcinogenic effects under reported conditions</w:t>
            </w:r>
          </w:p>
          <w:p w14:paraId="4862AAB5" w14:textId="218CB93C" w:rsidR="004679BA" w:rsidRDefault="004679BA" w:rsidP="004679BA">
            <w:pPr>
              <w:pStyle w:val="Tabletextprimarysource"/>
              <w:numPr>
                <w:ilvl w:val="0"/>
                <w:numId w:val="1"/>
              </w:numPr>
            </w:pPr>
            <w:r>
              <w:t>2 available epidemiological studies of exposed workers are unreliable due to mixed exposures to other known carcinogens</w:t>
            </w:r>
          </w:p>
          <w:p w14:paraId="5970A72B" w14:textId="77777777" w:rsidR="004679BA" w:rsidRDefault="004679BA" w:rsidP="004679BA">
            <w:pPr>
              <w:pStyle w:val="Tabletextprimarysource"/>
              <w:numPr>
                <w:ilvl w:val="0"/>
                <w:numId w:val="1"/>
              </w:numPr>
            </w:pPr>
            <w:r>
              <w:t>Insufficient data to evaluate carcinogenicity of the substance</w:t>
            </w:r>
            <w:r w:rsidR="00C1280A">
              <w:t>.</w:t>
            </w:r>
          </w:p>
          <w:p w14:paraId="6C307E81" w14:textId="1A44B8C2" w:rsidR="00862C24" w:rsidRPr="00DA352E" w:rsidRDefault="00862C24" w:rsidP="003A59A2">
            <w:pPr>
              <w:pStyle w:val="Tabletextprimarysource"/>
            </w:pPr>
          </w:p>
        </w:tc>
      </w:tr>
    </w:tbl>
    <w:p w14:paraId="03FDE77F" w14:textId="77777777" w:rsidR="00A20751" w:rsidRPr="004C23F4" w:rsidRDefault="00A20751" w:rsidP="00C13FF4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2"/>
        <w:gridCol w:w="661"/>
        <w:gridCol w:w="6446"/>
      </w:tblGrid>
      <w:tr w:rsidR="004966BF" w:rsidRPr="00263255" w14:paraId="2598464D" w14:textId="77777777" w:rsidTr="00380EF9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EA69980" w14:textId="77777777" w:rsidR="004966BF" w:rsidRPr="00263255" w:rsidRDefault="004966BF" w:rsidP="00380EF9">
            <w:pPr>
              <w:pStyle w:val="Tableheader"/>
              <w:keepNext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185B9D57" w14:textId="77777777" w:rsidR="004966BF" w:rsidRPr="00263255" w:rsidRDefault="004966BF" w:rsidP="00380EF9">
            <w:pPr>
              <w:pStyle w:val="Tableheader"/>
              <w:keepNext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DAFE448" w14:textId="77777777" w:rsidR="004966BF" w:rsidRPr="00263255" w:rsidRDefault="004966BF" w:rsidP="00380EF9">
            <w:pPr>
              <w:pStyle w:val="Tableheader"/>
              <w:keepNext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2FD5512F" w14:textId="77777777" w:rsidR="004966BF" w:rsidRPr="00263255" w:rsidRDefault="004966BF" w:rsidP="00380EF9">
            <w:pPr>
              <w:pStyle w:val="Tableheader"/>
              <w:keepNext/>
            </w:pPr>
            <w:r>
              <w:t>Additional information</w:t>
            </w:r>
          </w:p>
        </w:tc>
      </w:tr>
      <w:tr w:rsidR="004966BF" w:rsidRPr="004C23F4" w14:paraId="68385F3E" w14:textId="77777777" w:rsidTr="00380EF9">
        <w:trPr>
          <w:cantSplit/>
        </w:trPr>
        <w:tc>
          <w:tcPr>
            <w:tcW w:w="1497" w:type="dxa"/>
          </w:tcPr>
          <w:p w14:paraId="0542953C" w14:textId="77777777" w:rsidR="004966BF" w:rsidRPr="004C23F4" w:rsidRDefault="004966BF" w:rsidP="00380EF9">
            <w:pPr>
              <w:pStyle w:val="Tablefont"/>
              <w:keepNext/>
            </w:pPr>
            <w:r>
              <w:t>IARC</w:t>
            </w:r>
          </w:p>
        </w:tc>
        <w:tc>
          <w:tcPr>
            <w:tcW w:w="422" w:type="dxa"/>
          </w:tcPr>
          <w:p w14:paraId="6663C981" w14:textId="5475AB48" w:rsidR="004966BF" w:rsidRPr="00CE617F" w:rsidRDefault="00DF3E63" w:rsidP="00380EF9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83DE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D36483C" w14:textId="1B08D393" w:rsidR="004966BF" w:rsidRPr="004C23F4" w:rsidRDefault="00583DE4" w:rsidP="00380EF9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6" w:type="dxa"/>
          </w:tcPr>
          <w:p w14:paraId="467DEEA1" w14:textId="0D48C66E" w:rsidR="004966BF" w:rsidRPr="004C23F4" w:rsidRDefault="00C13FF4" w:rsidP="006E51EF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t>I</w:t>
            </w:r>
            <w:r w:rsidR="0026785C">
              <w:t>nadequate evidence for carcinogenicity experiment</w:t>
            </w:r>
            <w:r w:rsidR="006E51EF">
              <w:t>al animals and humans;</w:t>
            </w:r>
            <w:r w:rsidR="0026785C">
              <w:t xml:space="preserve"> not classifiable as t</w:t>
            </w:r>
            <w:r w:rsidR="00583DE4">
              <w:t>o its carcinogenicity to humans.</w:t>
            </w:r>
          </w:p>
        </w:tc>
      </w:tr>
      <w:tr w:rsidR="004966BF" w:rsidRPr="004C23F4" w14:paraId="32C2CFAD" w14:textId="77777777" w:rsidTr="00380EF9">
        <w:trPr>
          <w:cantSplit/>
        </w:trPr>
        <w:tc>
          <w:tcPr>
            <w:tcW w:w="1497" w:type="dxa"/>
          </w:tcPr>
          <w:p w14:paraId="7B0ED12C" w14:textId="77777777" w:rsidR="004966BF" w:rsidRPr="004C23F4" w:rsidRDefault="004966BF" w:rsidP="00380EF9">
            <w:pPr>
              <w:pStyle w:val="Tablefont"/>
              <w:keepNext/>
            </w:pPr>
            <w:r>
              <w:t>OECD</w:t>
            </w:r>
          </w:p>
        </w:tc>
        <w:tc>
          <w:tcPr>
            <w:tcW w:w="422" w:type="dxa"/>
          </w:tcPr>
          <w:p w14:paraId="027B7921" w14:textId="7517D9B2" w:rsidR="004966BF" w:rsidRPr="00CE617F" w:rsidRDefault="00DF3E63" w:rsidP="00380EF9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83DE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5E28914" w14:textId="3E2444AD" w:rsidR="004966BF" w:rsidRPr="004C23F4" w:rsidRDefault="00583DE4" w:rsidP="00380EF9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1996</w:t>
            </w:r>
          </w:p>
        </w:tc>
        <w:tc>
          <w:tcPr>
            <w:tcW w:w="6446" w:type="dxa"/>
          </w:tcPr>
          <w:p w14:paraId="4E3DB12C" w14:textId="77777777" w:rsidR="00862C24" w:rsidRDefault="00C13FF4" w:rsidP="003A59A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2 </w:t>
            </w:r>
            <w:r w:rsidR="00837BC7">
              <w:rPr>
                <w:rStyle w:val="checkbox"/>
                <w:rFonts w:ascii="Arial" w:hAnsi="Arial" w:cs="Arial"/>
              </w:rPr>
              <w:t xml:space="preserve">part study of Swedish petrochemical plant reported elevated </w:t>
            </w:r>
            <w:r w:rsidR="003D13DF">
              <w:rPr>
                <w:rStyle w:val="checkbox"/>
                <w:rFonts w:ascii="Arial" w:hAnsi="Arial" w:cs="Arial"/>
              </w:rPr>
              <w:t xml:space="preserve">and dose-related </w:t>
            </w:r>
            <w:r w:rsidR="00837BC7">
              <w:rPr>
                <w:rStyle w:val="checkbox"/>
                <w:rFonts w:ascii="Arial" w:hAnsi="Arial" w:cs="Arial"/>
              </w:rPr>
              <w:t xml:space="preserve">levels of the </w:t>
            </w:r>
            <w:proofErr w:type="spellStart"/>
            <w:r w:rsidR="00837BC7">
              <w:rPr>
                <w:rStyle w:val="checkbox"/>
                <w:rFonts w:ascii="Arial" w:hAnsi="Arial" w:cs="Arial"/>
              </w:rPr>
              <w:t>EtO</w:t>
            </w:r>
            <w:proofErr w:type="spellEnd"/>
            <w:r w:rsidR="00837BC7">
              <w:rPr>
                <w:rStyle w:val="checkbox"/>
                <w:rFonts w:ascii="Arial" w:hAnsi="Arial" w:cs="Arial"/>
              </w:rPr>
              <w:t xml:space="preserve"> haemoglobin adduct in workers exposed to 0.35 and 3.5 ppm compared to control group exposed to 0.001 ppm</w:t>
            </w:r>
            <w:r w:rsidR="00862C24">
              <w:rPr>
                <w:rStyle w:val="checkbox"/>
                <w:rFonts w:ascii="Arial" w:hAnsi="Arial" w:cs="Arial"/>
              </w:rPr>
              <w:t>:</w:t>
            </w:r>
          </w:p>
          <w:p w14:paraId="6EB1B6E8" w14:textId="575669CE" w:rsidR="004966BF" w:rsidRPr="004C23F4" w:rsidRDefault="003D13DF" w:rsidP="003A59A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proofErr w:type="gramStart"/>
            <w:r w:rsidRPr="00583DE4">
              <w:rPr>
                <w:rStyle w:val="checkbox"/>
                <w:rFonts w:ascii="Arial" w:hAnsi="Arial" w:cs="Arial"/>
              </w:rPr>
              <w:t>results</w:t>
            </w:r>
            <w:proofErr w:type="gramEnd"/>
            <w:r>
              <w:rPr>
                <w:rStyle w:val="checkbox"/>
                <w:rFonts w:ascii="Arial" w:hAnsi="Arial" w:cs="Arial"/>
              </w:rPr>
              <w:t xml:space="preserve"> indicated that 1–4</w:t>
            </w:r>
            <w:r w:rsidRPr="00583DE4">
              <w:rPr>
                <w:rStyle w:val="checkbox"/>
                <w:rFonts w:ascii="Arial" w:hAnsi="Arial" w:cs="Arial"/>
              </w:rPr>
              <w:t>% of th</w:t>
            </w:r>
            <w:r w:rsidR="00173F6A">
              <w:rPr>
                <w:rStyle w:val="checkbox"/>
                <w:rFonts w:ascii="Arial" w:hAnsi="Arial" w:cs="Arial"/>
              </w:rPr>
              <w:t>e inhaled ethylene was metabolis</w:t>
            </w:r>
            <w:r w:rsidRPr="00583DE4">
              <w:rPr>
                <w:rStyle w:val="checkbox"/>
                <w:rFonts w:ascii="Arial" w:hAnsi="Arial" w:cs="Arial"/>
              </w:rPr>
              <w:t>ed to ethylene oxide</w:t>
            </w:r>
            <w:r w:rsidR="00C13FF4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36B4289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FF4F8FF" w14:textId="77777777" w:rsidTr="005A45F1">
        <w:trPr>
          <w:trHeight w:val="454"/>
          <w:tblHeader/>
        </w:trPr>
        <w:tc>
          <w:tcPr>
            <w:tcW w:w="6597" w:type="dxa"/>
            <w:vAlign w:val="center"/>
          </w:tcPr>
          <w:p w14:paraId="38870AF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FBC9034" w14:textId="660FB723" w:rsidR="002E0D61" w:rsidRDefault="005A45F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B49D6AF" w14:textId="77777777" w:rsidTr="005A45F1">
        <w:trPr>
          <w:trHeight w:val="454"/>
        </w:trPr>
        <w:tc>
          <w:tcPr>
            <w:tcW w:w="6597" w:type="dxa"/>
            <w:vAlign w:val="center"/>
          </w:tcPr>
          <w:p w14:paraId="2401543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209568A" w14:textId="738859E8" w:rsidR="008A36CF" w:rsidRDefault="005A45F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6E51EF" w14:paraId="38FD7EAE" w14:textId="77777777" w:rsidTr="00CC260F">
        <w:trPr>
          <w:trHeight w:val="454"/>
        </w:trPr>
        <w:sdt>
          <w:sdtPr>
            <w:rPr>
              <w:b/>
            </w:rPr>
            <w:id w:val="1830936485"/>
            <w:placeholder>
              <w:docPart w:val="C2B19709D7514B4C9BC1055FF549939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B070FFF" w14:textId="3BEA1763" w:rsidR="006E51EF" w:rsidRDefault="006E51E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19F37CB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4A9A5E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D03D26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6AC223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AAC41A0" w14:textId="77777777" w:rsidTr="00812887">
        <w:trPr>
          <w:cantSplit/>
        </w:trPr>
        <w:tc>
          <w:tcPr>
            <w:tcW w:w="3227" w:type="dxa"/>
          </w:tcPr>
          <w:p w14:paraId="4B4E1D1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EBE6EC5" w14:textId="3D24E6B7" w:rsidR="00687890" w:rsidRPr="00DD2F9B" w:rsidRDefault="00490D99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C49712C" w14:textId="77777777" w:rsidTr="00812887">
        <w:trPr>
          <w:cantSplit/>
        </w:trPr>
        <w:tc>
          <w:tcPr>
            <w:tcW w:w="3227" w:type="dxa"/>
          </w:tcPr>
          <w:p w14:paraId="7D5E6A9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A2C3066" w14:textId="708F0818" w:rsidR="007925F0" w:rsidRPr="00DD2F9B" w:rsidRDefault="00490D99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0FA06D4" w14:textId="77777777" w:rsidTr="00812887">
        <w:trPr>
          <w:cantSplit/>
        </w:trPr>
        <w:tc>
          <w:tcPr>
            <w:tcW w:w="3227" w:type="dxa"/>
          </w:tcPr>
          <w:p w14:paraId="2887A71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720D0E0" w14:textId="09477CDA" w:rsidR="00AF483F" w:rsidRPr="00DD2F9B" w:rsidRDefault="00490D9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5687EE2" w14:textId="77777777" w:rsidTr="00812887">
        <w:trPr>
          <w:cantSplit/>
        </w:trPr>
        <w:tc>
          <w:tcPr>
            <w:tcW w:w="3227" w:type="dxa"/>
          </w:tcPr>
          <w:p w14:paraId="52E4CAC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E4342DA" w14:textId="46DD2BAD" w:rsidR="00687890" w:rsidRPr="00DD2F9B" w:rsidRDefault="00490D9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E491E73" w14:textId="77777777" w:rsidTr="00812887">
        <w:trPr>
          <w:cantSplit/>
        </w:trPr>
        <w:tc>
          <w:tcPr>
            <w:tcW w:w="3227" w:type="dxa"/>
          </w:tcPr>
          <w:p w14:paraId="74D88E3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2D41C29" w14:textId="483B2CB3" w:rsidR="00E41A26" w:rsidRPr="00DD2F9B" w:rsidRDefault="00490D9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30E9005" w14:textId="77777777" w:rsidTr="00812887">
        <w:trPr>
          <w:cantSplit/>
        </w:trPr>
        <w:tc>
          <w:tcPr>
            <w:tcW w:w="3227" w:type="dxa"/>
          </w:tcPr>
          <w:p w14:paraId="2621D52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AFC1069" w14:textId="62EA32E1" w:rsidR="002E0D61" w:rsidRPr="00DD2F9B" w:rsidRDefault="00D816AE" w:rsidP="00DD2F9B">
            <w:pPr>
              <w:pStyle w:val="Tablefont"/>
            </w:pPr>
            <w:r w:rsidRPr="00D816AE">
              <w:t>Carcinogenicity – A4</w:t>
            </w:r>
          </w:p>
        </w:tc>
      </w:tr>
      <w:tr w:rsidR="002E0D61" w:rsidRPr="004C23F4" w14:paraId="2E11DB47" w14:textId="77777777" w:rsidTr="00812887">
        <w:trPr>
          <w:cantSplit/>
        </w:trPr>
        <w:tc>
          <w:tcPr>
            <w:tcW w:w="3227" w:type="dxa"/>
          </w:tcPr>
          <w:p w14:paraId="50B7DDA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8BFB865" w14:textId="1D0B50F0" w:rsidR="002E0D61" w:rsidRPr="00DD2F9B" w:rsidRDefault="00D816AE" w:rsidP="00DD2F9B">
            <w:pPr>
              <w:pStyle w:val="Tablefont"/>
            </w:pPr>
            <w:r w:rsidRPr="00D816AE">
              <w:t>Carcinogenicity – 3B</w:t>
            </w:r>
          </w:p>
        </w:tc>
      </w:tr>
      <w:tr w:rsidR="002E0D61" w:rsidRPr="004C23F4" w14:paraId="5F7CD494" w14:textId="77777777" w:rsidTr="00812887">
        <w:trPr>
          <w:cantSplit/>
        </w:trPr>
        <w:tc>
          <w:tcPr>
            <w:tcW w:w="3227" w:type="dxa"/>
          </w:tcPr>
          <w:p w14:paraId="7E15EB6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9F60DD1" w14:textId="6475191B" w:rsidR="002E0D61" w:rsidRPr="00DD2F9B" w:rsidRDefault="00D816A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B7F27A2" w14:textId="77777777" w:rsidTr="00812887">
        <w:trPr>
          <w:cantSplit/>
        </w:trPr>
        <w:tc>
          <w:tcPr>
            <w:tcW w:w="3227" w:type="dxa"/>
          </w:tcPr>
          <w:p w14:paraId="52F420C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A9B8661" w14:textId="352B043B" w:rsidR="002E0D61" w:rsidRPr="00DD2F9B" w:rsidRDefault="00D816AE" w:rsidP="00DD2F9B">
            <w:pPr>
              <w:pStyle w:val="Tablefont"/>
            </w:pPr>
            <w:r w:rsidRPr="00D816AE">
              <w:t>Carcinogenicity – category 3</w:t>
            </w:r>
          </w:p>
        </w:tc>
      </w:tr>
      <w:tr w:rsidR="00386093" w:rsidRPr="004C23F4" w14:paraId="29367E06" w14:textId="77777777" w:rsidTr="00812887">
        <w:trPr>
          <w:cantSplit/>
        </w:trPr>
        <w:tc>
          <w:tcPr>
            <w:tcW w:w="3227" w:type="dxa"/>
          </w:tcPr>
          <w:p w14:paraId="18203703" w14:textId="77777777" w:rsidR="004079B4" w:rsidRDefault="00386093" w:rsidP="00F4402E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6015" w:type="dxa"/>
          </w:tcPr>
          <w:p w14:paraId="26EB3AAB" w14:textId="3D0643BD" w:rsidR="00386093" w:rsidRPr="00DD2F9B" w:rsidRDefault="00D816AE" w:rsidP="00DD2F9B">
            <w:pPr>
              <w:pStyle w:val="Tablefont"/>
            </w:pPr>
            <w:r w:rsidRPr="00D816AE">
              <w:t>Carcinogenicity – Group 3</w:t>
            </w:r>
          </w:p>
        </w:tc>
      </w:tr>
      <w:tr w:rsidR="00386093" w:rsidRPr="004C23F4" w14:paraId="3FE5E1B1" w14:textId="77777777" w:rsidTr="00812887">
        <w:trPr>
          <w:cantSplit/>
        </w:trPr>
        <w:tc>
          <w:tcPr>
            <w:tcW w:w="3227" w:type="dxa"/>
          </w:tcPr>
          <w:p w14:paraId="2A8D861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25E1F5D" w14:textId="41E88BC6" w:rsidR="00386093" w:rsidRPr="00DD2F9B" w:rsidRDefault="00D816A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11011E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08B932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836EEE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598F68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53A2B5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E7763BE" w14:textId="6E87A22A" w:rsidR="00932DCE" w:rsidRPr="004C23F4" w:rsidRDefault="004C1F29" w:rsidP="00F9496B">
            <w:pPr>
              <w:pStyle w:val="Tablefont"/>
            </w:pPr>
            <w:r>
              <w:t>Insufficient data to assign a skin notation</w:t>
            </w:r>
            <w:r w:rsidR="006E51EF">
              <w:t>.</w:t>
            </w:r>
          </w:p>
        </w:tc>
      </w:tr>
    </w:tbl>
    <w:bookmarkEnd w:id="4"/>
    <w:p w14:paraId="039E899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10C200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4115AE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8D8D264" w14:textId="01A948B2" w:rsidR="00EB3D1B" w:rsidRDefault="00380EF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935238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1CA301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A1B9D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563D409" w14:textId="550F72BD" w:rsidR="001B79E5" w:rsidRDefault="00D816AE" w:rsidP="001B79E5">
                <w:pPr>
                  <w:pStyle w:val="Tablefont"/>
                </w:pPr>
                <w:r w:rsidRPr="00D816AE">
                  <w:t>28.05</w:t>
                </w:r>
              </w:p>
            </w:tc>
          </w:sdtContent>
        </w:sdt>
      </w:tr>
      <w:tr w:rsidR="00A31D99" w:rsidRPr="004C23F4" w14:paraId="603CD31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A2CB0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4529C24" w14:textId="0B4E8C10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816AE">
                  <w:t>1.15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816AE">
                  <w:t>0.87</w:t>
                </w:r>
              </w:sdtContent>
            </w:sdt>
            <w:r w:rsidRPr="00D816AE">
              <w:t xml:space="preserve"> </w:t>
            </w:r>
            <w:r>
              <w:t>ppm</w:t>
            </w:r>
          </w:p>
        </w:tc>
      </w:tr>
      <w:tr w:rsidR="00687890" w:rsidRPr="004C23F4" w14:paraId="59CAC9B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87AF42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FF5F52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CF53813" w14:textId="77777777" w:rsidTr="00EA6243">
        <w:trPr>
          <w:cantSplit/>
        </w:trPr>
        <w:tc>
          <w:tcPr>
            <w:tcW w:w="4077" w:type="dxa"/>
            <w:vAlign w:val="center"/>
          </w:tcPr>
          <w:p w14:paraId="53A91E3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9F8E851" w14:textId="1BA2BFB0" w:rsidR="00687890" w:rsidRPr="004C23F4" w:rsidRDefault="002031D6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7AF51FB" w14:textId="77777777" w:rsidTr="00EA6243">
        <w:trPr>
          <w:cantSplit/>
        </w:trPr>
        <w:tc>
          <w:tcPr>
            <w:tcW w:w="4077" w:type="dxa"/>
            <w:vAlign w:val="center"/>
          </w:tcPr>
          <w:p w14:paraId="66752A2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7DE56A9" w14:textId="246A4B8A" w:rsidR="00687890" w:rsidRPr="004C23F4" w:rsidRDefault="002031D6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435F9F71" w14:textId="77777777" w:rsidTr="00EA6243">
        <w:trPr>
          <w:cantSplit/>
        </w:trPr>
        <w:tc>
          <w:tcPr>
            <w:tcW w:w="4077" w:type="dxa"/>
            <w:vAlign w:val="center"/>
          </w:tcPr>
          <w:p w14:paraId="4BE8FA0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3CDA5D4" w14:textId="434C7213" w:rsidR="00E06F40" w:rsidRPr="00A006A0" w:rsidRDefault="00DF3E6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31D6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6747B5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7C8DA3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DAC381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2F04D0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B680F6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F69534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6AD24C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222BB1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970BD7F" w14:textId="7238C8DB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77E7ABD" w14:textId="44DA5103" w:rsidR="00D816AE" w:rsidRDefault="00D816AE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(1998) </w:t>
      </w:r>
      <w:r w:rsidRPr="00D816AE">
        <w:t>Ethylene</w:t>
      </w:r>
      <w:r>
        <w:t xml:space="preserve"> – MAK value documentation.</w:t>
      </w:r>
    </w:p>
    <w:p w14:paraId="77CD7008" w14:textId="780CD70B" w:rsidR="00D816AE" w:rsidRDefault="00D816AE" w:rsidP="00084859">
      <w:r>
        <w:t xml:space="preserve">Health Council of the Netherlands (HCOTN) (2013) </w:t>
      </w:r>
      <w:r w:rsidRPr="00D816AE">
        <w:t>Ethylene</w:t>
      </w:r>
      <w:r>
        <w:t xml:space="preserve">. Health-based calculated occupational cancer risk values. The Hague: Health Council of the Netherlands; publication no. </w:t>
      </w:r>
      <w:r w:rsidRPr="00D816AE">
        <w:t>2013/24</w:t>
      </w:r>
      <w:r>
        <w:t>.</w:t>
      </w:r>
    </w:p>
    <w:p w14:paraId="410DC947" w14:textId="083DA56A" w:rsidR="00D816AE" w:rsidRDefault="00D816AE" w:rsidP="00084859">
      <w:r>
        <w:t>International Agency for Research on Cancer (IARC) (</w:t>
      </w:r>
      <w:r w:rsidR="00583DE4">
        <w:t>1994</w:t>
      </w:r>
      <w:r>
        <w:t xml:space="preserve">) </w:t>
      </w:r>
      <w:r w:rsidRPr="00D816AE">
        <w:t>Ethylene</w:t>
      </w:r>
      <w:r>
        <w:t>. IARC Monographs on the evaluation of the carcinogenic risk to humans</w:t>
      </w:r>
      <w:r w:rsidR="00583DE4">
        <w:t>, volume 71</w:t>
      </w:r>
      <w:r>
        <w:t>.</w:t>
      </w:r>
    </w:p>
    <w:p w14:paraId="30891F06" w14:textId="7E506606" w:rsidR="00D816AE" w:rsidRDefault="00583DE4" w:rsidP="00084859">
      <w:r w:rsidRPr="00D86E03">
        <w:t>Organisation for Economic Cooperation and Development (OECD)</w:t>
      </w:r>
      <w:r>
        <w:t xml:space="preserve"> (1996) SIDS initial assessment profile – Ethylene</w:t>
      </w:r>
      <w:r w:rsidRPr="00D86E03">
        <w:t>.</w:t>
      </w:r>
    </w:p>
    <w:p w14:paraId="6D66F1AF" w14:textId="77777777" w:rsidR="00380EF9" w:rsidRPr="00351FE0" w:rsidRDefault="00380EF9" w:rsidP="00084859"/>
    <w:sectPr w:rsidR="00380EF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83E3F" w16cid:durableId="216EAF0B"/>
  <w16cid:commentId w16cid:paraId="0EDD4274" w16cid:durableId="216EAFB6"/>
  <w16cid:commentId w16cid:paraId="0C1BB23E" w16cid:durableId="216EB024"/>
  <w16cid:commentId w16cid:paraId="2015E9FB" w16cid:durableId="216EB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E18A" w14:textId="77777777" w:rsidR="00395BF3" w:rsidRDefault="00395BF3" w:rsidP="00F43AD5">
      <w:pPr>
        <w:spacing w:after="0" w:line="240" w:lineRule="auto"/>
      </w:pPr>
      <w:r>
        <w:separator/>
      </w:r>
    </w:p>
  </w:endnote>
  <w:endnote w:type="continuationSeparator" w:id="0">
    <w:p w14:paraId="69BB4923" w14:textId="77777777" w:rsidR="00395BF3" w:rsidRDefault="00395BF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96F17" w14:textId="77777777" w:rsidR="002248BE" w:rsidRDefault="00224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CD3163" w14:textId="48549D73" w:rsidR="008A36CF" w:rsidRDefault="00665736" w:rsidP="0034744C">
        <w:pPr>
          <w:pStyle w:val="Footer"/>
          <w:rPr>
            <w:sz w:val="18"/>
            <w:szCs w:val="18"/>
          </w:rPr>
        </w:pPr>
        <w:r w:rsidRPr="00665736">
          <w:rPr>
            <w:b/>
            <w:sz w:val="18"/>
            <w:szCs w:val="18"/>
          </w:rPr>
          <w:t>Ethylene</w:t>
        </w:r>
        <w:r w:rsidR="008A36CF">
          <w:rPr>
            <w:b/>
            <w:sz w:val="18"/>
            <w:szCs w:val="18"/>
          </w:rPr>
          <w:t xml:space="preserve"> (</w:t>
        </w:r>
        <w:r w:rsidRPr="00665736">
          <w:rPr>
            <w:b/>
            <w:sz w:val="18"/>
            <w:szCs w:val="18"/>
          </w:rPr>
          <w:t>74-85-1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CEC942F" w14:textId="145FB68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F3E63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F701" w14:textId="77777777" w:rsidR="002248BE" w:rsidRDefault="0022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612D" w14:textId="77777777" w:rsidR="00395BF3" w:rsidRDefault="00395BF3" w:rsidP="00F43AD5">
      <w:pPr>
        <w:spacing w:after="0" w:line="240" w:lineRule="auto"/>
      </w:pPr>
      <w:r>
        <w:separator/>
      </w:r>
    </w:p>
  </w:footnote>
  <w:footnote w:type="continuationSeparator" w:id="0">
    <w:p w14:paraId="066B280D" w14:textId="77777777" w:rsidR="00395BF3" w:rsidRDefault="00395BF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0B4D" w14:textId="77777777" w:rsidR="002248BE" w:rsidRDefault="0022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1C86" w14:textId="27FC4FA7" w:rsidR="002248BE" w:rsidRDefault="00DF3E63" w:rsidP="002248BE">
    <w:pPr>
      <w:pStyle w:val="Header"/>
      <w:jc w:val="right"/>
    </w:pPr>
    <w:r>
      <w:pict w14:anchorId="2B212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248BE">
      <w:rPr>
        <w:noProof/>
        <w:lang w:eastAsia="en-AU"/>
      </w:rPr>
      <w:drawing>
        <wp:inline distT="0" distB="0" distL="0" distR="0" wp14:anchorId="310F6B2B" wp14:editId="5F2EF866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079AE" w14:textId="50501421" w:rsidR="008A36CF" w:rsidRPr="002248BE" w:rsidRDefault="008A36CF" w:rsidP="00224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9ECB" w14:textId="77777777" w:rsidR="002248BE" w:rsidRDefault="002248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505E" w14:textId="0608B5F6" w:rsidR="002248BE" w:rsidRDefault="00DF3E63" w:rsidP="002248BE">
    <w:pPr>
      <w:pStyle w:val="Header"/>
      <w:jc w:val="right"/>
    </w:pPr>
    <w:r>
      <w:pict w14:anchorId="0C47AA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248BE">
      <w:rPr>
        <w:noProof/>
        <w:lang w:eastAsia="en-AU"/>
      </w:rPr>
      <w:drawing>
        <wp:inline distT="0" distB="0" distL="0" distR="0" wp14:anchorId="346405E1" wp14:editId="684A50C0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640FF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EEE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3DAB"/>
    <w:multiLevelType w:val="hybridMultilevel"/>
    <w:tmpl w:val="396086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71159"/>
    <w:multiLevelType w:val="hybridMultilevel"/>
    <w:tmpl w:val="3F283994"/>
    <w:lvl w:ilvl="0" w:tplc="53B6E7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64BF8"/>
    <w:multiLevelType w:val="hybridMultilevel"/>
    <w:tmpl w:val="EF507644"/>
    <w:lvl w:ilvl="0" w:tplc="FA7E6C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F72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4E01"/>
    <w:rsid w:val="000B0868"/>
    <w:rsid w:val="000B3E12"/>
    <w:rsid w:val="000B3E78"/>
    <w:rsid w:val="000B7B48"/>
    <w:rsid w:val="000C096D"/>
    <w:rsid w:val="000C139A"/>
    <w:rsid w:val="000C2053"/>
    <w:rsid w:val="000C248C"/>
    <w:rsid w:val="000D10D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328A"/>
    <w:rsid w:val="00173F6A"/>
    <w:rsid w:val="00177CA1"/>
    <w:rsid w:val="00183823"/>
    <w:rsid w:val="00183942"/>
    <w:rsid w:val="001A009E"/>
    <w:rsid w:val="001A1287"/>
    <w:rsid w:val="001A3859"/>
    <w:rsid w:val="001A3C9D"/>
    <w:rsid w:val="001A43F8"/>
    <w:rsid w:val="001A5E52"/>
    <w:rsid w:val="001B79E5"/>
    <w:rsid w:val="001C2350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31D6"/>
    <w:rsid w:val="002046A6"/>
    <w:rsid w:val="00204956"/>
    <w:rsid w:val="00213640"/>
    <w:rsid w:val="00221547"/>
    <w:rsid w:val="002216FC"/>
    <w:rsid w:val="00222533"/>
    <w:rsid w:val="00222F30"/>
    <w:rsid w:val="002248BE"/>
    <w:rsid w:val="00224EE2"/>
    <w:rsid w:val="00227EC7"/>
    <w:rsid w:val="00244AD1"/>
    <w:rsid w:val="002463BC"/>
    <w:rsid w:val="002465CE"/>
    <w:rsid w:val="0025734A"/>
    <w:rsid w:val="00263255"/>
    <w:rsid w:val="0026785C"/>
    <w:rsid w:val="00276494"/>
    <w:rsid w:val="00277B0C"/>
    <w:rsid w:val="002B1A2C"/>
    <w:rsid w:val="002C34F2"/>
    <w:rsid w:val="002C496E"/>
    <w:rsid w:val="002C58FF"/>
    <w:rsid w:val="002C7AFE"/>
    <w:rsid w:val="002D05D2"/>
    <w:rsid w:val="002E0D61"/>
    <w:rsid w:val="002E4C7B"/>
    <w:rsid w:val="0030740C"/>
    <w:rsid w:val="00313506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0EF9"/>
    <w:rsid w:val="00386093"/>
    <w:rsid w:val="003904A4"/>
    <w:rsid w:val="00391841"/>
    <w:rsid w:val="00391B6D"/>
    <w:rsid w:val="00394922"/>
    <w:rsid w:val="00395BF3"/>
    <w:rsid w:val="003A0E32"/>
    <w:rsid w:val="003A2B94"/>
    <w:rsid w:val="003A59A2"/>
    <w:rsid w:val="003B387D"/>
    <w:rsid w:val="003C0D58"/>
    <w:rsid w:val="003C43CE"/>
    <w:rsid w:val="003D0919"/>
    <w:rsid w:val="003D13DF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9BA"/>
    <w:rsid w:val="00472A11"/>
    <w:rsid w:val="00472AAD"/>
    <w:rsid w:val="00474E33"/>
    <w:rsid w:val="00476803"/>
    <w:rsid w:val="00485BFD"/>
    <w:rsid w:val="004867A2"/>
    <w:rsid w:val="004873F2"/>
    <w:rsid w:val="00490D4C"/>
    <w:rsid w:val="00490D99"/>
    <w:rsid w:val="0049333D"/>
    <w:rsid w:val="00493A35"/>
    <w:rsid w:val="0049527A"/>
    <w:rsid w:val="004966BF"/>
    <w:rsid w:val="00497984"/>
    <w:rsid w:val="004A5088"/>
    <w:rsid w:val="004C1E3F"/>
    <w:rsid w:val="004C1F29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3770"/>
    <w:rsid w:val="005446A2"/>
    <w:rsid w:val="00544D2F"/>
    <w:rsid w:val="00546989"/>
    <w:rsid w:val="00546EC4"/>
    <w:rsid w:val="00551BD8"/>
    <w:rsid w:val="00581055"/>
    <w:rsid w:val="00583DE4"/>
    <w:rsid w:val="00591E38"/>
    <w:rsid w:val="005A19C5"/>
    <w:rsid w:val="005A3034"/>
    <w:rsid w:val="005A45F1"/>
    <w:rsid w:val="005A462D"/>
    <w:rsid w:val="005B253B"/>
    <w:rsid w:val="005B771D"/>
    <w:rsid w:val="005C5D16"/>
    <w:rsid w:val="005D3193"/>
    <w:rsid w:val="005D4A6E"/>
    <w:rsid w:val="005D56AF"/>
    <w:rsid w:val="005E38F1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13BC"/>
    <w:rsid w:val="00650905"/>
    <w:rsid w:val="006532ED"/>
    <w:rsid w:val="006549F2"/>
    <w:rsid w:val="006567B7"/>
    <w:rsid w:val="00657BFB"/>
    <w:rsid w:val="0066333C"/>
    <w:rsid w:val="006639B4"/>
    <w:rsid w:val="006650FE"/>
    <w:rsid w:val="00665736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0EC2"/>
    <w:rsid w:val="006A5D16"/>
    <w:rsid w:val="006B160A"/>
    <w:rsid w:val="006B4E6C"/>
    <w:rsid w:val="006B50B6"/>
    <w:rsid w:val="006D00FD"/>
    <w:rsid w:val="006D79EA"/>
    <w:rsid w:val="006E51EF"/>
    <w:rsid w:val="006E5D05"/>
    <w:rsid w:val="006F75CC"/>
    <w:rsid w:val="00701053"/>
    <w:rsid w:val="00701507"/>
    <w:rsid w:val="00714021"/>
    <w:rsid w:val="00716043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736F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1A6"/>
    <w:rsid w:val="00834CC8"/>
    <w:rsid w:val="00835E00"/>
    <w:rsid w:val="008362B7"/>
    <w:rsid w:val="00837113"/>
    <w:rsid w:val="00837BC7"/>
    <w:rsid w:val="008414E4"/>
    <w:rsid w:val="00843E21"/>
    <w:rsid w:val="0084508E"/>
    <w:rsid w:val="00857A8A"/>
    <w:rsid w:val="00862C24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6432"/>
    <w:rsid w:val="008B403C"/>
    <w:rsid w:val="008B7983"/>
    <w:rsid w:val="008C2511"/>
    <w:rsid w:val="008D026D"/>
    <w:rsid w:val="008D23AB"/>
    <w:rsid w:val="008D4B8B"/>
    <w:rsid w:val="008D5A78"/>
    <w:rsid w:val="008E5C88"/>
    <w:rsid w:val="008E7B64"/>
    <w:rsid w:val="008F5DCD"/>
    <w:rsid w:val="00900951"/>
    <w:rsid w:val="0090246C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FF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4EF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00AF"/>
    <w:rsid w:val="00A31D99"/>
    <w:rsid w:val="00A357BA"/>
    <w:rsid w:val="00A35ADC"/>
    <w:rsid w:val="00A402A3"/>
    <w:rsid w:val="00A429F7"/>
    <w:rsid w:val="00A53681"/>
    <w:rsid w:val="00A633D4"/>
    <w:rsid w:val="00A6461A"/>
    <w:rsid w:val="00A84504"/>
    <w:rsid w:val="00A8672F"/>
    <w:rsid w:val="00A93057"/>
    <w:rsid w:val="00A968B0"/>
    <w:rsid w:val="00AA2266"/>
    <w:rsid w:val="00AA4ABB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061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17E5"/>
    <w:rsid w:val="00BF2406"/>
    <w:rsid w:val="00BF6169"/>
    <w:rsid w:val="00BF7496"/>
    <w:rsid w:val="00C06E43"/>
    <w:rsid w:val="00C1280A"/>
    <w:rsid w:val="00C13FF4"/>
    <w:rsid w:val="00C16315"/>
    <w:rsid w:val="00C23F1A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16AE"/>
    <w:rsid w:val="00D87570"/>
    <w:rsid w:val="00D91CB9"/>
    <w:rsid w:val="00D97989"/>
    <w:rsid w:val="00D97D8D"/>
    <w:rsid w:val="00DA352E"/>
    <w:rsid w:val="00DC7694"/>
    <w:rsid w:val="00DD1BF6"/>
    <w:rsid w:val="00DD2F9B"/>
    <w:rsid w:val="00DE0DEB"/>
    <w:rsid w:val="00DE2513"/>
    <w:rsid w:val="00DE26E8"/>
    <w:rsid w:val="00DF3E63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05FB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6326"/>
    <w:rsid w:val="00EA0A06"/>
    <w:rsid w:val="00EA6243"/>
    <w:rsid w:val="00EA74AB"/>
    <w:rsid w:val="00EB3D1B"/>
    <w:rsid w:val="00EB5375"/>
    <w:rsid w:val="00EB7ACB"/>
    <w:rsid w:val="00ED1D89"/>
    <w:rsid w:val="00ED66BC"/>
    <w:rsid w:val="00EF233A"/>
    <w:rsid w:val="00EF303E"/>
    <w:rsid w:val="00EF3A40"/>
    <w:rsid w:val="00EF7F78"/>
    <w:rsid w:val="00F01B08"/>
    <w:rsid w:val="00F01C4D"/>
    <w:rsid w:val="00F02F22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0DD0"/>
    <w:rsid w:val="00F56DD0"/>
    <w:rsid w:val="00F62C8C"/>
    <w:rsid w:val="00F6491C"/>
    <w:rsid w:val="00F67BBB"/>
    <w:rsid w:val="00F87D92"/>
    <w:rsid w:val="00F90AA7"/>
    <w:rsid w:val="00F92498"/>
    <w:rsid w:val="00F9496B"/>
    <w:rsid w:val="00F970C9"/>
    <w:rsid w:val="00FA06A8"/>
    <w:rsid w:val="00FA0CE0"/>
    <w:rsid w:val="00FA2954"/>
    <w:rsid w:val="00FA3DF5"/>
    <w:rsid w:val="00FA741F"/>
    <w:rsid w:val="00FB4E07"/>
    <w:rsid w:val="00FB755A"/>
    <w:rsid w:val="00FC60A2"/>
    <w:rsid w:val="00FD1871"/>
    <w:rsid w:val="00FD3110"/>
    <w:rsid w:val="00FE2958"/>
    <w:rsid w:val="00FF56B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380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E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EF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EF9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173F6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2B19709D7514B4C9BC1055FF549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733F-D06A-49F6-B962-63D82F3A8D82}"/>
      </w:docPartPr>
      <w:docPartBody>
        <w:p w:rsidR="008134E0" w:rsidRDefault="00D86BF5" w:rsidP="00D86BF5">
          <w:pPr>
            <w:pStyle w:val="C2B19709D7514B4C9BC1055FF549939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7A24B1"/>
    <w:rsid w:val="008134E0"/>
    <w:rsid w:val="0093432C"/>
    <w:rsid w:val="00B0778B"/>
    <w:rsid w:val="00D21A9F"/>
    <w:rsid w:val="00D86BF5"/>
    <w:rsid w:val="00DD385C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BF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6A96302829D4B05AE4C2D10ADDEF714">
    <w:name w:val="F6A96302829D4B05AE4C2D10ADDEF714"/>
    <w:rsid w:val="00FE0AE8"/>
  </w:style>
  <w:style w:type="paragraph" w:customStyle="1" w:styleId="5C32BEB6D2D2462984968A1FB2813CC4">
    <w:name w:val="5C32BEB6D2D2462984968A1FB2813CC4"/>
    <w:rsid w:val="00FE0AE8"/>
  </w:style>
  <w:style w:type="paragraph" w:customStyle="1" w:styleId="3721D72ACC434C6899CF49419F928D9C">
    <w:name w:val="3721D72ACC434C6899CF49419F928D9C"/>
    <w:rsid w:val="00FE0AE8"/>
  </w:style>
  <w:style w:type="paragraph" w:customStyle="1" w:styleId="CA597DC91ABD43CEBC2B2F18CF1A2591">
    <w:name w:val="CA597DC91ABD43CEBC2B2F18CF1A2591"/>
    <w:rsid w:val="00FE0AE8"/>
  </w:style>
  <w:style w:type="paragraph" w:customStyle="1" w:styleId="16DBFA99B715403387C23D5B2C794143">
    <w:name w:val="16DBFA99B715403387C23D5B2C794143"/>
    <w:rsid w:val="00FE0AE8"/>
  </w:style>
  <w:style w:type="paragraph" w:customStyle="1" w:styleId="43EE6C9CB1374F99B2223FF390D76B67">
    <w:name w:val="43EE6C9CB1374F99B2223FF390D76B67"/>
    <w:rsid w:val="00FE0AE8"/>
  </w:style>
  <w:style w:type="paragraph" w:customStyle="1" w:styleId="F64651982DB5495FBDAE4F0D26DD34C3">
    <w:name w:val="F64651982DB5495FBDAE4F0D26DD34C3"/>
    <w:rsid w:val="00FE0AE8"/>
  </w:style>
  <w:style w:type="paragraph" w:customStyle="1" w:styleId="B9EB9F996C604BAB9AE5ECC34B97F3A2">
    <w:name w:val="B9EB9F996C604BAB9AE5ECC34B97F3A2"/>
    <w:rsid w:val="00DD385C"/>
  </w:style>
  <w:style w:type="paragraph" w:customStyle="1" w:styleId="025E6E24ABF949F58A77AD5C21C51ECD">
    <w:name w:val="025E6E24ABF949F58A77AD5C21C51ECD"/>
    <w:rsid w:val="00DD385C"/>
  </w:style>
  <w:style w:type="paragraph" w:customStyle="1" w:styleId="D06065588D4E45CFAAF26A3AA05AC622">
    <w:name w:val="D06065588D4E45CFAAF26A3AA05AC622"/>
    <w:rsid w:val="007A24B1"/>
  </w:style>
  <w:style w:type="paragraph" w:customStyle="1" w:styleId="C2B19709D7514B4C9BC1055FF5499392">
    <w:name w:val="C2B19709D7514B4C9BC1055FF5499392"/>
    <w:rsid w:val="00D86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4C01-30C7-4B9D-94BA-0113E8E8A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0A93A-5AE9-41E6-8FE4-15632B0A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F67D4E33.dotm</Template>
  <TotalTime>25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ZAFAR,Anjum</cp:lastModifiedBy>
  <cp:revision>4</cp:revision>
  <cp:lastPrinted>2018-10-22T22:41:00Z</cp:lastPrinted>
  <dcterms:created xsi:type="dcterms:W3CDTF">2019-11-19T05:56:00Z</dcterms:created>
  <dcterms:modified xsi:type="dcterms:W3CDTF">2019-11-22T00:22:00Z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