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C131C8E" w14:textId="6F1BBE38" w:rsidR="00BD499F" w:rsidRPr="004C23F4" w:rsidRDefault="00170A9E" w:rsidP="00170A9E">
          <w:pPr>
            <w:pStyle w:val="Heading1"/>
            <w:jc w:val="center"/>
            <w:rPr>
              <w:rFonts w:ascii="Arial" w:hAnsi="Arial" w:cs="Arial"/>
            </w:rPr>
          </w:pPr>
          <w:r w:rsidRPr="00170A9E">
            <w:rPr>
              <w:rFonts w:ascii="Arial" w:hAnsi="Arial" w:cs="Arial"/>
            </w:rPr>
            <w:t>Ethylene thiourea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5429F5E8" w14:textId="77777777" w:rsidTr="00B76A41">
        <w:trPr>
          <w:cantSplit/>
          <w:tblHeader/>
        </w:trPr>
        <w:tc>
          <w:tcPr>
            <w:tcW w:w="4077" w:type="dxa"/>
          </w:tcPr>
          <w:p w14:paraId="743B395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F13C2EE" w14:textId="7F01BED3" w:rsidR="00F43AD5" w:rsidRPr="00717D45" w:rsidRDefault="00A64120" w:rsidP="00B76A41">
            <w:pPr>
              <w:pStyle w:val="Tablefont"/>
            </w:pPr>
            <w:r w:rsidRPr="00A64120">
              <w:t>96-45-7</w:t>
            </w:r>
          </w:p>
        </w:tc>
      </w:tr>
      <w:tr w:rsidR="00F43AD5" w:rsidRPr="004C23F4" w14:paraId="0DBF4466" w14:textId="77777777" w:rsidTr="00B76A41">
        <w:trPr>
          <w:cantSplit/>
        </w:trPr>
        <w:tc>
          <w:tcPr>
            <w:tcW w:w="4077" w:type="dxa"/>
          </w:tcPr>
          <w:p w14:paraId="68CBB02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930BC93" w14:textId="446DFFD9" w:rsidR="00F43AD5" w:rsidRPr="00717D45" w:rsidRDefault="00A64120" w:rsidP="00B76A41">
            <w:pPr>
              <w:pStyle w:val="Tablefont"/>
            </w:pPr>
            <w:r>
              <w:t>2-M</w:t>
            </w:r>
            <w:r w:rsidRPr="00A64120">
              <w:t>ercaptoimidazoline</w:t>
            </w:r>
            <w:r w:rsidR="007E1C63">
              <w:t xml:space="preserve">, </w:t>
            </w:r>
            <w:r w:rsidR="00760FE0">
              <w:t xml:space="preserve">ET, </w:t>
            </w:r>
            <w:r w:rsidR="007E1C63">
              <w:t>ET</w:t>
            </w:r>
            <w:r w:rsidR="00760FE0">
              <w:t>U</w:t>
            </w:r>
          </w:p>
        </w:tc>
      </w:tr>
      <w:tr w:rsidR="00F43AD5" w:rsidRPr="004C23F4" w14:paraId="23785C9E" w14:textId="77777777" w:rsidTr="00B76A41">
        <w:trPr>
          <w:cantSplit/>
        </w:trPr>
        <w:tc>
          <w:tcPr>
            <w:tcW w:w="4077" w:type="dxa"/>
          </w:tcPr>
          <w:p w14:paraId="7DAFAD3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795A8C4" w14:textId="3A6A8106" w:rsidR="00F43AD5" w:rsidRPr="00717D45" w:rsidRDefault="00A64120" w:rsidP="00B76A41">
            <w:pPr>
              <w:pStyle w:val="Tablefont"/>
            </w:pPr>
            <w:r>
              <w:t>C</w:t>
            </w:r>
            <w:r w:rsidRPr="00A64120">
              <w:rPr>
                <w:vertAlign w:val="subscript"/>
              </w:rPr>
              <w:t>3</w:t>
            </w:r>
            <w:r>
              <w:t>H</w:t>
            </w:r>
            <w:r w:rsidRPr="00A64120">
              <w:rPr>
                <w:vertAlign w:val="subscript"/>
              </w:rPr>
              <w:t>6</w:t>
            </w:r>
            <w:r>
              <w:t>N</w:t>
            </w:r>
            <w:r w:rsidRPr="00A64120">
              <w:rPr>
                <w:vertAlign w:val="subscript"/>
              </w:rPr>
              <w:t>2</w:t>
            </w:r>
            <w:r>
              <w:t>S</w:t>
            </w:r>
          </w:p>
        </w:tc>
      </w:tr>
      <w:tr w:rsidR="00F43AD5" w:rsidRPr="004C23F4" w14:paraId="581B636F" w14:textId="77777777" w:rsidTr="00B76A41">
        <w:trPr>
          <w:cantSplit/>
        </w:trPr>
        <w:tc>
          <w:tcPr>
            <w:tcW w:w="4077" w:type="dxa"/>
          </w:tcPr>
          <w:p w14:paraId="5B85E51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AB1F546" w14:textId="5A651D42" w:rsidR="00F43AD5" w:rsidRPr="00A64120" w:rsidRDefault="00A64120" w:rsidP="00B76A41">
            <w:pPr>
              <w:pStyle w:val="Tablerowheading"/>
              <w:rPr>
                <w:b w:val="0"/>
              </w:rPr>
            </w:pPr>
            <w:r w:rsidRPr="00A64120">
              <w:rPr>
                <w:b w:val="0"/>
              </w:rPr>
              <w:t>—</w:t>
            </w:r>
          </w:p>
        </w:tc>
      </w:tr>
    </w:tbl>
    <w:p w14:paraId="2DC26D78" w14:textId="30EF53D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54D13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DE87C03" w14:textId="77777777" w:rsidTr="00405B59">
        <w:trPr>
          <w:cantSplit/>
          <w:tblHeader/>
        </w:trPr>
        <w:tc>
          <w:tcPr>
            <w:tcW w:w="4005" w:type="dxa"/>
            <w:vAlign w:val="center"/>
          </w:tcPr>
          <w:p w14:paraId="16EE6DC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3F58B29" w14:textId="42CAA17C" w:rsidR="002C7AFE" w:rsidRPr="000E6D6C" w:rsidRDefault="000E6D6C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0.02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640B5B9B" w14:textId="77777777" w:rsidTr="00405B59">
        <w:trPr>
          <w:cantSplit/>
        </w:trPr>
        <w:tc>
          <w:tcPr>
            <w:tcW w:w="4005" w:type="dxa"/>
            <w:vAlign w:val="center"/>
          </w:tcPr>
          <w:p w14:paraId="2AEA49F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9238DFF" w14:textId="6334CD1C" w:rsidR="002C7AFE" w:rsidRPr="00EB3D1B" w:rsidRDefault="00341C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FC535F1" w14:textId="77777777" w:rsidTr="00405B59">
        <w:trPr>
          <w:cantSplit/>
        </w:trPr>
        <w:tc>
          <w:tcPr>
            <w:tcW w:w="4005" w:type="dxa"/>
            <w:vAlign w:val="center"/>
          </w:tcPr>
          <w:p w14:paraId="22C63FC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A894913" w14:textId="4E6F4C3F" w:rsidR="002C7AFE" w:rsidRPr="00EB3D1B" w:rsidRDefault="00341C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30BFD43" w14:textId="77777777" w:rsidTr="00405B59">
        <w:trPr>
          <w:cantSplit/>
        </w:trPr>
        <w:tc>
          <w:tcPr>
            <w:tcW w:w="4005" w:type="dxa"/>
          </w:tcPr>
          <w:p w14:paraId="7BB348C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7FCA9D4" w14:textId="304A1B8D" w:rsidR="002C7AFE" w:rsidRPr="00EB3D1B" w:rsidRDefault="000E6D6C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7B1D509" w14:textId="77777777" w:rsidTr="00405B59">
        <w:trPr>
          <w:cantSplit/>
        </w:trPr>
        <w:tc>
          <w:tcPr>
            <w:tcW w:w="4005" w:type="dxa"/>
            <w:vAlign w:val="center"/>
          </w:tcPr>
          <w:p w14:paraId="1DFFC59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84CDC71" w14:textId="2D400F9C" w:rsidR="002C7AFE" w:rsidRPr="00EB3D1B" w:rsidRDefault="004A27F9" w:rsidP="00017C82">
            <w:pPr>
              <w:pStyle w:val="Tablefont"/>
              <w:rPr>
                <w:b/>
              </w:rPr>
            </w:pPr>
            <w:r w:rsidRPr="00A64120">
              <w:rPr>
                <w:b/>
              </w:rPr>
              <w:t>—</w:t>
            </w:r>
          </w:p>
        </w:tc>
      </w:tr>
      <w:tr w:rsidR="00881AC0" w:rsidRPr="004C23F4" w14:paraId="10C64B0B" w14:textId="77777777" w:rsidTr="00405B59">
        <w:trPr>
          <w:cantSplit/>
        </w:trPr>
        <w:tc>
          <w:tcPr>
            <w:tcW w:w="9026" w:type="dxa"/>
            <w:gridSpan w:val="2"/>
            <w:vAlign w:val="center"/>
          </w:tcPr>
          <w:p w14:paraId="79035AFB" w14:textId="77FD386F" w:rsidR="00881AC0" w:rsidRPr="00C349AB" w:rsidRDefault="00881AC0" w:rsidP="00017C82">
            <w:pPr>
              <w:pStyle w:val="Tablefont"/>
              <w:rPr>
                <w:b/>
              </w:rPr>
            </w:pPr>
            <w:r w:rsidRPr="00C349AB">
              <w:rPr>
                <w:b/>
              </w:rPr>
              <w:t>Sampling and analysis:</w:t>
            </w:r>
            <w:r w:rsidRPr="00C349AB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EFB4834BF394ABA886371DED6A6646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E1C63" w:rsidRPr="00C349A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239A23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810DAD2" w14:textId="4402F146" w:rsidR="006639B4" w:rsidRPr="000E6D6C" w:rsidRDefault="000E6D6C" w:rsidP="000C139A">
      <w:pPr>
        <w:rPr>
          <w:rFonts w:cs="Arial"/>
        </w:rPr>
      </w:pPr>
      <w:r>
        <w:rPr>
          <w:rFonts w:cs="Arial"/>
        </w:rPr>
        <w:t>A T</w:t>
      </w:r>
      <w:r w:rsidR="00881AC0">
        <w:rPr>
          <w:rFonts w:cs="Arial"/>
        </w:rPr>
        <w:t>W</w:t>
      </w:r>
      <w:r>
        <w:rPr>
          <w:rFonts w:cs="Arial"/>
        </w:rPr>
        <w:t>A of 0.02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</w:t>
      </w:r>
      <w:r w:rsidR="00465CAF">
        <w:rPr>
          <w:rFonts w:cs="Arial"/>
        </w:rPr>
        <w:t xml:space="preserve">adverse </w:t>
      </w:r>
      <w:r w:rsidR="007B6400">
        <w:rPr>
          <w:rFonts w:cs="Arial"/>
        </w:rPr>
        <w:t xml:space="preserve">thyroid </w:t>
      </w:r>
      <w:r w:rsidR="00465CAF">
        <w:rPr>
          <w:rFonts w:cs="Arial"/>
        </w:rPr>
        <w:t>effects</w:t>
      </w:r>
      <w:r>
        <w:rPr>
          <w:rFonts w:cs="Arial"/>
        </w:rPr>
        <w:t xml:space="preserve"> in exposed workers.</w:t>
      </w:r>
    </w:p>
    <w:p w14:paraId="59A75EA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6A5D94" w14:textId="77777777" w:rsidR="007B6400" w:rsidRDefault="00071E9F" w:rsidP="006639B4">
      <w:r>
        <w:t xml:space="preserve">Ethylene </w:t>
      </w:r>
      <w:proofErr w:type="spellStart"/>
      <w:r>
        <w:t>thiourea</w:t>
      </w:r>
      <w:proofErr w:type="spellEnd"/>
      <w:r>
        <w:t xml:space="preserve"> (ET</w:t>
      </w:r>
      <w:r w:rsidR="00760FE0">
        <w:t>U</w:t>
      </w:r>
      <w:r>
        <w:t xml:space="preserve">) is used as an intermediate for antioxidants and in the manufacture of synthetic resins. </w:t>
      </w:r>
    </w:p>
    <w:p w14:paraId="04E77854" w14:textId="16A0BE06" w:rsidR="006639B4" w:rsidRDefault="0009164B" w:rsidP="006639B4">
      <w:pPr>
        <w:rPr>
          <w:rStyle w:val="checkbox"/>
          <w:rFonts w:ascii="Arial" w:hAnsi="Arial" w:cs="Arial"/>
        </w:rPr>
      </w:pPr>
      <w:r>
        <w:t xml:space="preserve">Adverse </w:t>
      </w:r>
      <w:r w:rsidR="005571F9">
        <w:t xml:space="preserve">effects include </w:t>
      </w:r>
      <w:r w:rsidR="005A4D1F">
        <w:t>r</w:t>
      </w:r>
      <w:r w:rsidR="005A4D1F" w:rsidRPr="005A4D1F">
        <w:t>ed</w:t>
      </w:r>
      <w:r w:rsidR="005A4D1F">
        <w:t xml:space="preserve">uced thyroxine serum levels in the </w:t>
      </w:r>
      <w:r w:rsidR="005571F9">
        <w:t xml:space="preserve">thyroid gland. </w:t>
      </w:r>
      <w:r w:rsidR="00071E9F">
        <w:t>Limited human data are available</w:t>
      </w:r>
      <w:r>
        <w:t xml:space="preserve"> in </w:t>
      </w:r>
      <w:r w:rsidR="004E18B7">
        <w:t xml:space="preserve">the </w:t>
      </w:r>
      <w:r>
        <w:t>primary sources</w:t>
      </w:r>
      <w:r w:rsidR="00071E9F">
        <w:t xml:space="preserve">. </w:t>
      </w:r>
      <w:r w:rsidR="005B4648">
        <w:t xml:space="preserve">Occupational exposure </w:t>
      </w:r>
      <w:r w:rsidR="00071E9F">
        <w:t xml:space="preserve">in workers </w:t>
      </w:r>
      <w:r w:rsidR="005B4648">
        <w:t xml:space="preserve">is </w:t>
      </w:r>
      <w:r w:rsidR="00DB6FC2">
        <w:t xml:space="preserve">reported </w:t>
      </w:r>
      <w:r w:rsidR="005B4648">
        <w:t xml:space="preserve">to produce effects on thyroid hormone levels with </w:t>
      </w:r>
      <w:r w:rsidR="00DB6FC2">
        <w:t>a LOAEL of 0.120 mg/m</w:t>
      </w:r>
      <w:r w:rsidR="00DB6FC2">
        <w:rPr>
          <w:vertAlign w:val="superscript"/>
        </w:rPr>
        <w:t xml:space="preserve">3 </w:t>
      </w:r>
      <w:r w:rsidR="00465CAF">
        <w:t>(HCTON, 1999)</w:t>
      </w:r>
      <w:r w:rsidR="00071E9F">
        <w:t xml:space="preserve">. Some case studies </w:t>
      </w:r>
      <w:r w:rsidR="007B6400">
        <w:t xml:space="preserve">report </w:t>
      </w:r>
      <w:r w:rsidR="00071E9F">
        <w:t>dermal sensitisation in workers. Developmental</w:t>
      </w:r>
      <w:r w:rsidR="00C349AB">
        <w:t xml:space="preserve"> effects </w:t>
      </w:r>
      <w:r w:rsidR="007B6400">
        <w:t xml:space="preserve">are </w:t>
      </w:r>
      <w:r w:rsidR="00C349AB">
        <w:t>identified in rats</w:t>
      </w:r>
      <w:r w:rsidR="00AB364D">
        <w:t xml:space="preserve"> at doses greater than 5</w:t>
      </w:r>
      <w:r w:rsidR="002D549D">
        <w:t> </w:t>
      </w:r>
      <w:r w:rsidR="00AB364D">
        <w:t>mg/kg/d</w:t>
      </w:r>
      <w:r w:rsidR="00DB6FC2">
        <w:t>ay</w:t>
      </w:r>
      <w:r w:rsidR="00C349AB">
        <w:t>. ET</w:t>
      </w:r>
      <w:r w:rsidR="00760FE0">
        <w:t>U</w:t>
      </w:r>
      <w:r w:rsidR="00071E9F">
        <w:t xml:space="preserve"> </w:t>
      </w:r>
      <w:r w:rsidR="000E6D6C">
        <w:t>induced thyroid cancer in rats</w:t>
      </w:r>
      <w:r>
        <w:t>,</w:t>
      </w:r>
      <w:r w:rsidR="000E6D6C">
        <w:t xml:space="preserve"> but</w:t>
      </w:r>
      <w:r w:rsidR="00CF38EB">
        <w:t xml:space="preserve"> these effects are related to characteristics of rodent thyroid gland physiology</w:t>
      </w:r>
      <w:r w:rsidR="000E6D6C">
        <w:t xml:space="preserve"> </w:t>
      </w:r>
      <w:r w:rsidR="00CF38EB">
        <w:t>and are</w:t>
      </w:r>
      <w:r w:rsidR="007B6400">
        <w:t xml:space="preserve"> </w:t>
      </w:r>
      <w:r w:rsidR="000E6D6C">
        <w:t>not considered relevant to humans</w:t>
      </w:r>
      <w:r w:rsidR="00CF38EB" w:rsidRPr="00CF38EB">
        <w:rPr>
          <w:rStyle w:val="checkbox"/>
          <w:rFonts w:ascii="Arial" w:hAnsi="Arial" w:cs="Arial"/>
        </w:rPr>
        <w:t xml:space="preserve"> </w:t>
      </w:r>
      <w:r w:rsidR="00CF38EB">
        <w:rPr>
          <w:rStyle w:val="checkbox"/>
          <w:rFonts w:ascii="Arial" w:hAnsi="Arial" w:cs="Arial"/>
        </w:rPr>
        <w:t>(DFG, 1995; HCOTN, 1999)</w:t>
      </w:r>
      <w:r w:rsidR="000E6D6C">
        <w:t xml:space="preserve">. A </w:t>
      </w:r>
      <w:r w:rsidR="000E6D6C">
        <w:rPr>
          <w:rStyle w:val="checkbox"/>
          <w:rFonts w:ascii="Arial" w:hAnsi="Arial" w:cs="Arial"/>
        </w:rPr>
        <w:t xml:space="preserve">LOAEL of 0.25 mg/kg </w:t>
      </w:r>
      <w:r w:rsidR="005F6E97">
        <w:rPr>
          <w:rStyle w:val="checkbox"/>
          <w:rFonts w:ascii="Arial" w:hAnsi="Arial" w:cs="Arial"/>
        </w:rPr>
        <w:t xml:space="preserve">is </w:t>
      </w:r>
      <w:bookmarkStart w:id="0" w:name="_GoBack"/>
      <w:bookmarkEnd w:id="0"/>
      <w:r w:rsidR="000E6D6C">
        <w:rPr>
          <w:rStyle w:val="checkbox"/>
          <w:rFonts w:ascii="Arial" w:hAnsi="Arial" w:cs="Arial"/>
        </w:rPr>
        <w:t>identified in rats for i</w:t>
      </w:r>
      <w:r w:rsidR="000E6D6C">
        <w:t>ncreased incidence of thyroid hyperplasia</w:t>
      </w:r>
      <w:r w:rsidR="000E6D6C">
        <w:rPr>
          <w:rStyle w:val="checkbox"/>
          <w:rFonts w:ascii="Arial" w:hAnsi="Arial" w:cs="Arial"/>
        </w:rPr>
        <w:t xml:space="preserve"> </w:t>
      </w:r>
      <w:r w:rsidR="002D549D">
        <w:rPr>
          <w:rStyle w:val="checkbox"/>
          <w:rFonts w:ascii="Arial" w:hAnsi="Arial" w:cs="Arial"/>
        </w:rPr>
        <w:t>(</w:t>
      </w:r>
      <w:r w:rsidR="000E6D6C">
        <w:rPr>
          <w:rStyle w:val="checkbox"/>
          <w:rFonts w:ascii="Arial" w:hAnsi="Arial" w:cs="Arial"/>
        </w:rPr>
        <w:t>US</w:t>
      </w:r>
      <w:r w:rsidR="00405B59">
        <w:rPr>
          <w:rStyle w:val="checkbox"/>
          <w:rFonts w:ascii="Arial" w:hAnsi="Arial" w:cs="Arial"/>
        </w:rPr>
        <w:t xml:space="preserve"> </w:t>
      </w:r>
      <w:r w:rsidR="000E6D6C">
        <w:rPr>
          <w:rStyle w:val="checkbox"/>
          <w:rFonts w:ascii="Arial" w:hAnsi="Arial" w:cs="Arial"/>
        </w:rPr>
        <w:t>EPA, 1991).</w:t>
      </w:r>
    </w:p>
    <w:p w14:paraId="7879CCE2" w14:textId="2AD2CC9D" w:rsidR="009F760D" w:rsidRDefault="00CF38EB" w:rsidP="00090167">
      <w:pPr>
        <w:rPr>
          <w:rStyle w:val="checkbox"/>
          <w:rFonts w:ascii="Arial" w:hAnsi="Arial"/>
        </w:rPr>
      </w:pPr>
      <w:r w:rsidRPr="00CF38EB">
        <w:rPr>
          <w:rStyle w:val="checkbox"/>
          <w:rFonts w:ascii="Arial" w:hAnsi="Arial" w:cs="Arial"/>
        </w:rPr>
        <w:t>The HCOTN (1999) assign</w:t>
      </w:r>
      <w:r w:rsidR="00405B59">
        <w:rPr>
          <w:rStyle w:val="checkbox"/>
          <w:rFonts w:ascii="Arial" w:hAnsi="Arial" w:cs="Arial"/>
        </w:rPr>
        <w:t>ed</w:t>
      </w:r>
      <w:r w:rsidRPr="00CF38EB">
        <w:rPr>
          <w:rStyle w:val="checkbox"/>
          <w:rFonts w:ascii="Arial" w:hAnsi="Arial" w:cs="Arial"/>
        </w:rPr>
        <w:t xml:space="preserve"> a TWA of 0.024 mg/m</w:t>
      </w:r>
      <w:r w:rsidRPr="00090167">
        <w:rPr>
          <w:rStyle w:val="checkbox"/>
          <w:rFonts w:ascii="Arial" w:hAnsi="Arial" w:cs="Arial"/>
          <w:vertAlign w:val="superscript"/>
        </w:rPr>
        <w:t>3</w:t>
      </w:r>
      <w:r w:rsidRPr="00CF38EB">
        <w:rPr>
          <w:rStyle w:val="checkbox"/>
          <w:rFonts w:ascii="Arial" w:hAnsi="Arial" w:cs="Arial"/>
        </w:rPr>
        <w:t xml:space="preserve"> </w:t>
      </w:r>
      <w:r w:rsidR="00405B59">
        <w:rPr>
          <w:rStyle w:val="checkbox"/>
          <w:rFonts w:ascii="Arial" w:hAnsi="Arial" w:cs="Arial"/>
        </w:rPr>
        <w:t xml:space="preserve">based on the LOAEL of </w:t>
      </w:r>
      <w:r w:rsidR="00405B59">
        <w:t>0.120 mg/m</w:t>
      </w:r>
      <w:r w:rsidR="00405B59">
        <w:rPr>
          <w:vertAlign w:val="superscript"/>
        </w:rPr>
        <w:t>3</w:t>
      </w:r>
      <w:r w:rsidR="00405B59">
        <w:t xml:space="preserve"> </w:t>
      </w:r>
      <w:r w:rsidRPr="00CF38EB">
        <w:rPr>
          <w:rStyle w:val="checkbox"/>
          <w:rFonts w:ascii="Arial" w:hAnsi="Arial" w:cs="Arial"/>
        </w:rPr>
        <w:t>for reductions in serum thyroxine levels</w:t>
      </w:r>
      <w:r w:rsidR="0009164B">
        <w:rPr>
          <w:rStyle w:val="checkbox"/>
          <w:rFonts w:ascii="Arial" w:hAnsi="Arial" w:cs="Arial"/>
        </w:rPr>
        <w:t xml:space="preserve"> and an uncertainty factor of 5</w:t>
      </w:r>
      <w:r w:rsidRPr="00CF38EB">
        <w:rPr>
          <w:rStyle w:val="checkbox"/>
          <w:rFonts w:ascii="Arial" w:hAnsi="Arial" w:cs="Arial"/>
        </w:rPr>
        <w:t xml:space="preserve">. This TWA is supported </w:t>
      </w:r>
      <w:r>
        <w:rPr>
          <w:rStyle w:val="checkbox"/>
          <w:rFonts w:ascii="Arial" w:hAnsi="Arial" w:cs="Arial"/>
        </w:rPr>
        <w:t>by evidence presented in animal</w:t>
      </w:r>
      <w:r w:rsidRPr="00CF38EB">
        <w:rPr>
          <w:rStyle w:val="checkbox"/>
          <w:rFonts w:ascii="Arial" w:hAnsi="Arial" w:cs="Arial"/>
        </w:rPr>
        <w:t xml:space="preserve"> studies. Therefore, a TWA of 0.02 mg/m</w:t>
      </w:r>
      <w:r w:rsidRPr="00405B59">
        <w:rPr>
          <w:rStyle w:val="checkbox"/>
          <w:rFonts w:ascii="Arial" w:hAnsi="Arial" w:cs="Arial"/>
          <w:vertAlign w:val="superscript"/>
        </w:rPr>
        <w:t>3</w:t>
      </w:r>
      <w:r w:rsidRPr="00CF38EB">
        <w:rPr>
          <w:rStyle w:val="checkbox"/>
          <w:rFonts w:ascii="Arial" w:hAnsi="Arial" w:cs="Arial"/>
        </w:rPr>
        <w:t xml:space="preserve"> is recommended</w:t>
      </w:r>
      <w:r w:rsidR="00405B59">
        <w:rPr>
          <w:rStyle w:val="checkbox"/>
          <w:rFonts w:ascii="Arial" w:hAnsi="Arial" w:cs="Arial"/>
        </w:rPr>
        <w:t xml:space="preserve"> to protect for listed effects in exposed workers</w:t>
      </w:r>
      <w:r w:rsidRPr="00CF38EB">
        <w:rPr>
          <w:rStyle w:val="checkbox"/>
          <w:rFonts w:ascii="Arial" w:hAnsi="Arial" w:cs="Arial"/>
        </w:rPr>
        <w:t>.</w:t>
      </w:r>
      <w:r>
        <w:rPr>
          <w:rStyle w:val="checkbox"/>
          <w:rFonts w:ascii="Arial" w:hAnsi="Arial" w:cs="Arial"/>
        </w:rPr>
        <w:t xml:space="preserve"> </w:t>
      </w:r>
    </w:p>
    <w:p w14:paraId="3EFFD674" w14:textId="68FE2261" w:rsidR="004529F0" w:rsidRPr="004C23F4" w:rsidRDefault="004529F0" w:rsidP="004529F0">
      <w:pPr>
        <w:pStyle w:val="Heading2"/>
      </w:pPr>
      <w:r>
        <w:t>Recommendation for notations</w:t>
      </w:r>
    </w:p>
    <w:p w14:paraId="7A5E330F" w14:textId="3740CA04" w:rsidR="004A27F9" w:rsidRPr="00A70823" w:rsidRDefault="004A27F9" w:rsidP="004A27F9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</w:t>
      </w:r>
      <w:r w:rsidR="007E1C63">
        <w:rPr>
          <w:rFonts w:cs="Arial"/>
        </w:rPr>
        <w:t>fication and Labelling of</w:t>
      </w:r>
      <w:r w:rsidRPr="00A70823">
        <w:rPr>
          <w:rFonts w:cs="Arial"/>
        </w:rPr>
        <w:t xml:space="preserve"> Chemicals (GHS). </w:t>
      </w:r>
    </w:p>
    <w:p w14:paraId="0AD9B3FF" w14:textId="47DF281E" w:rsidR="004A27F9" w:rsidRPr="00A70823" w:rsidRDefault="004A27F9" w:rsidP="004A27F9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7E1C63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5CDB06B1" w14:textId="30812E17" w:rsidR="004A27F9" w:rsidRPr="004C23F4" w:rsidRDefault="000E6D6C" w:rsidP="004A27F9">
      <w:pPr>
        <w:rPr>
          <w:rFonts w:cs="Arial"/>
        </w:rPr>
      </w:pPr>
      <w:r>
        <w:rPr>
          <w:rFonts w:cs="Arial"/>
        </w:rPr>
        <w:lastRenderedPageBreak/>
        <w:t>A</w:t>
      </w:r>
      <w:r w:rsidR="004A27F9" w:rsidRPr="00A70823">
        <w:rPr>
          <w:rFonts w:cs="Arial"/>
        </w:rPr>
        <w:t xml:space="preserve"> skin notation</w:t>
      </w:r>
      <w:r>
        <w:rPr>
          <w:rFonts w:cs="Arial"/>
        </w:rPr>
        <w:t xml:space="preserve"> is recommended based on case study evidence of systemic effects following dermal</w:t>
      </w:r>
      <w:r w:rsidR="007B6400">
        <w:rPr>
          <w:rFonts w:cs="Arial"/>
        </w:rPr>
        <w:t xml:space="preserve"> exposure</w:t>
      </w:r>
      <w:r>
        <w:rPr>
          <w:rFonts w:cs="Arial"/>
        </w:rPr>
        <w:t xml:space="preserve"> in humans</w:t>
      </w:r>
      <w:r w:rsidR="004A27F9" w:rsidRPr="00A70823">
        <w:rPr>
          <w:rFonts w:cs="Arial"/>
        </w:rPr>
        <w:t>.</w:t>
      </w:r>
    </w:p>
    <w:p w14:paraId="6E191293" w14:textId="66C54B69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2EA7F8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92BF84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EF97E8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6E15EA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ACC27A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786BCC" w14:textId="5D4EBC2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A27F9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4A27F9">
                  <w:t>NA</w:t>
                </w:r>
                <w:proofErr w:type="spellEnd"/>
              </w:sdtContent>
            </w:sdt>
          </w:p>
        </w:tc>
      </w:tr>
      <w:tr w:rsidR="00C978F0" w:rsidRPr="00DA352E" w14:paraId="7A50FA2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1A3ADD" w14:textId="63FC3ACD" w:rsidR="00C978F0" w:rsidRPr="00DA352E" w:rsidRDefault="004A27F9" w:rsidP="003365A5">
            <w:pPr>
              <w:pStyle w:val="Tabletextprimarysource"/>
            </w:pPr>
            <w:r>
              <w:t>No report</w:t>
            </w:r>
            <w:r w:rsidR="007E1C63">
              <w:t>.</w:t>
            </w:r>
          </w:p>
        </w:tc>
      </w:tr>
      <w:tr w:rsidR="00C978F0" w:rsidRPr="00DA352E" w14:paraId="2139055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F99FAD9" w14:textId="5D3C607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A27F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4A27F9">
                  <w:t>NA</w:t>
                </w:r>
                <w:proofErr w:type="spellEnd"/>
              </w:sdtContent>
            </w:sdt>
          </w:p>
        </w:tc>
      </w:tr>
      <w:tr w:rsidR="00C978F0" w:rsidRPr="00DA352E" w14:paraId="5603AB1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8F92E9" w14:textId="562F8079" w:rsidR="00C978F0" w:rsidRPr="00DA352E" w:rsidRDefault="004A27F9" w:rsidP="003365A5">
            <w:pPr>
              <w:pStyle w:val="Tabletextprimarysource"/>
            </w:pPr>
            <w:r>
              <w:t>No report</w:t>
            </w:r>
            <w:r w:rsidR="007E1C63">
              <w:t>.</w:t>
            </w:r>
          </w:p>
        </w:tc>
      </w:tr>
      <w:tr w:rsidR="00C978F0" w:rsidRPr="00DA352E" w14:paraId="56F3FBD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C879C2" w14:textId="35F9033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A27F9">
                  <w:t>1995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A27F9">
                  <w:t>Not assigned</w:t>
                </w:r>
              </w:sdtContent>
            </w:sdt>
          </w:p>
        </w:tc>
      </w:tr>
      <w:tr w:rsidR="00C978F0" w:rsidRPr="00DA352E" w14:paraId="5676AFC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200F91" w14:textId="7451EAED" w:rsidR="00C978F0" w:rsidRDefault="00CE1BC4" w:rsidP="00341C0C">
            <w:pPr>
              <w:pStyle w:val="Tabletextprimarysource"/>
            </w:pPr>
            <w:r>
              <w:t xml:space="preserve">No MAK assigned </w:t>
            </w:r>
            <w:r w:rsidR="007B6400">
              <w:t xml:space="preserve">due </w:t>
            </w:r>
            <w:r>
              <w:t>to potential carcinogenicity</w:t>
            </w:r>
            <w:r w:rsidR="00341C0C">
              <w:t>.</w:t>
            </w:r>
          </w:p>
          <w:p w14:paraId="66559D94" w14:textId="77777777" w:rsidR="00CE1BC4" w:rsidRDefault="00CE1BC4" w:rsidP="00341C0C">
            <w:pPr>
              <w:pStyle w:val="Tabletextprimarysource"/>
            </w:pPr>
            <w:r>
              <w:t>Summary of data:</w:t>
            </w:r>
          </w:p>
          <w:p w14:paraId="3E3AB932" w14:textId="77777777" w:rsidR="00CE1BC4" w:rsidRDefault="00CE1BC4">
            <w:pPr>
              <w:pStyle w:val="Tabletextprimarysource"/>
            </w:pPr>
            <w:r>
              <w:t>Human data:</w:t>
            </w:r>
          </w:p>
          <w:p w14:paraId="5C3385A1" w14:textId="05A70E28" w:rsidR="00CE1BC4" w:rsidRDefault="00071E9F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</w:t>
            </w:r>
            <w:r w:rsidR="00CE1BC4">
              <w:t xml:space="preserve"> study in workers in 2 f</w:t>
            </w:r>
            <w:r w:rsidR="00097F6C">
              <w:t xml:space="preserve">actories; </w:t>
            </w:r>
            <w:r w:rsidR="007E1C63">
              <w:t xml:space="preserve">with </w:t>
            </w:r>
            <w:r w:rsidR="00097F6C">
              <w:t>employment 5 to 20 yr:</w:t>
            </w:r>
            <w:r w:rsidR="00CE1BC4">
              <w:t xml:space="preserve"> </w:t>
            </w:r>
          </w:p>
          <w:p w14:paraId="45AB1771" w14:textId="5486E224" w:rsidR="00CE1BC4" w:rsidRDefault="00CE1BC4" w:rsidP="007B6400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</w:t>
            </w:r>
            <w:r w:rsidRPr="00881AC0">
              <w:rPr>
                <w:vertAlign w:val="superscript"/>
              </w:rPr>
              <w:t>st</w:t>
            </w:r>
            <w:r w:rsidR="00341C0C">
              <w:t xml:space="preserve"> </w:t>
            </w:r>
            <w:r>
              <w:t xml:space="preserve">factory 330 </w:t>
            </w:r>
            <w:r>
              <w:rPr>
                <w:rFonts w:cs="Arial"/>
              </w:rPr>
              <w:t>µ</w:t>
            </w:r>
            <w:r>
              <w:t>g/m</w:t>
            </w:r>
            <w:r>
              <w:rPr>
                <w:vertAlign w:val="superscript"/>
              </w:rPr>
              <w:t>3</w:t>
            </w:r>
            <w:r w:rsidR="00CF38EB">
              <w:t xml:space="preserve"> (personal air samplers in 1976; no further details)</w:t>
            </w:r>
            <w:r>
              <w:t>; lower T</w:t>
            </w:r>
            <w:r>
              <w:rPr>
                <w:vertAlign w:val="subscript"/>
              </w:rPr>
              <w:t>4</w:t>
            </w:r>
            <w:r w:rsidR="00061EE8">
              <w:t xml:space="preserve"> </w:t>
            </w:r>
            <w:r w:rsidR="005571F9">
              <w:t xml:space="preserve">(thyroxine) </w:t>
            </w:r>
            <w:r w:rsidR="00061EE8">
              <w:t>values than</w:t>
            </w:r>
            <w:r>
              <w:t xml:space="preserve"> controls</w:t>
            </w:r>
          </w:p>
          <w:p w14:paraId="0864CC55" w14:textId="344CAC0E" w:rsidR="00CE1BC4" w:rsidRDefault="00CE1BC4" w:rsidP="007B6400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2</w:t>
            </w:r>
            <w:r w:rsidRPr="00CE1BC4">
              <w:rPr>
                <w:vertAlign w:val="superscript"/>
              </w:rPr>
              <w:t>nd</w:t>
            </w:r>
            <w:r>
              <w:t xml:space="preserve"> factory 120</w:t>
            </w:r>
            <w:r w:rsidR="00341C0C">
              <w:t>–</w:t>
            </w:r>
            <w:r>
              <w:t xml:space="preserve">160 </w:t>
            </w:r>
            <w:r>
              <w:rPr>
                <w:rFonts w:cs="Arial"/>
              </w:rPr>
              <w:t>µ</w:t>
            </w:r>
            <w:r>
              <w:t>g/m</w:t>
            </w:r>
            <w:r>
              <w:rPr>
                <w:vertAlign w:val="superscript"/>
              </w:rPr>
              <w:t>3</w:t>
            </w:r>
            <w:r w:rsidR="00CF38EB">
              <w:t xml:space="preserve"> (personal air samplers in 1976; no further details)</w:t>
            </w:r>
            <w:r>
              <w:t xml:space="preserve">; </w:t>
            </w:r>
            <w:r w:rsidR="00097F6C">
              <w:t>significantly lower T</w:t>
            </w:r>
            <w:r w:rsidR="00097F6C">
              <w:rPr>
                <w:vertAlign w:val="subscript"/>
              </w:rPr>
              <w:t>4</w:t>
            </w:r>
            <w:r w:rsidR="00097F6C">
              <w:t xml:space="preserve"> than controls</w:t>
            </w:r>
          </w:p>
          <w:p w14:paraId="43568100" w14:textId="78A51EC5" w:rsidR="00097F6C" w:rsidRDefault="00097F6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studies of </w:t>
            </w:r>
            <w:r w:rsidR="00DE04CC">
              <w:t xml:space="preserve">dermal </w:t>
            </w:r>
            <w:r>
              <w:t>sensitisation</w:t>
            </w:r>
            <w:r w:rsidR="00DE04CC">
              <w:t xml:space="preserve"> reported</w:t>
            </w:r>
            <w:r w:rsidR="005571F9">
              <w:t>.</w:t>
            </w:r>
          </w:p>
          <w:p w14:paraId="05702DD5" w14:textId="77777777" w:rsidR="00DE04CC" w:rsidRDefault="00DE04CC" w:rsidP="00341C0C">
            <w:pPr>
              <w:pStyle w:val="Tabletextprimarysource"/>
            </w:pPr>
            <w:r>
              <w:t>Animal data:</w:t>
            </w:r>
          </w:p>
          <w:p w14:paraId="26D91773" w14:textId="5ED08E07" w:rsidR="00DE04CC" w:rsidRDefault="00DE04C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061EE8">
              <w:t>:</w:t>
            </w:r>
            <w:r>
              <w:rPr>
                <w:vertAlign w:val="subscript"/>
              </w:rPr>
              <w:t xml:space="preserve"> </w:t>
            </w:r>
            <w:r>
              <w:t xml:space="preserve">545 mg/kg </w:t>
            </w:r>
            <w:r w:rsidR="00061EE8">
              <w:t>(</w:t>
            </w:r>
            <w:r>
              <w:t>rats</w:t>
            </w:r>
            <w:r w:rsidR="00061EE8">
              <w:t>, oral)</w:t>
            </w:r>
          </w:p>
          <w:p w14:paraId="53905F67" w14:textId="48835E65" w:rsidR="00DE04CC" w:rsidRDefault="00DE04C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</w:t>
            </w:r>
            <w:r w:rsidR="007B6400">
              <w:t>C</w:t>
            </w:r>
            <w:r w:rsidR="002311E6">
              <w:t>:</w:t>
            </w:r>
            <w:r>
              <w:t xml:space="preserve"> 11 mg/m</w:t>
            </w:r>
            <w:r>
              <w:rPr>
                <w:vertAlign w:val="superscript"/>
              </w:rPr>
              <w:t>3</w:t>
            </w:r>
            <w:r w:rsidR="005571F9">
              <w:t xml:space="preserve"> in </w:t>
            </w:r>
            <w:r>
              <w:t>28 d inhalation study in rats; thyroid effects</w:t>
            </w:r>
          </w:p>
          <w:p w14:paraId="2D77DE03" w14:textId="72C91D82" w:rsidR="00DE04CC" w:rsidRDefault="00DE04C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</w:t>
            </w:r>
            <w:r w:rsidR="002311E6">
              <w:t>:</w:t>
            </w:r>
            <w:r>
              <w:t xml:space="preserve"> 0.4 mg/kg for histopathological effects; NOEL 0.2 </w:t>
            </w:r>
            <w:r w:rsidR="00F45663">
              <w:t xml:space="preserve">mg/kg; </w:t>
            </w:r>
            <w:r>
              <w:t>2</w:t>
            </w:r>
            <w:r w:rsidR="0009164B">
              <w:t>-</w:t>
            </w:r>
            <w:r>
              <w:t xml:space="preserve">yr </w:t>
            </w:r>
            <w:r w:rsidR="00F45663">
              <w:t>feeding study</w:t>
            </w:r>
          </w:p>
          <w:p w14:paraId="45955D79" w14:textId="287DF5BF" w:rsidR="00F45663" w:rsidRDefault="0009164B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2-</w:t>
            </w:r>
            <w:r w:rsidR="00F45663">
              <w:t xml:space="preserve">yr feeding study; 5 mg/kg increased incidence of adenomas and carcinomas in thyroid; probably the result of the </w:t>
            </w:r>
            <w:proofErr w:type="spellStart"/>
            <w:r w:rsidR="00F45663">
              <w:t>thyrostatic</w:t>
            </w:r>
            <w:proofErr w:type="spellEnd"/>
            <w:r w:rsidR="00F45663">
              <w:t xml:space="preserve"> effects</w:t>
            </w:r>
          </w:p>
          <w:p w14:paraId="78B8C396" w14:textId="69612EC6" w:rsidR="00F45663" w:rsidRDefault="002311E6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F45663">
              <w:t xml:space="preserve">ose-dependent </w:t>
            </w:r>
            <w:proofErr w:type="spellStart"/>
            <w:r w:rsidR="00F45663">
              <w:t>fetotoxic</w:t>
            </w:r>
            <w:proofErr w:type="spellEnd"/>
            <w:r w:rsidR="00F45663">
              <w:t xml:space="preserve"> and strongly teratogenic effects &gt;5 mg/kg</w:t>
            </w:r>
            <w:r w:rsidR="00AB364D">
              <w:t>/d</w:t>
            </w:r>
            <w:r>
              <w:t xml:space="preserve"> (rats)</w:t>
            </w:r>
            <w:r w:rsidR="00341C0C">
              <w:t>.</w:t>
            </w:r>
            <w:r w:rsidR="00F45663">
              <w:t xml:space="preserve"> </w:t>
            </w:r>
          </w:p>
          <w:p w14:paraId="61E6026E" w14:textId="77777777" w:rsidR="002311E6" w:rsidRDefault="002311E6" w:rsidP="00341C0C">
            <w:pPr>
              <w:pStyle w:val="Tabletextprimarysource"/>
            </w:pPr>
          </w:p>
          <w:p w14:paraId="2349AB95" w14:textId="77777777" w:rsidR="00F45663" w:rsidRDefault="00F45663" w:rsidP="00341C0C">
            <w:pPr>
              <w:pStyle w:val="Tabletextprimarysource"/>
            </w:pPr>
            <w:r>
              <w:t xml:space="preserve">Reported weak genotoxic potential based on evidence </w:t>
            </w:r>
            <w:r w:rsidRPr="00F45663">
              <w:rPr>
                <w:i/>
              </w:rPr>
              <w:t xml:space="preserve">in vitro </w:t>
            </w:r>
            <w:r>
              <w:t xml:space="preserve">and </w:t>
            </w:r>
            <w:r w:rsidRPr="00F45663">
              <w:rPr>
                <w:i/>
              </w:rPr>
              <w:t>in vivo</w:t>
            </w:r>
            <w:r w:rsidR="00341C0C">
              <w:t>.</w:t>
            </w:r>
          </w:p>
          <w:p w14:paraId="69114450" w14:textId="7330696F" w:rsidR="007B6400" w:rsidRPr="00341C0C" w:rsidRDefault="007B6400" w:rsidP="00341C0C">
            <w:pPr>
              <w:pStyle w:val="Tabletextprimarysource"/>
            </w:pPr>
          </w:p>
        </w:tc>
      </w:tr>
      <w:tr w:rsidR="00C978F0" w:rsidRPr="00DA352E" w14:paraId="5220A97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41D1F7" w14:textId="252E382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A27F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A27F9">
                  <w:t>NA</w:t>
                </w:r>
                <w:proofErr w:type="spellEnd"/>
              </w:sdtContent>
            </w:sdt>
          </w:p>
        </w:tc>
      </w:tr>
      <w:tr w:rsidR="00C978F0" w:rsidRPr="00DA352E" w14:paraId="1E7C8FD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118DDF" w14:textId="16796704" w:rsidR="00C978F0" w:rsidRPr="00DA352E" w:rsidRDefault="004A27F9" w:rsidP="003365A5">
            <w:pPr>
              <w:pStyle w:val="Tabletextprimarysource"/>
            </w:pPr>
            <w:r>
              <w:t>No report</w:t>
            </w:r>
            <w:r w:rsidR="00061EE8">
              <w:t>.</w:t>
            </w:r>
          </w:p>
        </w:tc>
      </w:tr>
      <w:tr w:rsidR="00DA352E" w:rsidRPr="00DA352E" w14:paraId="382694C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A6C6D5" w14:textId="74EFDD1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A27F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A27F9">
                  <w:t>NA</w:t>
                </w:r>
                <w:proofErr w:type="spellEnd"/>
              </w:sdtContent>
            </w:sdt>
          </w:p>
        </w:tc>
      </w:tr>
      <w:tr w:rsidR="00DA352E" w:rsidRPr="00DA352E" w14:paraId="69A3AC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273186" w14:textId="164CFC68" w:rsidR="00DA352E" w:rsidRPr="00DA352E" w:rsidRDefault="004A27F9" w:rsidP="003365A5">
            <w:pPr>
              <w:pStyle w:val="Tabletextprimarysource"/>
            </w:pPr>
            <w:r>
              <w:t>No report</w:t>
            </w:r>
            <w:r w:rsidR="00061EE8">
              <w:t>.</w:t>
            </w:r>
          </w:p>
        </w:tc>
      </w:tr>
      <w:tr w:rsidR="00DA352E" w:rsidRPr="00DA352E" w14:paraId="49F2979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13495F" w14:textId="6749F51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A27F9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A4D1F">
                  <w:t>TWA:</w:t>
                </w:r>
                <w:r w:rsidR="004A27F9">
                  <w:t xml:space="preserve"> 0.024 mg/m</w:t>
                </w:r>
                <w:r w:rsidR="004A27F9" w:rsidRPr="004A27F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2674A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15DCEE" w14:textId="37C2A09D" w:rsidR="005A4D1F" w:rsidRDefault="005A4D1F" w:rsidP="003365A5">
            <w:pPr>
              <w:pStyle w:val="Tabletextprimarysource"/>
            </w:pPr>
            <w:r>
              <w:t>TWA is considered protective of thyroxine level</w:t>
            </w:r>
            <w:r w:rsidRPr="005A4D1F">
              <w:t xml:space="preserve"> </w:t>
            </w:r>
            <w:r>
              <w:t xml:space="preserve">reduction </w:t>
            </w:r>
            <w:r w:rsidRPr="005A4D1F">
              <w:t xml:space="preserve">in </w:t>
            </w:r>
            <w:r>
              <w:t xml:space="preserve">serum in workers. </w:t>
            </w:r>
          </w:p>
          <w:p w14:paraId="6DE5C617" w14:textId="75AD0140" w:rsidR="00DA352E" w:rsidRDefault="00F45663" w:rsidP="003365A5">
            <w:pPr>
              <w:pStyle w:val="Tabletextprimarysource"/>
            </w:pPr>
            <w:r>
              <w:t>Summary of additional data:</w:t>
            </w:r>
          </w:p>
          <w:p w14:paraId="63EA4F7A" w14:textId="5EA9C419" w:rsidR="007B6400" w:rsidRDefault="00F45663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Induces thyroid cancer in rats</w:t>
            </w:r>
            <w:r w:rsidR="00854D13">
              <w:t>:</w:t>
            </w:r>
          </w:p>
          <w:p w14:paraId="05B6332E" w14:textId="144A1319" w:rsidR="007B6400" w:rsidRDefault="00F45663" w:rsidP="007B6400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dose-</w:t>
            </w:r>
            <w:r w:rsidR="002D1F1C">
              <w:t>dependent</w:t>
            </w:r>
            <w:r w:rsidR="007B6400">
              <w:t xml:space="preserve"> response</w:t>
            </w:r>
          </w:p>
          <w:p w14:paraId="4C2E1C4D" w14:textId="7ECDA608" w:rsidR="00F45663" w:rsidRDefault="00071E9F" w:rsidP="007B6400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carcinogenic effects appear to be related to characteristics of rodent thyroid gland physiology</w:t>
            </w:r>
            <w:r w:rsidR="007B6400">
              <w:t xml:space="preserve"> and</w:t>
            </w:r>
            <w:r>
              <w:t xml:space="preserve"> </w:t>
            </w:r>
            <w:r w:rsidR="002D1F1C">
              <w:t>not relevant to humans</w:t>
            </w:r>
          </w:p>
          <w:p w14:paraId="772362C6" w14:textId="77777777" w:rsidR="002D1F1C" w:rsidRPr="002D1F1C" w:rsidRDefault="002D1F1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Considers 120 </w:t>
            </w:r>
            <w:r>
              <w:rPr>
                <w:rFonts w:cs="Arial"/>
              </w:rPr>
              <w:t>µg/m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as LOAEL in humans; same study as DFG (1995)</w:t>
            </w:r>
          </w:p>
          <w:p w14:paraId="7AAEE3D5" w14:textId="7CEC42B1" w:rsidR="002D1F1C" w:rsidRPr="00DA352E" w:rsidRDefault="002D1F1C" w:rsidP="007B640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Applies an inter-individual factor of 5 to the LOAEL to arrive at TWA of 0.024 mg/m</w:t>
            </w:r>
            <w:r>
              <w:rPr>
                <w:vertAlign w:val="superscript"/>
              </w:rPr>
              <w:t>3</w:t>
            </w:r>
            <w:r w:rsidR="00341C0C">
              <w:t>.</w:t>
            </w:r>
          </w:p>
        </w:tc>
      </w:tr>
    </w:tbl>
    <w:p w14:paraId="6F8EEA4B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17D66973" w14:textId="77777777" w:rsidTr="00071E9F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58BF289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885380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9C3DC4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19E596C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E851E9A" w14:textId="77777777" w:rsidTr="00071E9F">
        <w:trPr>
          <w:cantSplit/>
        </w:trPr>
        <w:tc>
          <w:tcPr>
            <w:tcW w:w="1496" w:type="dxa"/>
          </w:tcPr>
          <w:p w14:paraId="763DD244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3CB86A1F" w14:textId="5930A02D" w:rsidR="004966BF" w:rsidRPr="00CE617F" w:rsidRDefault="00E74A4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D1F1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9CC0500" w14:textId="4D5811AD" w:rsidR="004966BF" w:rsidRPr="004C23F4" w:rsidRDefault="002D1F1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46" w:type="dxa"/>
          </w:tcPr>
          <w:p w14:paraId="72E88D64" w14:textId="136C046D" w:rsidR="004966BF" w:rsidRPr="004C23F4" w:rsidRDefault="002D1F1C" w:rsidP="007B640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LOAEL 0.25 mg/kg in rats; </w:t>
            </w:r>
            <w:r w:rsidR="0009164B">
              <w:rPr>
                <w:rStyle w:val="checkbox"/>
                <w:rFonts w:ascii="Arial" w:hAnsi="Arial" w:cs="Arial"/>
              </w:rPr>
              <w:t>2-</w:t>
            </w:r>
            <w:r w:rsidRPr="00881AC0">
              <w:t>yr</w:t>
            </w:r>
            <w:r>
              <w:rPr>
                <w:rStyle w:val="checkbox"/>
                <w:rFonts w:ascii="Arial" w:hAnsi="Arial" w:cs="Arial"/>
              </w:rPr>
              <w:t xml:space="preserve"> feeding study; </w:t>
            </w:r>
            <w:r w:rsidR="007B6400">
              <w:t>i</w:t>
            </w:r>
            <w:r>
              <w:t>ncreased incidence of thyroid hyperplasia</w:t>
            </w:r>
            <w:r w:rsidR="00341C0C">
              <w:t>.</w:t>
            </w:r>
          </w:p>
        </w:tc>
      </w:tr>
    </w:tbl>
    <w:bookmarkEnd w:id="1"/>
    <w:p w14:paraId="267473D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C97D05B" w14:textId="77777777" w:rsidTr="00071E9F">
        <w:trPr>
          <w:trHeight w:val="454"/>
          <w:tblHeader/>
        </w:trPr>
        <w:tc>
          <w:tcPr>
            <w:tcW w:w="6597" w:type="dxa"/>
            <w:vAlign w:val="center"/>
          </w:tcPr>
          <w:p w14:paraId="5C8CDEC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tc>
          <w:tcPr>
            <w:tcW w:w="2429" w:type="dxa"/>
            <w:vAlign w:val="center"/>
          </w:tcPr>
          <w:p w14:paraId="234BC380" w14:textId="37D83E28" w:rsidR="002E0D61" w:rsidRDefault="00E74A4E" w:rsidP="00C3091E">
            <w:pPr>
              <w:pStyle w:val="Tablefont"/>
              <w:keepNext/>
              <w:keepLines/>
              <w:spacing w:before="40" w:after="40"/>
            </w:pPr>
            <w:sdt>
              <w:sdtPr>
                <w:id w:val="319705052"/>
                <w:placeholder>
                  <w:docPart w:val="0168237C60E6479CAFA3D9A1A8409B78"/>
                </w:placeholder>
                <w:comboBox>
                  <w:listItem w:value="Choose an item."/>
                  <w:listItem w:displayText="Yes" w:value="Yes"/>
                  <w:listItem w:displayText="No" w:value="No"/>
                  <w:listItem w:displayText="Insufficient data" w:value="Insufficient data"/>
                </w:comboBox>
              </w:sdtPr>
              <w:sdtEndPr/>
              <w:sdtContent>
                <w:r w:rsidR="0009164B">
                  <w:t>Insufficient data</w:t>
                </w:r>
              </w:sdtContent>
            </w:sdt>
          </w:p>
        </w:tc>
      </w:tr>
      <w:tr w:rsidR="008A36CF" w14:paraId="70B6E7BE" w14:textId="77777777" w:rsidTr="00071E9F">
        <w:trPr>
          <w:trHeight w:val="454"/>
        </w:trPr>
        <w:tc>
          <w:tcPr>
            <w:tcW w:w="6597" w:type="dxa"/>
            <w:vAlign w:val="center"/>
          </w:tcPr>
          <w:p w14:paraId="5720F82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6DC690D" w14:textId="713AFD43" w:rsidR="008A36CF" w:rsidRDefault="00071E9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01E48B9" w14:textId="77777777" w:rsidTr="00071E9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33E563ED" w14:textId="1AB3B405" w:rsidR="008A36CF" w:rsidRPr="006901A2" w:rsidRDefault="00071E9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0237575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DF6D65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B6486A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18AF71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B37166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DFAC049" w14:textId="77777777" w:rsidTr="00812887">
        <w:trPr>
          <w:cantSplit/>
        </w:trPr>
        <w:tc>
          <w:tcPr>
            <w:tcW w:w="3227" w:type="dxa"/>
          </w:tcPr>
          <w:p w14:paraId="6A8F795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D2E8D98" w14:textId="651D75D8" w:rsidR="00687890" w:rsidRPr="00DD2F9B" w:rsidRDefault="004A27F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6407024" w14:textId="77777777" w:rsidTr="00812887">
        <w:trPr>
          <w:cantSplit/>
        </w:trPr>
        <w:tc>
          <w:tcPr>
            <w:tcW w:w="3227" w:type="dxa"/>
          </w:tcPr>
          <w:p w14:paraId="37AF6F9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0598B43" w14:textId="48709F6A" w:rsidR="007925F0" w:rsidRPr="00DD2F9B" w:rsidRDefault="004A27F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4674E94" w14:textId="77777777" w:rsidTr="00812887">
        <w:trPr>
          <w:cantSplit/>
        </w:trPr>
        <w:tc>
          <w:tcPr>
            <w:tcW w:w="3227" w:type="dxa"/>
          </w:tcPr>
          <w:p w14:paraId="511AF70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282F114" w14:textId="023CAE4A" w:rsidR="00AF483F" w:rsidRPr="00DD2F9B" w:rsidRDefault="004A27F9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549DF275" w14:textId="77777777" w:rsidTr="00812887">
        <w:trPr>
          <w:cantSplit/>
        </w:trPr>
        <w:tc>
          <w:tcPr>
            <w:tcW w:w="3227" w:type="dxa"/>
          </w:tcPr>
          <w:p w14:paraId="4A3E541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42CC567" w14:textId="6E7057F5" w:rsidR="00687890" w:rsidRPr="00DD2F9B" w:rsidRDefault="004A27F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5754061" w14:textId="77777777" w:rsidTr="00812887">
        <w:trPr>
          <w:cantSplit/>
        </w:trPr>
        <w:tc>
          <w:tcPr>
            <w:tcW w:w="3227" w:type="dxa"/>
          </w:tcPr>
          <w:p w14:paraId="4A6B5DE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3FD3F62" w14:textId="1FD1AE41" w:rsidR="00E41A26" w:rsidRPr="00DD2F9B" w:rsidRDefault="004A27F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8112A52" w14:textId="77777777" w:rsidTr="00812887">
        <w:trPr>
          <w:cantSplit/>
        </w:trPr>
        <w:tc>
          <w:tcPr>
            <w:tcW w:w="3227" w:type="dxa"/>
          </w:tcPr>
          <w:p w14:paraId="2E33C8C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3A9E70A" w14:textId="4F6F2D79" w:rsidR="002E0D61" w:rsidRPr="00DD2F9B" w:rsidRDefault="004A27F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8B6A312" w14:textId="77777777" w:rsidTr="00812887">
        <w:trPr>
          <w:cantSplit/>
        </w:trPr>
        <w:tc>
          <w:tcPr>
            <w:tcW w:w="3227" w:type="dxa"/>
          </w:tcPr>
          <w:p w14:paraId="459174C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839491C" w14:textId="42815B9F" w:rsidR="002E0D61" w:rsidRPr="00DD2F9B" w:rsidRDefault="00F53AAB" w:rsidP="00DD2F9B">
            <w:pPr>
              <w:pStyle w:val="Tablefont"/>
            </w:pPr>
            <w:r w:rsidRPr="00F53AAB">
              <w:t>Carcinogenicity – 3B</w:t>
            </w:r>
          </w:p>
        </w:tc>
      </w:tr>
      <w:tr w:rsidR="002E0D61" w:rsidRPr="004C23F4" w14:paraId="2758E987" w14:textId="77777777" w:rsidTr="00812887">
        <w:trPr>
          <w:cantSplit/>
        </w:trPr>
        <w:tc>
          <w:tcPr>
            <w:tcW w:w="3227" w:type="dxa"/>
          </w:tcPr>
          <w:p w14:paraId="219AB29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6C24EE1" w14:textId="3EB8DD73" w:rsidR="002E0D61" w:rsidRPr="00DD2F9B" w:rsidRDefault="00F53AA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49186C4" w14:textId="77777777" w:rsidTr="00812887">
        <w:trPr>
          <w:cantSplit/>
        </w:trPr>
        <w:tc>
          <w:tcPr>
            <w:tcW w:w="3227" w:type="dxa"/>
          </w:tcPr>
          <w:p w14:paraId="1903A71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C2D653C" w14:textId="65847250" w:rsidR="002E0D61" w:rsidRPr="00DD2F9B" w:rsidRDefault="00F53AAB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FA969B6" w14:textId="77777777" w:rsidTr="00812887">
        <w:trPr>
          <w:cantSplit/>
        </w:trPr>
        <w:tc>
          <w:tcPr>
            <w:tcW w:w="3227" w:type="dxa"/>
          </w:tcPr>
          <w:p w14:paraId="4DEBCA1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9B5D496" w14:textId="27021698" w:rsidR="00386093" w:rsidRPr="00DD2F9B" w:rsidRDefault="00F53AAB" w:rsidP="00DD2F9B">
            <w:pPr>
              <w:pStyle w:val="Tablefont"/>
            </w:pPr>
            <w:r w:rsidRPr="00F53AAB">
              <w:t>Carcinogenicity – 3</w:t>
            </w:r>
          </w:p>
        </w:tc>
      </w:tr>
      <w:tr w:rsidR="00386093" w:rsidRPr="004C23F4" w14:paraId="68BBCC0B" w14:textId="77777777" w:rsidTr="00812887">
        <w:trPr>
          <w:cantSplit/>
        </w:trPr>
        <w:tc>
          <w:tcPr>
            <w:tcW w:w="3227" w:type="dxa"/>
          </w:tcPr>
          <w:p w14:paraId="2149688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83C9F66" w14:textId="2FEA760D" w:rsidR="00386093" w:rsidRPr="00DD2F9B" w:rsidRDefault="00F53AA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78FA07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C0C6A6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397E35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35A8B1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DFE562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63" w:type="dxa"/>
              <w:tblLook w:val="04A0" w:firstRow="1" w:lastRow="0" w:firstColumn="1" w:lastColumn="0" w:noHBand="0" w:noVBand="1"/>
            </w:tblPr>
            <w:tblGrid>
              <w:gridCol w:w="3809"/>
              <w:gridCol w:w="1121"/>
              <w:gridCol w:w="1121"/>
              <w:gridCol w:w="2712"/>
            </w:tblGrid>
            <w:tr w:rsidR="000E6D6C" w:rsidRPr="000E6D6C" w14:paraId="2A552203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C9CE1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7CB643E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D165C8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3A7988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2B943B2E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68B22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145A1D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D1DE4D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4A3306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63587F4E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AF30EB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F4A614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9406BC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D3405A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5334E8EA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18BF88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78A956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05156A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138728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536D8F08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D83B9D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73D160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341377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DB6990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6F677441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14F7F4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792183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075835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CFDD3F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6D6C" w:rsidRPr="000E6D6C" w14:paraId="604195F0" w14:textId="77777777" w:rsidTr="000E6D6C">
              <w:trPr>
                <w:trHeight w:val="345"/>
              </w:trPr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E3CE8E" w14:textId="77777777" w:rsidR="000E6D6C" w:rsidRPr="000E6D6C" w:rsidRDefault="000E6D6C" w:rsidP="000E6D6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7821FC" w14:textId="77777777" w:rsidR="000E6D6C" w:rsidRPr="000E6D6C" w:rsidRDefault="000E6D6C" w:rsidP="000E6D6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BC98E2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421C3A" w14:textId="77777777" w:rsidR="000E6D6C" w:rsidRPr="000E6D6C" w:rsidRDefault="000E6D6C" w:rsidP="000E6D6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E6D6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4F9CB7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13B5D5F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31F5ED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D79EB7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94BFC6A" w14:textId="76BE08A2" w:rsidR="00EB3D1B" w:rsidRDefault="00F53AA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585A93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716910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3B926F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1182A2C" w14:textId="73F00DEC" w:rsidR="001B79E5" w:rsidRDefault="00F53AAB" w:rsidP="001B79E5">
                <w:pPr>
                  <w:pStyle w:val="Tablefont"/>
                </w:pPr>
                <w:r w:rsidRPr="00F53AAB">
                  <w:t>102.2</w:t>
                </w:r>
              </w:p>
            </w:tc>
          </w:sdtContent>
        </w:sdt>
      </w:tr>
      <w:tr w:rsidR="00A31D99" w:rsidRPr="004C23F4" w14:paraId="46B338B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C7B35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337974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D7510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493879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C688A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EFF6E24" w14:textId="77777777" w:rsidTr="00EA6243">
        <w:trPr>
          <w:cantSplit/>
        </w:trPr>
        <w:tc>
          <w:tcPr>
            <w:tcW w:w="4077" w:type="dxa"/>
            <w:vAlign w:val="center"/>
          </w:tcPr>
          <w:p w14:paraId="0F0275C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6CA4E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5A5609F" w14:textId="77777777" w:rsidTr="00EA6243">
        <w:trPr>
          <w:cantSplit/>
        </w:trPr>
        <w:tc>
          <w:tcPr>
            <w:tcW w:w="4077" w:type="dxa"/>
            <w:vAlign w:val="center"/>
          </w:tcPr>
          <w:p w14:paraId="4831195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A61CA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58058FE" w14:textId="77777777" w:rsidTr="00EA6243">
        <w:trPr>
          <w:cantSplit/>
        </w:trPr>
        <w:tc>
          <w:tcPr>
            <w:tcW w:w="4077" w:type="dxa"/>
            <w:vAlign w:val="center"/>
          </w:tcPr>
          <w:p w14:paraId="1478919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07577C3" w14:textId="77777777" w:rsidR="00E06F40" w:rsidRPr="00A006A0" w:rsidRDefault="00E74A4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7E2EA8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98C64E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74B35B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B58D26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6D7BE6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A06CCB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1E7DB6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DAF542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090D2B4" w14:textId="67E82C50" w:rsidR="00F53AAB" w:rsidRDefault="00F53AAB" w:rsidP="00084859">
      <w:r>
        <w:t xml:space="preserve">Deutsche Forschungsgemeinschaft (DFG) (1998) </w:t>
      </w:r>
      <w:r w:rsidRPr="00F53AAB">
        <w:t xml:space="preserve">Ethylene </w:t>
      </w:r>
      <w:proofErr w:type="spellStart"/>
      <w:r w:rsidRPr="00F53AAB">
        <w:t>thiourea</w:t>
      </w:r>
      <w:proofErr w:type="spellEnd"/>
      <w:r>
        <w:t xml:space="preserve"> – MAK value documentation.</w:t>
      </w:r>
    </w:p>
    <w:p w14:paraId="1DE8F36B" w14:textId="4CB13B60" w:rsidR="00F53AAB" w:rsidRDefault="00F53AAB" w:rsidP="00084859">
      <w:r>
        <w:t xml:space="preserve">European Chemicals Agency (ECHA) (2019) </w:t>
      </w:r>
      <w:r w:rsidRPr="00F53AAB">
        <w:t xml:space="preserve">Ethylene </w:t>
      </w:r>
      <w:proofErr w:type="spellStart"/>
      <w:r w:rsidRPr="00F53AAB">
        <w:t>thiourea</w:t>
      </w:r>
      <w:proofErr w:type="spellEnd"/>
      <w:r>
        <w:t xml:space="preserve"> – REACH assessment.</w:t>
      </w:r>
    </w:p>
    <w:p w14:paraId="7E0B00B6" w14:textId="77777777" w:rsidR="00341C0C" w:rsidRPr="00351FE0" w:rsidRDefault="00341C0C" w:rsidP="00341C0C">
      <w:r>
        <w:t xml:space="preserve">Health Council of the Netherlands (HCOTN) (1999) </w:t>
      </w:r>
      <w:r w:rsidRPr="00F53AAB">
        <w:t xml:space="preserve">Ethylene </w:t>
      </w:r>
      <w:proofErr w:type="spellStart"/>
      <w:r w:rsidRPr="00F53AAB">
        <w:t>thiourea</w:t>
      </w:r>
      <w:proofErr w:type="spellEnd"/>
      <w:r>
        <w:t xml:space="preserve">. Health-based calculated occupational cancer risk values. The Hague: Health Council of the Netherlands; publication no. </w:t>
      </w:r>
      <w:r w:rsidRPr="00F53AAB">
        <w:t>1999/03OSH</w:t>
      </w:r>
      <w:r>
        <w:t>.</w:t>
      </w:r>
    </w:p>
    <w:p w14:paraId="0159C6E3" w14:textId="1A0B7AE6" w:rsidR="00F53AAB" w:rsidRDefault="00F53AAB" w:rsidP="00084859">
      <w:r>
        <w:t>International Agency for Research on Cancer (IARC) (</w:t>
      </w:r>
      <w:r w:rsidRPr="00F53AAB">
        <w:t>2001</w:t>
      </w:r>
      <w:r>
        <w:t xml:space="preserve">) </w:t>
      </w:r>
      <w:proofErr w:type="spellStart"/>
      <w:r w:rsidRPr="00F53AAB">
        <w:t>Ethylenethiourea</w:t>
      </w:r>
      <w:proofErr w:type="spellEnd"/>
      <w:r>
        <w:t>. IARC Monographs on the evaluation of the carcinogenic risk to humans.</w:t>
      </w:r>
    </w:p>
    <w:p w14:paraId="56F71BCC" w14:textId="394C8E37" w:rsidR="00F53AAB" w:rsidRPr="00351FE0" w:rsidRDefault="00F53AAB" w:rsidP="00084859"/>
    <w:sectPr w:rsidR="00F53AAB" w:rsidRPr="00351FE0" w:rsidSect="00B87D4C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080F44" w16cid:durableId="217FD6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B2F7" w14:textId="77777777" w:rsidR="00010CEE" w:rsidRDefault="00010CEE" w:rsidP="00F43AD5">
      <w:pPr>
        <w:spacing w:after="0" w:line="240" w:lineRule="auto"/>
      </w:pPr>
      <w:r>
        <w:separator/>
      </w:r>
    </w:p>
  </w:endnote>
  <w:endnote w:type="continuationSeparator" w:id="0">
    <w:p w14:paraId="7AF3C631" w14:textId="77777777" w:rsidR="00010CEE" w:rsidRDefault="00010CE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3D63" w14:textId="77777777" w:rsidR="00522AAE" w:rsidRDefault="0052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27B9C5B" w14:textId="790A9CF5" w:rsidR="008A36CF" w:rsidRDefault="004A27F9" w:rsidP="0034744C">
        <w:pPr>
          <w:pStyle w:val="Footer"/>
          <w:rPr>
            <w:sz w:val="18"/>
            <w:szCs w:val="18"/>
          </w:rPr>
        </w:pPr>
        <w:r w:rsidRPr="004A27F9">
          <w:rPr>
            <w:b/>
            <w:sz w:val="18"/>
            <w:szCs w:val="18"/>
          </w:rPr>
          <w:t xml:space="preserve">Ethylene </w:t>
        </w:r>
        <w:proofErr w:type="spellStart"/>
        <w:r w:rsidRPr="004A27F9">
          <w:rPr>
            <w:b/>
            <w:sz w:val="18"/>
            <w:szCs w:val="18"/>
          </w:rPr>
          <w:t>thiourea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4A27F9">
          <w:rPr>
            <w:b/>
            <w:sz w:val="18"/>
            <w:szCs w:val="18"/>
          </w:rPr>
          <w:t>96-45-7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B2A3AA9" w14:textId="5E652A7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74A4E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A6C7" w14:textId="77777777" w:rsidR="00522AAE" w:rsidRDefault="0052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175F" w14:textId="77777777" w:rsidR="00010CEE" w:rsidRDefault="00010CEE" w:rsidP="00F43AD5">
      <w:pPr>
        <w:spacing w:after="0" w:line="240" w:lineRule="auto"/>
      </w:pPr>
      <w:r>
        <w:separator/>
      </w:r>
    </w:p>
  </w:footnote>
  <w:footnote w:type="continuationSeparator" w:id="0">
    <w:p w14:paraId="1503FAFB" w14:textId="77777777" w:rsidR="00010CEE" w:rsidRDefault="00010CE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53B0" w14:textId="565861BD" w:rsidR="00522AAE" w:rsidRDefault="00E74A4E">
    <w:pPr>
      <w:pStyle w:val="Header"/>
    </w:pPr>
    <w:r>
      <w:rPr>
        <w:noProof/>
      </w:rPr>
      <w:pict w14:anchorId="67342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4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5230" w14:textId="404B405E" w:rsidR="008A36CF" w:rsidRDefault="00E74A4E" w:rsidP="00F43AD5">
    <w:pPr>
      <w:pStyle w:val="Header"/>
      <w:jc w:val="right"/>
    </w:pPr>
    <w:r>
      <w:rPr>
        <w:noProof/>
      </w:rPr>
      <w:pict w14:anchorId="44565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5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7D75" w14:textId="0705A29C" w:rsidR="00522AAE" w:rsidRDefault="00E74A4E">
    <w:pPr>
      <w:pStyle w:val="Header"/>
    </w:pPr>
    <w:r>
      <w:rPr>
        <w:noProof/>
      </w:rPr>
      <w:pict w14:anchorId="51460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3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DBA7" w14:textId="2755DEAA" w:rsidR="00A16CE1" w:rsidRDefault="00E74A4E">
    <w:pPr>
      <w:pStyle w:val="Header"/>
    </w:pPr>
    <w:r>
      <w:rPr>
        <w:noProof/>
      </w:rPr>
      <w:pict w14:anchorId="44A92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7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7CDA" w14:textId="65CEA06F" w:rsidR="008A36CF" w:rsidRDefault="00E74A4E" w:rsidP="00F43AD5">
    <w:pPr>
      <w:pStyle w:val="Header"/>
      <w:jc w:val="right"/>
    </w:pPr>
    <w:r>
      <w:rPr>
        <w:noProof/>
      </w:rPr>
      <w:pict w14:anchorId="1D15BB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8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86E7" w14:textId="65293EC9" w:rsidR="00A16CE1" w:rsidRDefault="00E74A4E">
    <w:pPr>
      <w:pStyle w:val="Header"/>
    </w:pPr>
    <w:r>
      <w:rPr>
        <w:noProof/>
      </w:rPr>
      <w:pict w14:anchorId="6528B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30596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CABF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3B52"/>
    <w:multiLevelType w:val="hybridMultilevel"/>
    <w:tmpl w:val="05362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CEE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1EE8"/>
    <w:rsid w:val="00067F32"/>
    <w:rsid w:val="00071807"/>
    <w:rsid w:val="00071E9F"/>
    <w:rsid w:val="000803E1"/>
    <w:rsid w:val="00084513"/>
    <w:rsid w:val="00084859"/>
    <w:rsid w:val="00090167"/>
    <w:rsid w:val="0009164B"/>
    <w:rsid w:val="00092D94"/>
    <w:rsid w:val="00097F6C"/>
    <w:rsid w:val="000B0868"/>
    <w:rsid w:val="000B3E12"/>
    <w:rsid w:val="000B3E78"/>
    <w:rsid w:val="000B47BA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6D6C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757F"/>
    <w:rsid w:val="00170A9E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11E6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1F1C"/>
    <w:rsid w:val="002D549D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C0C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5B59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5CAF"/>
    <w:rsid w:val="00470B1E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7F9"/>
    <w:rsid w:val="004A5088"/>
    <w:rsid w:val="004C1E3F"/>
    <w:rsid w:val="004C23F4"/>
    <w:rsid w:val="004C3475"/>
    <w:rsid w:val="004C58B6"/>
    <w:rsid w:val="004D16A3"/>
    <w:rsid w:val="004D4AA1"/>
    <w:rsid w:val="004D6D68"/>
    <w:rsid w:val="004E18B7"/>
    <w:rsid w:val="004E5EDD"/>
    <w:rsid w:val="004F448A"/>
    <w:rsid w:val="004F493D"/>
    <w:rsid w:val="004F65E8"/>
    <w:rsid w:val="0050005E"/>
    <w:rsid w:val="00502B88"/>
    <w:rsid w:val="005142C4"/>
    <w:rsid w:val="0051509C"/>
    <w:rsid w:val="00522AAE"/>
    <w:rsid w:val="005272E2"/>
    <w:rsid w:val="0053108F"/>
    <w:rsid w:val="00532B56"/>
    <w:rsid w:val="00534B10"/>
    <w:rsid w:val="005446A2"/>
    <w:rsid w:val="00544D2F"/>
    <w:rsid w:val="00551BD8"/>
    <w:rsid w:val="005571F9"/>
    <w:rsid w:val="00581055"/>
    <w:rsid w:val="00591E38"/>
    <w:rsid w:val="005A19C5"/>
    <w:rsid w:val="005A3034"/>
    <w:rsid w:val="005A462D"/>
    <w:rsid w:val="005A4D1F"/>
    <w:rsid w:val="005B253B"/>
    <w:rsid w:val="005B4648"/>
    <w:rsid w:val="005B771D"/>
    <w:rsid w:val="005C5D16"/>
    <w:rsid w:val="005D3193"/>
    <w:rsid w:val="005D4A6E"/>
    <w:rsid w:val="005E6979"/>
    <w:rsid w:val="005E75CB"/>
    <w:rsid w:val="005F6E97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0FE0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6400"/>
    <w:rsid w:val="007C30EB"/>
    <w:rsid w:val="007E063C"/>
    <w:rsid w:val="007E1C63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D13"/>
    <w:rsid w:val="00857A8A"/>
    <w:rsid w:val="008630EE"/>
    <w:rsid w:val="00864D13"/>
    <w:rsid w:val="00871CD5"/>
    <w:rsid w:val="008745A2"/>
    <w:rsid w:val="008768A8"/>
    <w:rsid w:val="00881AC0"/>
    <w:rsid w:val="0088798F"/>
    <w:rsid w:val="00887E4B"/>
    <w:rsid w:val="008915C8"/>
    <w:rsid w:val="008965E9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099E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760D"/>
    <w:rsid w:val="00A01D0C"/>
    <w:rsid w:val="00A0643F"/>
    <w:rsid w:val="00A067EE"/>
    <w:rsid w:val="00A10FCE"/>
    <w:rsid w:val="00A16CE1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120"/>
    <w:rsid w:val="00A6461A"/>
    <w:rsid w:val="00A84504"/>
    <w:rsid w:val="00A8672F"/>
    <w:rsid w:val="00A93057"/>
    <w:rsid w:val="00A968B0"/>
    <w:rsid w:val="00AB2672"/>
    <w:rsid w:val="00AB2817"/>
    <w:rsid w:val="00AB364D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349AB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1BC4"/>
    <w:rsid w:val="00CE5AD6"/>
    <w:rsid w:val="00CE617F"/>
    <w:rsid w:val="00CE78EF"/>
    <w:rsid w:val="00CF38E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6FC2"/>
    <w:rsid w:val="00DC7694"/>
    <w:rsid w:val="00DD1BF6"/>
    <w:rsid w:val="00DD2F9B"/>
    <w:rsid w:val="00DE04CC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4A4E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663"/>
    <w:rsid w:val="00F53AAB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0040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E1BC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0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6EFB4834BF394ABA886371DED6A6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B61E-0104-41F0-8845-76003DEB12B8}"/>
      </w:docPartPr>
      <w:docPartBody>
        <w:p w:rsidR="00BF1C88" w:rsidRDefault="007B7DA4" w:rsidP="007B7DA4">
          <w:pPr>
            <w:pStyle w:val="6EFB4834BF394ABA886371DED6A6646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A3B9E"/>
    <w:rsid w:val="005135CE"/>
    <w:rsid w:val="007B7DA4"/>
    <w:rsid w:val="00BF1C88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DA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DDC22FBC79A4A228F05DABA7B377D46">
    <w:name w:val="2DDC22FBC79A4A228F05DABA7B377D46"/>
    <w:rsid w:val="002A3B9E"/>
  </w:style>
  <w:style w:type="paragraph" w:customStyle="1" w:styleId="EE8CDAC29B784E93B3A5D4B929B45295">
    <w:name w:val="EE8CDAC29B784E93B3A5D4B929B45295"/>
    <w:rsid w:val="002A3B9E"/>
  </w:style>
  <w:style w:type="paragraph" w:customStyle="1" w:styleId="C5638D7351224B0BB99A449C17A23711">
    <w:name w:val="C5638D7351224B0BB99A449C17A23711"/>
    <w:rsid w:val="002A3B9E"/>
  </w:style>
  <w:style w:type="paragraph" w:customStyle="1" w:styleId="A4FC6110D5264D4F8ED70A7E254155B3">
    <w:name w:val="A4FC6110D5264D4F8ED70A7E254155B3"/>
    <w:rsid w:val="002A3B9E"/>
  </w:style>
  <w:style w:type="paragraph" w:customStyle="1" w:styleId="531BF79CDFB8467EB9598710132F949D">
    <w:name w:val="531BF79CDFB8467EB9598710132F949D"/>
    <w:rsid w:val="002A3B9E"/>
  </w:style>
  <w:style w:type="paragraph" w:customStyle="1" w:styleId="3F1651E88F264FCFB1CFB4569CD28EC6">
    <w:name w:val="3F1651E88F264FCFB1CFB4569CD28EC6"/>
    <w:rsid w:val="002A3B9E"/>
  </w:style>
  <w:style w:type="paragraph" w:customStyle="1" w:styleId="62CC6C321B804224B3B85DD1DD64A774">
    <w:name w:val="62CC6C321B804224B3B85DD1DD64A774"/>
    <w:rsid w:val="002A3B9E"/>
  </w:style>
  <w:style w:type="paragraph" w:customStyle="1" w:styleId="BFF442CF16A041199E194EEA7F865C31">
    <w:name w:val="BFF442CF16A041199E194EEA7F865C31"/>
    <w:rsid w:val="002A3B9E"/>
  </w:style>
  <w:style w:type="paragraph" w:customStyle="1" w:styleId="569E18D661C84F5B90F57B5CAA68447E">
    <w:name w:val="569E18D661C84F5B90F57B5CAA68447E"/>
    <w:rsid w:val="002A3B9E"/>
  </w:style>
  <w:style w:type="paragraph" w:customStyle="1" w:styleId="516C215D4EDC4B0AB180E627CF72EAFD">
    <w:name w:val="516C215D4EDC4B0AB180E627CF72EAFD"/>
    <w:rsid w:val="002A3B9E"/>
  </w:style>
  <w:style w:type="paragraph" w:customStyle="1" w:styleId="98082CF5F0E2493DA3A228D8BBB57697">
    <w:name w:val="98082CF5F0E2493DA3A228D8BBB57697"/>
    <w:rsid w:val="002A3B9E"/>
  </w:style>
  <w:style w:type="paragraph" w:customStyle="1" w:styleId="86734AC8DBEE4D578E863EE8711E7B56">
    <w:name w:val="86734AC8DBEE4D578E863EE8711E7B56"/>
    <w:rsid w:val="002A3B9E"/>
  </w:style>
  <w:style w:type="paragraph" w:customStyle="1" w:styleId="6EFB4834BF394ABA886371DED6A66460">
    <w:name w:val="6EFB4834BF394ABA886371DED6A66460"/>
    <w:rsid w:val="007B7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5755-0171-45E3-8F46-387DA5BC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047CA-6E69-453D-BAE8-4B10F9758D76}">
  <ds:schemaRefs>
    <ds:schemaRef ds:uri="http://purl.org/dc/dcmitype/"/>
    <ds:schemaRef ds:uri="bf54d604-3e62-4e70-ba33-9e9084b96a6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C60AD0-B896-47E2-B67D-DD992C86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DCBC8-8FB4-4EAE-A5F9-D44D903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F2A41444.dotm</Template>
  <TotalTime>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2019-11-06T05:58:00Z</dcterms:created>
  <dcterms:modified xsi:type="dcterms:W3CDTF">2019-11-22T01:08:00Z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