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6594F2E" w14:textId="2B456849" w:rsidR="00BD499F" w:rsidRPr="004C23F4" w:rsidRDefault="004B1729" w:rsidP="00B40C60">
          <w:pPr>
            <w:pStyle w:val="Heading1"/>
            <w:jc w:val="center"/>
            <w:rPr>
              <w:rFonts w:ascii="Arial" w:hAnsi="Arial" w:cs="Arial"/>
            </w:rPr>
          </w:pPr>
          <w:r w:rsidRPr="004B1729">
            <w:rPr>
              <w:rFonts w:ascii="Arial" w:hAnsi="Arial" w:cs="Arial"/>
            </w:rPr>
            <w:t>4-Methoxyphenol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2"/>
        <w:gridCol w:w="5044"/>
      </w:tblGrid>
      <w:tr w:rsidR="00F43AD5" w:rsidRPr="004C23F4" w14:paraId="5A740A30" w14:textId="77777777" w:rsidTr="00B76A41">
        <w:trPr>
          <w:cantSplit/>
          <w:tblHeader/>
        </w:trPr>
        <w:tc>
          <w:tcPr>
            <w:tcW w:w="4077" w:type="dxa"/>
          </w:tcPr>
          <w:p w14:paraId="2B3F52FB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375F34A9" w14:textId="66EB5788" w:rsidR="00F43AD5" w:rsidRPr="00717D45" w:rsidRDefault="004D5250" w:rsidP="00B76A41">
            <w:pPr>
              <w:pStyle w:val="Tablefont"/>
            </w:pPr>
            <w:r w:rsidRPr="004D5250">
              <w:t>150-76-5</w:t>
            </w:r>
          </w:p>
        </w:tc>
      </w:tr>
      <w:tr w:rsidR="00F43AD5" w:rsidRPr="004C23F4" w14:paraId="1656FEB7" w14:textId="77777777" w:rsidTr="00B76A41">
        <w:trPr>
          <w:cantSplit/>
        </w:trPr>
        <w:tc>
          <w:tcPr>
            <w:tcW w:w="4077" w:type="dxa"/>
          </w:tcPr>
          <w:p w14:paraId="30B7C8A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5987F44" w14:textId="7AEB43B0" w:rsidR="00F43AD5" w:rsidRPr="00717D45" w:rsidRDefault="005C2D36" w:rsidP="00B76A41">
            <w:pPr>
              <w:pStyle w:val="Tablefont"/>
            </w:pPr>
            <w:r>
              <w:t xml:space="preserve">Hydroquinone monomethyl ether, </w:t>
            </w:r>
            <w:proofErr w:type="spellStart"/>
            <w:r>
              <w:t>hydroxyanisole</w:t>
            </w:r>
            <w:proofErr w:type="spellEnd"/>
            <w:r>
              <w:t xml:space="preserve">, </w:t>
            </w:r>
            <w:proofErr w:type="spellStart"/>
            <w:r w:rsidRPr="005C2D36">
              <w:t>mequinol</w:t>
            </w:r>
            <w:proofErr w:type="spellEnd"/>
          </w:p>
        </w:tc>
      </w:tr>
      <w:tr w:rsidR="00F43AD5" w:rsidRPr="004C23F4" w14:paraId="61B6E896" w14:textId="77777777" w:rsidTr="00B76A41">
        <w:trPr>
          <w:cantSplit/>
        </w:trPr>
        <w:tc>
          <w:tcPr>
            <w:tcW w:w="4077" w:type="dxa"/>
          </w:tcPr>
          <w:p w14:paraId="2276700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4B36859" w14:textId="5D5A91F1" w:rsidR="00F43AD5" w:rsidRPr="00717D45" w:rsidRDefault="005C2D36" w:rsidP="00B76A41">
            <w:pPr>
              <w:pStyle w:val="Tablefont"/>
            </w:pPr>
            <w:r>
              <w:t>C</w:t>
            </w:r>
            <w:r w:rsidRPr="005C2D36">
              <w:rPr>
                <w:vertAlign w:val="subscript"/>
              </w:rPr>
              <w:t>7</w:t>
            </w:r>
            <w:r>
              <w:t>H</w:t>
            </w:r>
            <w:r w:rsidRPr="005C2D36">
              <w:rPr>
                <w:vertAlign w:val="subscript"/>
              </w:rPr>
              <w:t>8</w:t>
            </w:r>
            <w:r>
              <w:t>O</w:t>
            </w:r>
            <w:r w:rsidRPr="005C2D36">
              <w:rPr>
                <w:vertAlign w:val="subscript"/>
              </w:rPr>
              <w:t>2</w:t>
            </w:r>
          </w:p>
        </w:tc>
      </w:tr>
      <w:tr w:rsidR="00F43AD5" w:rsidRPr="004C23F4" w14:paraId="1EE54A49" w14:textId="77777777" w:rsidTr="00B76A41">
        <w:trPr>
          <w:cantSplit/>
        </w:trPr>
        <w:tc>
          <w:tcPr>
            <w:tcW w:w="4077" w:type="dxa"/>
          </w:tcPr>
          <w:p w14:paraId="41059C8E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0F53DA2B" w14:textId="77E31958" w:rsidR="00F43AD5" w:rsidRPr="00B40C60" w:rsidRDefault="005C2D36" w:rsidP="00B76A41">
            <w:pPr>
              <w:pStyle w:val="Tablerowheading"/>
              <w:rPr>
                <w:b w:val="0"/>
              </w:rPr>
            </w:pPr>
            <w:r w:rsidRPr="005C2D36">
              <w:rPr>
                <w:b w:val="0"/>
              </w:rPr>
              <w:t>—</w:t>
            </w:r>
          </w:p>
        </w:tc>
      </w:tr>
    </w:tbl>
    <w:p w14:paraId="5D5FA1DE" w14:textId="76886983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2148A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79CB9D02" w14:textId="77777777" w:rsidTr="009B34CA">
        <w:trPr>
          <w:cantSplit/>
          <w:tblHeader/>
        </w:trPr>
        <w:tc>
          <w:tcPr>
            <w:tcW w:w="4005" w:type="dxa"/>
            <w:vAlign w:val="center"/>
          </w:tcPr>
          <w:p w14:paraId="38D1A933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5E54E46A" w14:textId="0C8D8BC1" w:rsidR="002C7AFE" w:rsidRPr="000D3A61" w:rsidRDefault="000D3A61" w:rsidP="00017C82">
            <w:pPr>
              <w:pStyle w:val="Tablefont"/>
              <w:rPr>
                <w:b/>
              </w:rPr>
            </w:pPr>
            <w:r w:rsidRPr="000D3A61">
              <w:rPr>
                <w:b/>
              </w:rPr>
              <w:t>5 mg/m</w:t>
            </w:r>
            <w:r w:rsidRPr="000D3A61">
              <w:rPr>
                <w:b/>
                <w:vertAlign w:val="superscript"/>
              </w:rPr>
              <w:t>3</w:t>
            </w:r>
          </w:p>
        </w:tc>
      </w:tr>
      <w:tr w:rsidR="002C7AFE" w:rsidRPr="004C23F4" w14:paraId="12AB677B" w14:textId="77777777" w:rsidTr="009B34CA">
        <w:trPr>
          <w:cantSplit/>
        </w:trPr>
        <w:tc>
          <w:tcPr>
            <w:tcW w:w="4005" w:type="dxa"/>
            <w:vAlign w:val="center"/>
          </w:tcPr>
          <w:p w14:paraId="13534227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7C1D7F59" w14:textId="33AFCABC" w:rsidR="002C7AFE" w:rsidRPr="00EB3D1B" w:rsidRDefault="000D3A61" w:rsidP="00017C82">
            <w:pPr>
              <w:pStyle w:val="Tablefont"/>
              <w:rPr>
                <w:b/>
              </w:rPr>
            </w:pPr>
            <w:r w:rsidRPr="000D3A61">
              <w:rPr>
                <w:b/>
              </w:rPr>
              <w:t>—</w:t>
            </w:r>
          </w:p>
        </w:tc>
      </w:tr>
      <w:tr w:rsidR="002C7AFE" w:rsidRPr="004C23F4" w14:paraId="0419F632" w14:textId="77777777" w:rsidTr="009B34CA">
        <w:trPr>
          <w:cantSplit/>
        </w:trPr>
        <w:tc>
          <w:tcPr>
            <w:tcW w:w="4005" w:type="dxa"/>
            <w:vAlign w:val="center"/>
          </w:tcPr>
          <w:p w14:paraId="54AD8DC2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21242E89" w14:textId="0567FA50" w:rsidR="002C7AFE" w:rsidRPr="00EB3D1B" w:rsidRDefault="000D3A61" w:rsidP="00017C82">
            <w:pPr>
              <w:pStyle w:val="Tablefont"/>
              <w:rPr>
                <w:b/>
              </w:rPr>
            </w:pPr>
            <w:r w:rsidRPr="000D3A61">
              <w:rPr>
                <w:b/>
              </w:rPr>
              <w:t>—</w:t>
            </w:r>
          </w:p>
        </w:tc>
      </w:tr>
      <w:tr w:rsidR="002C7AFE" w:rsidRPr="004C23F4" w14:paraId="53C1D74A" w14:textId="77777777" w:rsidTr="009B34CA">
        <w:trPr>
          <w:cantSplit/>
        </w:trPr>
        <w:tc>
          <w:tcPr>
            <w:tcW w:w="4005" w:type="dxa"/>
          </w:tcPr>
          <w:p w14:paraId="73068705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C76C71F" w14:textId="6BA3231A" w:rsidR="002C7AFE" w:rsidRPr="00EB3D1B" w:rsidRDefault="00A35F5F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DSEN</w:t>
            </w:r>
          </w:p>
        </w:tc>
      </w:tr>
      <w:tr w:rsidR="002C7AFE" w:rsidRPr="004C23F4" w14:paraId="6EBFA1CB" w14:textId="77777777" w:rsidTr="009B34CA">
        <w:trPr>
          <w:cantSplit/>
        </w:trPr>
        <w:tc>
          <w:tcPr>
            <w:tcW w:w="4005" w:type="dxa"/>
            <w:vAlign w:val="center"/>
          </w:tcPr>
          <w:p w14:paraId="4E6D025B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47003A0B" w14:textId="18B33201" w:rsidR="002C7AFE" w:rsidRPr="000D3A61" w:rsidRDefault="005C2D36" w:rsidP="00017C82">
            <w:pPr>
              <w:pStyle w:val="Tablefont"/>
              <w:rPr>
                <w:b/>
              </w:rPr>
            </w:pPr>
            <w:r w:rsidRPr="000D3A61">
              <w:rPr>
                <w:b/>
              </w:rPr>
              <w:t>—</w:t>
            </w:r>
          </w:p>
        </w:tc>
      </w:tr>
      <w:tr w:rsidR="009B34CA" w14:paraId="5A891BD5" w14:textId="77777777" w:rsidTr="009B34CA">
        <w:trPr>
          <w:cantSplit/>
        </w:trPr>
        <w:tc>
          <w:tcPr>
            <w:tcW w:w="9026" w:type="dxa"/>
            <w:gridSpan w:val="2"/>
            <w:vAlign w:val="center"/>
          </w:tcPr>
          <w:p w14:paraId="558E98CF" w14:textId="639DCF16" w:rsidR="009B34CA" w:rsidRDefault="009B34CA" w:rsidP="00721068">
            <w:pPr>
              <w:pStyle w:val="Tablefont"/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568C1587E194426F96362D779A3B82A3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641140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9AADB23" w14:textId="11F1348A" w:rsidR="006639B4" w:rsidRDefault="000D3A61" w:rsidP="000C139A">
      <w:pPr>
        <w:rPr>
          <w:rFonts w:cs="Arial"/>
        </w:rPr>
      </w:pPr>
      <w:r w:rsidRPr="000D3A61">
        <w:rPr>
          <w:rFonts w:cs="Arial"/>
        </w:rPr>
        <w:t>A TWA of 5 mg/m</w:t>
      </w:r>
      <w:r w:rsidRPr="00EE4B27">
        <w:rPr>
          <w:rFonts w:cs="Arial"/>
          <w:vertAlign w:val="superscript"/>
        </w:rPr>
        <w:t>3</w:t>
      </w:r>
      <w:r w:rsidRPr="000D3A61">
        <w:rPr>
          <w:rFonts w:cs="Arial"/>
        </w:rPr>
        <w:t xml:space="preserve"> is recommended to protect for skin and eye irritation and skin depigmentation in exposed workers.</w:t>
      </w:r>
    </w:p>
    <w:p w14:paraId="59CE6C41" w14:textId="25D590D7" w:rsidR="0002148A" w:rsidRPr="004C23F4" w:rsidRDefault="0002148A" w:rsidP="000C139A">
      <w:pPr>
        <w:rPr>
          <w:rFonts w:cs="Arial"/>
        </w:rPr>
      </w:pPr>
      <w:r w:rsidRPr="0002148A"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3AA5B23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FB3A636" w14:textId="77777777" w:rsidR="0002148A" w:rsidRDefault="00EE4B27" w:rsidP="006639B4">
      <w:pPr>
        <w:rPr>
          <w:rFonts w:cs="Arial"/>
        </w:rPr>
      </w:pPr>
      <w:r w:rsidRPr="00EE4B27">
        <w:rPr>
          <w:rFonts w:cs="Arial"/>
        </w:rPr>
        <w:t xml:space="preserve">4-Methoxyphenol is primarily used as a </w:t>
      </w:r>
      <w:r>
        <w:rPr>
          <w:rFonts w:cs="Arial"/>
        </w:rPr>
        <w:t>chemical inhibitor, stabili</w:t>
      </w:r>
      <w:r w:rsidR="00A35F5F">
        <w:rPr>
          <w:rFonts w:cs="Arial"/>
        </w:rPr>
        <w:t>s</w:t>
      </w:r>
      <w:r>
        <w:rPr>
          <w:rFonts w:cs="Arial"/>
        </w:rPr>
        <w:t xml:space="preserve">er and intermediate. </w:t>
      </w:r>
    </w:p>
    <w:p w14:paraId="4406A8D2" w14:textId="17C3F4A7" w:rsidR="00D90CA6" w:rsidRDefault="0002148A" w:rsidP="006639B4">
      <w:pPr>
        <w:rPr>
          <w:rFonts w:cs="Arial"/>
        </w:rPr>
      </w:pPr>
      <w:r>
        <w:rPr>
          <w:rFonts w:cs="Arial"/>
        </w:rPr>
        <w:t>C</w:t>
      </w:r>
      <w:r w:rsidR="00EE4B27" w:rsidRPr="00EE4B27">
        <w:rPr>
          <w:rFonts w:cs="Arial"/>
        </w:rPr>
        <w:t xml:space="preserve">ritical effects </w:t>
      </w:r>
      <w:r>
        <w:rPr>
          <w:rFonts w:cs="Arial"/>
        </w:rPr>
        <w:t xml:space="preserve">of exposure </w:t>
      </w:r>
      <w:r w:rsidR="00EE4B27" w:rsidRPr="00EE4B27">
        <w:rPr>
          <w:rFonts w:cs="Arial"/>
        </w:rPr>
        <w:t xml:space="preserve">are </w:t>
      </w:r>
      <w:r w:rsidR="00EE4B27" w:rsidRPr="000D3A61">
        <w:rPr>
          <w:rFonts w:cs="Arial"/>
        </w:rPr>
        <w:t>skin and eye irritation and skin depigmentation</w:t>
      </w:r>
      <w:r w:rsidR="00EE4B27">
        <w:rPr>
          <w:rFonts w:cs="Arial"/>
        </w:rPr>
        <w:t xml:space="preserve">. </w:t>
      </w:r>
      <w:r w:rsidR="00A35F5F">
        <w:rPr>
          <w:rFonts w:cs="Arial"/>
        </w:rPr>
        <w:t xml:space="preserve">There </w:t>
      </w:r>
      <w:r w:rsidR="009F7DEF">
        <w:rPr>
          <w:rFonts w:cs="Arial"/>
        </w:rPr>
        <w:t>are</w:t>
      </w:r>
      <w:r w:rsidR="00A35F5F">
        <w:rPr>
          <w:rFonts w:cs="Arial"/>
        </w:rPr>
        <w:t xml:space="preserve"> l</w:t>
      </w:r>
      <w:r w:rsidR="00EE4B27" w:rsidRPr="00EE4B27">
        <w:rPr>
          <w:rFonts w:cs="Arial"/>
        </w:rPr>
        <w:t>imited data fro</w:t>
      </w:r>
      <w:r w:rsidR="00EE4B27">
        <w:rPr>
          <w:rFonts w:cs="Arial"/>
        </w:rPr>
        <w:t>m both human and animal studies</w:t>
      </w:r>
      <w:r>
        <w:rPr>
          <w:rFonts w:cs="Arial"/>
        </w:rPr>
        <w:t>.</w:t>
      </w:r>
      <w:r w:rsidR="00EE4B27">
        <w:rPr>
          <w:rFonts w:cs="Arial"/>
        </w:rPr>
        <w:t xml:space="preserve"> </w:t>
      </w:r>
      <w:r>
        <w:rPr>
          <w:rFonts w:cs="Arial"/>
        </w:rPr>
        <w:t>A</w:t>
      </w:r>
      <w:r w:rsidR="00EE4B27">
        <w:rPr>
          <w:rFonts w:cs="Arial"/>
        </w:rPr>
        <w:t>s such</w:t>
      </w:r>
      <w:r>
        <w:rPr>
          <w:rFonts w:cs="Arial"/>
        </w:rPr>
        <w:t>,</w:t>
      </w:r>
      <w:r w:rsidR="00EE4B27">
        <w:rPr>
          <w:rFonts w:cs="Arial"/>
        </w:rPr>
        <w:t xml:space="preserve"> ACGIH (</w:t>
      </w:r>
      <w:r w:rsidR="00EE4B27" w:rsidRPr="00EE4B27">
        <w:rPr>
          <w:rFonts w:cs="Arial"/>
        </w:rPr>
        <w:t>2018)</w:t>
      </w:r>
      <w:r w:rsidR="00EE4B27">
        <w:rPr>
          <w:rFonts w:cs="Arial"/>
        </w:rPr>
        <w:t xml:space="preserve"> base their TWA by analogy to </w:t>
      </w:r>
      <w:r w:rsidR="00322A44">
        <w:rPr>
          <w:rFonts w:cs="Arial"/>
        </w:rPr>
        <w:t xml:space="preserve">more toxic </w:t>
      </w:r>
      <w:r w:rsidR="00EE4B27">
        <w:t>hydroquinone in combination with dermal and ocular symptom</w:t>
      </w:r>
      <w:r w:rsidR="00322A44">
        <w:t>s</w:t>
      </w:r>
      <w:r w:rsidR="00EE4B27">
        <w:t xml:space="preserve"> reported in animals. </w:t>
      </w:r>
      <w:r w:rsidR="00D90CA6">
        <w:t xml:space="preserve">The lowest </w:t>
      </w:r>
      <w:r w:rsidR="009F7DEF">
        <w:t>NOA</w:t>
      </w:r>
      <w:r w:rsidR="00451A78">
        <w:t>E</w:t>
      </w:r>
      <w:r w:rsidR="009F7DEF">
        <w:t>L</w:t>
      </w:r>
      <w:r w:rsidR="00EE4B27">
        <w:t xml:space="preserve"> identified</w:t>
      </w:r>
      <w:r w:rsidR="00D90CA6">
        <w:t xml:space="preserve"> for </w:t>
      </w:r>
      <w:r w:rsidR="00D90CA6" w:rsidRPr="00EE4B27">
        <w:rPr>
          <w:rFonts w:cs="Arial"/>
        </w:rPr>
        <w:t>4-</w:t>
      </w:r>
      <w:r>
        <w:rPr>
          <w:rFonts w:cs="Arial"/>
        </w:rPr>
        <w:t>m</w:t>
      </w:r>
      <w:r w:rsidR="00D90CA6" w:rsidRPr="00EE4B27">
        <w:rPr>
          <w:rFonts w:cs="Arial"/>
        </w:rPr>
        <w:t>ethoxyphenol</w:t>
      </w:r>
      <w:r w:rsidR="00D90CA6">
        <w:rPr>
          <w:rFonts w:cs="Arial"/>
        </w:rPr>
        <w:t xml:space="preserve"> </w:t>
      </w:r>
      <w:r>
        <w:rPr>
          <w:rFonts w:cs="Arial"/>
        </w:rPr>
        <w:t>i</w:t>
      </w:r>
      <w:r w:rsidR="00D90CA6">
        <w:rPr>
          <w:rFonts w:cs="Arial"/>
        </w:rPr>
        <w:t>s 50 mg/kg</w:t>
      </w:r>
      <w:r w:rsidR="00935BDE">
        <w:rPr>
          <w:rFonts w:cs="Arial"/>
        </w:rPr>
        <w:t>/d</w:t>
      </w:r>
      <w:r w:rsidR="008A194E">
        <w:rPr>
          <w:rFonts w:cs="Arial"/>
        </w:rPr>
        <w:t>ay</w:t>
      </w:r>
      <w:r w:rsidR="00D90CA6">
        <w:rPr>
          <w:rFonts w:cs="Arial"/>
        </w:rPr>
        <w:t xml:space="preserve"> in a sub</w:t>
      </w:r>
      <w:r w:rsidR="00935BDE">
        <w:rPr>
          <w:rFonts w:cs="Arial"/>
        </w:rPr>
        <w:t>-</w:t>
      </w:r>
      <w:r w:rsidR="00D90CA6">
        <w:rPr>
          <w:rFonts w:cs="Arial"/>
        </w:rPr>
        <w:t xml:space="preserve">chronic oral study </w:t>
      </w:r>
      <w:r w:rsidR="009F7DEF">
        <w:rPr>
          <w:rFonts w:cs="Arial"/>
        </w:rPr>
        <w:t>in</w:t>
      </w:r>
      <w:r w:rsidR="00D90CA6">
        <w:rPr>
          <w:rFonts w:cs="Arial"/>
        </w:rPr>
        <w:t xml:space="preserve"> rats for minor systemic effects (NICNAS 2017).</w:t>
      </w:r>
    </w:p>
    <w:p w14:paraId="3378F691" w14:textId="54CDFB89" w:rsidR="00182436" w:rsidRPr="004C23F4" w:rsidRDefault="00182436" w:rsidP="00182436">
      <w:pPr>
        <w:rPr>
          <w:rFonts w:cs="Arial"/>
        </w:rPr>
      </w:pPr>
      <w:r w:rsidRPr="00143544">
        <w:t xml:space="preserve">Given the limited available data, the TWA of 5 </w:t>
      </w:r>
      <w:r>
        <w:t>mg/m</w:t>
      </w:r>
      <w:r>
        <w:rPr>
          <w:vertAlign w:val="superscript"/>
        </w:rPr>
        <w:t>3</w:t>
      </w:r>
      <w:r w:rsidRPr="00143544">
        <w:t xml:space="preserve"> is recommended to be retained to limit irritant effects based on the recommendation by ACGIH</w:t>
      </w:r>
      <w:r w:rsidR="009F7DEF">
        <w:t xml:space="preserve"> (2018)</w:t>
      </w:r>
      <w:r>
        <w:t xml:space="preserve">. </w:t>
      </w:r>
      <w:r>
        <w:rPr>
          <w:rFonts w:cs="Arial"/>
        </w:rPr>
        <w:t>A</w:t>
      </w:r>
      <w:r w:rsidR="0002148A">
        <w:rPr>
          <w:rFonts w:cs="Arial"/>
        </w:rPr>
        <w:t>n</w:t>
      </w:r>
      <w:r>
        <w:rPr>
          <w:rFonts w:cs="Arial"/>
        </w:rPr>
        <w:t xml:space="preserve"> examination of </w:t>
      </w:r>
      <w:r w:rsidR="0002148A">
        <w:rPr>
          <w:rFonts w:cs="Arial"/>
        </w:rPr>
        <w:t>additional sources</w:t>
      </w:r>
      <w:r>
        <w:rPr>
          <w:rFonts w:cs="Arial"/>
        </w:rPr>
        <w:t xml:space="preserve"> should be prioritised during subsequent reviews as no reliable long-term exposure data </w:t>
      </w:r>
      <w:r w:rsidR="0002148A">
        <w:rPr>
          <w:rFonts w:cs="Arial"/>
        </w:rPr>
        <w:t>are</w:t>
      </w:r>
      <w:r>
        <w:rPr>
          <w:rFonts w:cs="Arial"/>
        </w:rPr>
        <w:t xml:space="preserve"> available for this evaluation.</w:t>
      </w:r>
    </w:p>
    <w:p w14:paraId="2299ADD8" w14:textId="77777777" w:rsidR="004529F0" w:rsidRPr="004C23F4" w:rsidRDefault="004529F0" w:rsidP="00BE2296">
      <w:pPr>
        <w:pStyle w:val="Heading2"/>
      </w:pPr>
      <w:r>
        <w:t>Recommendation for notations</w:t>
      </w:r>
    </w:p>
    <w:p w14:paraId="598B8D70" w14:textId="7ABFD131" w:rsidR="009472F9" w:rsidRDefault="009472F9" w:rsidP="00A35F5F">
      <w:pPr>
        <w:keepNext/>
        <w:rPr>
          <w:rFonts w:cs="Arial"/>
        </w:rPr>
      </w:pPr>
      <w:r>
        <w:rPr>
          <w:rFonts w:cs="Arial"/>
        </w:rPr>
        <w:t xml:space="preserve">Not classified as a carcinogen according to the Globally Harmonized System of Classification and Labelling </w:t>
      </w:r>
      <w:r w:rsidR="00EA4B11">
        <w:rPr>
          <w:rFonts w:cs="Arial"/>
        </w:rPr>
        <w:t xml:space="preserve">of </w:t>
      </w:r>
      <w:r>
        <w:rPr>
          <w:rFonts w:cs="Arial"/>
        </w:rPr>
        <w:t xml:space="preserve">Chemicals (GHS). </w:t>
      </w:r>
    </w:p>
    <w:p w14:paraId="59BDE305" w14:textId="64CDEE66" w:rsidR="009472F9" w:rsidRDefault="000D3A61" w:rsidP="00A35F5F">
      <w:pPr>
        <w:keepNext/>
        <w:rPr>
          <w:rFonts w:cs="Arial"/>
        </w:rPr>
      </w:pPr>
      <w:r w:rsidRPr="000D3A61">
        <w:rPr>
          <w:rFonts w:cs="Arial"/>
        </w:rPr>
        <w:t xml:space="preserve">Classified as a skin sensitiser </w:t>
      </w:r>
      <w:r w:rsidR="0002148A">
        <w:rPr>
          <w:rFonts w:cs="Arial"/>
        </w:rPr>
        <w:t>and</w:t>
      </w:r>
      <w:r w:rsidRPr="000D3A61">
        <w:rPr>
          <w:rFonts w:cs="Arial"/>
        </w:rPr>
        <w:t xml:space="preserve"> not a respiratory sensitiser according to the GHS.</w:t>
      </w:r>
    </w:p>
    <w:p w14:paraId="5DF3C907" w14:textId="2EE06C63" w:rsidR="0025734A" w:rsidRPr="004C23F4" w:rsidRDefault="000D3A61" w:rsidP="00A35F5F">
      <w:pPr>
        <w:keepNext/>
        <w:rPr>
          <w:rFonts w:cs="Arial"/>
        </w:rPr>
      </w:pPr>
      <w:r w:rsidRPr="00CB5F76">
        <w:rPr>
          <w:rFonts w:cs="Arial"/>
        </w:rPr>
        <w:t xml:space="preserve">A skin notation is not </w:t>
      </w:r>
      <w:r w:rsidR="0002148A">
        <w:rPr>
          <w:rFonts w:cs="Arial"/>
        </w:rPr>
        <w:t>recommend</w:t>
      </w:r>
      <w:r w:rsidR="00861AD5">
        <w:rPr>
          <w:rFonts w:cs="Arial"/>
        </w:rPr>
        <w:t>ed</w:t>
      </w:r>
      <w:r w:rsidRPr="00CB5F76">
        <w:rPr>
          <w:rFonts w:cs="Arial"/>
        </w:rPr>
        <w:t xml:space="preserve"> based on the available evidence</w:t>
      </w:r>
      <w:r>
        <w:rPr>
          <w:rFonts w:cs="Arial"/>
        </w:rPr>
        <w:t>.</w:t>
      </w:r>
    </w:p>
    <w:p w14:paraId="05E73CDA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13163DEE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575298E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252F513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6C157D3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BC8F132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3908EF4" w14:textId="72237F3F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5C2D36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5C2D36">
                  <w:t>TWA: 5 mg/m</w:t>
                </w:r>
                <w:r w:rsidR="005C2D36" w:rsidRPr="005C2D3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EA95AC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6D9DABD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B5390D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20B6CA3" w14:textId="1DCEE8D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5C2D36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5C2D36">
                  <w:t>TLV-TWA: 5 mg/m</w:t>
                </w:r>
                <w:r w:rsidR="005C2D36" w:rsidRPr="005C2D36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235E4B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E2F3C3C" w14:textId="72F3CCA3" w:rsidR="00D539D0" w:rsidRDefault="00D539D0" w:rsidP="00EA4B11">
            <w:pPr>
              <w:pStyle w:val="Tabletextprimarysource"/>
            </w:pPr>
            <w:r>
              <w:t>TLV-TWA recommended to minimise the risk of skin and eye irritation and skin depigmentation in exposed workers.</w:t>
            </w:r>
          </w:p>
          <w:p w14:paraId="5526A4D5" w14:textId="77777777" w:rsidR="00D539D0" w:rsidRDefault="00D539D0" w:rsidP="00EA4B11">
            <w:pPr>
              <w:pStyle w:val="Tabletextprimarysource"/>
            </w:pPr>
            <w:r>
              <w:t>Summary of data:</w:t>
            </w:r>
          </w:p>
          <w:p w14:paraId="61FDFD1A" w14:textId="77777777" w:rsidR="00D539D0" w:rsidRDefault="00D539D0" w:rsidP="006C7C9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5E3BC7E2" w14:textId="5EE4248E" w:rsidR="00D539D0" w:rsidRDefault="00D539D0" w:rsidP="006C7C98">
            <w:pPr>
              <w:pStyle w:val="ListBullet"/>
              <w:spacing w:before="60" w:after="60"/>
              <w:ind w:left="720"/>
              <w:contextualSpacing w:val="0"/>
            </w:pPr>
            <w:r>
              <w:t>Occupational exposure resulted in skin depigmentation</w:t>
            </w:r>
            <w:r w:rsidR="006C7C98">
              <w:t>.</w:t>
            </w:r>
          </w:p>
          <w:p w14:paraId="347B5569" w14:textId="77777777" w:rsidR="00D539D0" w:rsidRDefault="00D539D0" w:rsidP="006C7C9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499B4AA2" w14:textId="417AC1C5" w:rsidR="00D539D0" w:rsidRDefault="00D539D0" w:rsidP="006C7C98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D539D0">
              <w:rPr>
                <w:vertAlign w:val="subscript"/>
              </w:rPr>
              <w:t>50</w:t>
            </w:r>
            <w:r>
              <w:t>: 1,600 mg/kg (rats, oral)</w:t>
            </w:r>
          </w:p>
          <w:p w14:paraId="23005FC9" w14:textId="0DFE6F7F" w:rsidR="00D539D0" w:rsidRDefault="00D539D0" w:rsidP="006C7C98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D539D0">
              <w:rPr>
                <w:vertAlign w:val="subscript"/>
              </w:rPr>
              <w:t>50</w:t>
            </w:r>
            <w:r>
              <w:t>: 720</w:t>
            </w:r>
            <w:r w:rsidR="00EA4B11">
              <w:t>–</w:t>
            </w:r>
            <w:r>
              <w:t xml:space="preserve">970 mg/kg (rabbits, </w:t>
            </w:r>
            <w:r w:rsidR="0002148A">
              <w:t>IP</w:t>
            </w:r>
            <w:r>
              <w:t>)</w:t>
            </w:r>
          </w:p>
          <w:p w14:paraId="6D2EBBE4" w14:textId="713EDE87" w:rsidR="00D539D0" w:rsidRDefault="00F01E4C" w:rsidP="006C7C98">
            <w:pPr>
              <w:pStyle w:val="ListBullet"/>
              <w:spacing w:before="60" w:after="60"/>
              <w:ind w:left="720"/>
              <w:contextualSpacing w:val="0"/>
            </w:pPr>
            <w:r>
              <w:t>Direct exposure to rabbit eyes caused moderate corneal damage</w:t>
            </w:r>
          </w:p>
          <w:p w14:paraId="6F372E5E" w14:textId="02C6CF07" w:rsidR="00D539D0" w:rsidRDefault="00F01E4C" w:rsidP="006C7C98">
            <w:pPr>
              <w:pStyle w:val="ListBullet"/>
              <w:spacing w:before="60" w:after="60"/>
              <w:ind w:left="720"/>
              <w:contextualSpacing w:val="0"/>
            </w:pPr>
            <w:r>
              <w:t>Reported as 2</w:t>
            </w:r>
            <w:r w:rsidR="00EA4B11">
              <w:t>–</w:t>
            </w:r>
            <w:r>
              <w:t>4 times less toxic than hydroquinone</w:t>
            </w:r>
          </w:p>
          <w:p w14:paraId="5D8CFE03" w14:textId="42CFD64F" w:rsidR="00D539D0" w:rsidRDefault="00F01E4C" w:rsidP="006C7C98">
            <w:pPr>
              <w:pStyle w:val="ListBullet"/>
              <w:spacing w:before="60" w:after="60"/>
              <w:ind w:left="720"/>
              <w:contextualSpacing w:val="0"/>
            </w:pPr>
            <w:r>
              <w:t>Dermal studies on rabbits resulted in skin depigmentation, necrosis and chemical burns</w:t>
            </w:r>
          </w:p>
          <w:p w14:paraId="17098306" w14:textId="5E05092C" w:rsidR="00C978F0" w:rsidRDefault="00F01E4C" w:rsidP="006C7C98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Dogs exposed to 12 g/d (oral) resulted in </w:t>
            </w:r>
            <w:proofErr w:type="spellStart"/>
            <w:proofErr w:type="gramStart"/>
            <w:r w:rsidR="00A35F5F">
              <w:t>bw</w:t>
            </w:r>
            <w:proofErr w:type="spellEnd"/>
            <w:proofErr w:type="gramEnd"/>
            <w:r>
              <w:t xml:space="preserve"> loss, no effects at 6 g/d</w:t>
            </w:r>
            <w:r w:rsidR="00EA4B11">
              <w:t>.</w:t>
            </w:r>
          </w:p>
          <w:p w14:paraId="68C8C409" w14:textId="77777777" w:rsidR="009F7DEF" w:rsidRDefault="009F7DEF" w:rsidP="006C7C9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  <w:p w14:paraId="43FF866B" w14:textId="10034708" w:rsidR="00F01E4C" w:rsidRDefault="00F01E4C" w:rsidP="006C7C9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 xml:space="preserve">TLV-TWA recommended partially by analogy to </w:t>
            </w:r>
            <w:r w:rsidR="004E3FB1">
              <w:t>hydroquinone</w:t>
            </w:r>
            <w:r w:rsidR="00EA4B11">
              <w:t>.</w:t>
            </w:r>
          </w:p>
          <w:p w14:paraId="0679FCA1" w14:textId="77777777" w:rsidR="004E3FB1" w:rsidRDefault="004E3FB1" w:rsidP="006C7C9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Insufficient data to recommend a skin, sensitiser or carcinogen notation</w:t>
            </w:r>
            <w:r w:rsidR="00EA4B11">
              <w:t>.</w:t>
            </w:r>
          </w:p>
          <w:p w14:paraId="5FE869F6" w14:textId="77D6CCC1" w:rsidR="009F7DEF" w:rsidRPr="00DA352E" w:rsidRDefault="009F7DEF" w:rsidP="006C7C9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3597BB0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895602F" w14:textId="3E520BFD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5C2D3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5C2D36">
                  <w:t>NA</w:t>
                </w:r>
                <w:proofErr w:type="spellEnd"/>
              </w:sdtContent>
            </w:sdt>
          </w:p>
        </w:tc>
      </w:tr>
      <w:tr w:rsidR="00C978F0" w:rsidRPr="00DA352E" w14:paraId="16A6510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8EEA7C1" w14:textId="7C119CEC" w:rsidR="00C978F0" w:rsidRPr="00DA352E" w:rsidRDefault="005C2D36" w:rsidP="003365A5">
            <w:pPr>
              <w:pStyle w:val="Tabletextprimarysource"/>
            </w:pPr>
            <w:r>
              <w:t>No report</w:t>
            </w:r>
            <w:r w:rsidR="00A35F5F">
              <w:t>.</w:t>
            </w:r>
          </w:p>
        </w:tc>
      </w:tr>
      <w:tr w:rsidR="00C978F0" w:rsidRPr="00DA352E" w14:paraId="08C72B08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57F8969" w14:textId="4DAED13A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5C2D3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5C2D36">
                  <w:t>NA</w:t>
                </w:r>
                <w:proofErr w:type="spellEnd"/>
              </w:sdtContent>
            </w:sdt>
          </w:p>
        </w:tc>
      </w:tr>
      <w:tr w:rsidR="00C978F0" w:rsidRPr="00DA352E" w14:paraId="06824EB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BCA99FC" w14:textId="329BBEA6" w:rsidR="00C978F0" w:rsidRPr="00DA352E" w:rsidRDefault="005C2D36" w:rsidP="003365A5">
            <w:pPr>
              <w:pStyle w:val="Tabletextprimarysource"/>
            </w:pPr>
            <w:r>
              <w:t>No report</w:t>
            </w:r>
            <w:r w:rsidR="00A35F5F">
              <w:t>.</w:t>
            </w:r>
          </w:p>
        </w:tc>
      </w:tr>
      <w:tr w:rsidR="00DA352E" w:rsidRPr="00DA352E" w14:paraId="6C168E4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01260C0" w14:textId="1B97B5F1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5C2D36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sdt>
                  <w:sdtPr>
                    <w:id w:val="1135063046"/>
                    <w:placeholder>
                      <w:docPart w:val="32E4AE36AEA94D5380C0A8F05C66A86E"/>
                    </w:placeholder>
                    <w:text/>
                  </w:sdtPr>
                  <w:sdtEndPr/>
                  <w:sdtContent>
                    <w:proofErr w:type="spellStart"/>
                    <w:r w:rsidR="005C2D36">
                      <w:t>NA</w:t>
                    </w:r>
                    <w:proofErr w:type="spellEnd"/>
                  </w:sdtContent>
                </w:sdt>
              </w:sdtContent>
            </w:sdt>
          </w:p>
        </w:tc>
      </w:tr>
      <w:tr w:rsidR="00DA352E" w:rsidRPr="00DA352E" w14:paraId="6243482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85CFC2E" w14:textId="569F1C12" w:rsidR="00DA352E" w:rsidRPr="00DA352E" w:rsidRDefault="005C2D36" w:rsidP="003365A5">
            <w:pPr>
              <w:pStyle w:val="Tabletextprimarysource"/>
            </w:pPr>
            <w:r>
              <w:t>No report</w:t>
            </w:r>
            <w:r w:rsidR="00A35F5F">
              <w:t>.</w:t>
            </w:r>
          </w:p>
        </w:tc>
      </w:tr>
      <w:tr w:rsidR="00DA352E" w:rsidRPr="00DA352E" w14:paraId="4219F21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A33D908" w14:textId="486E3364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401706">
                  <w:t>2011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sdt>
                  <w:sdtPr>
                    <w:id w:val="-1063482045"/>
                    <w:placeholder>
                      <w:docPart w:val="C62A5126F08E49718D1BE191A6591565"/>
                    </w:placeholder>
                    <w:text/>
                  </w:sdtPr>
                  <w:sdtEndPr/>
                  <w:sdtContent>
                    <w:r w:rsidR="00401706" w:rsidRPr="00401706">
                      <w:t>Not assigned</w:t>
                    </w:r>
                  </w:sdtContent>
                </w:sdt>
              </w:sdtContent>
            </w:sdt>
          </w:p>
        </w:tc>
      </w:tr>
      <w:tr w:rsidR="00DA352E" w:rsidRPr="00DA352E" w14:paraId="6847FB0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883325D" w14:textId="3784B8E3" w:rsidR="004E3FB1" w:rsidRDefault="00A35F5F" w:rsidP="003365A5">
            <w:pPr>
              <w:pStyle w:val="Tabletextprimarysource"/>
            </w:pPr>
            <w:r>
              <w:t>A</w:t>
            </w:r>
            <w:r w:rsidR="004E3FB1" w:rsidRPr="004E3FB1">
              <w:t>vailable data insufficient to evaluate the carcinogenic properties of 4-methoxyphenol</w:t>
            </w:r>
            <w:r w:rsidR="00EA4B11">
              <w:t>.</w:t>
            </w:r>
          </w:p>
          <w:p w14:paraId="0A72E5D1" w14:textId="0C65F2BA" w:rsidR="004E3FB1" w:rsidRDefault="00E43494" w:rsidP="000214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Pr</w:t>
            </w:r>
            <w:r w:rsidR="004E3FB1" w:rsidRPr="004E3FB1">
              <w:t>e</w:t>
            </w:r>
            <w:r w:rsidR="00C463F1">
              <w:t>-</w:t>
            </w:r>
            <w:r w:rsidR="004E3FB1" w:rsidRPr="004E3FB1">
              <w:t>neoplastic and neoplastic abnormalities</w:t>
            </w:r>
            <w:r w:rsidR="004E3FB1">
              <w:t xml:space="preserve"> in carcinogenic study (oral, rat) </w:t>
            </w:r>
            <w:r w:rsidR="00A35F5F">
              <w:t xml:space="preserve">not </w:t>
            </w:r>
            <w:r w:rsidR="004E3FB1">
              <w:t xml:space="preserve">considered </w:t>
            </w:r>
            <w:r w:rsidR="004E3FB1" w:rsidRPr="004E3FB1">
              <w:t>relevant to humans</w:t>
            </w:r>
          </w:p>
          <w:p w14:paraId="0F62D724" w14:textId="77777777" w:rsidR="004E3FB1" w:rsidRDefault="004E3FB1" w:rsidP="000214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in mutagenic assay</w:t>
            </w:r>
            <w:r w:rsidR="00EA4B11">
              <w:t>.</w:t>
            </w:r>
          </w:p>
          <w:p w14:paraId="7868D1DD" w14:textId="03DB4E98" w:rsidR="009F7DEF" w:rsidRPr="00DA352E" w:rsidRDefault="009F7DEF" w:rsidP="0002148A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</w:tbl>
    <w:p w14:paraId="2C75289C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7AB3D873" w14:textId="77777777" w:rsidTr="0030268D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25A3BAF2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15479A54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6F835C5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2B33BBAE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5675229" w14:textId="77777777" w:rsidTr="0030268D">
        <w:trPr>
          <w:cantSplit/>
        </w:trPr>
        <w:tc>
          <w:tcPr>
            <w:tcW w:w="1497" w:type="dxa"/>
          </w:tcPr>
          <w:p w14:paraId="6ADCC25B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4" w:type="dxa"/>
          </w:tcPr>
          <w:p w14:paraId="3219067C" w14:textId="26F2D665" w:rsidR="004966BF" w:rsidRPr="00CE617F" w:rsidRDefault="00D14E1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E3FB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51A8C68" w14:textId="31D0C97E" w:rsidR="004966BF" w:rsidRPr="004C23F4" w:rsidRDefault="004E3FB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2017</w:t>
            </w:r>
          </w:p>
        </w:tc>
        <w:tc>
          <w:tcPr>
            <w:tcW w:w="6444" w:type="dxa"/>
          </w:tcPr>
          <w:p w14:paraId="1082B0F8" w14:textId="4A641E4E" w:rsidR="004E3FB1" w:rsidRDefault="004E3FB1" w:rsidP="000214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D539D0">
              <w:rPr>
                <w:vertAlign w:val="subscript"/>
              </w:rPr>
              <w:t>50</w:t>
            </w:r>
            <w:r>
              <w:t xml:space="preserve">: </w:t>
            </w:r>
            <w:r w:rsidR="00C85347">
              <w:t>621</w:t>
            </w:r>
            <w:r>
              <w:t xml:space="preserve"> mg/kg (</w:t>
            </w:r>
            <w:r w:rsidR="00C85347">
              <w:t>mice</w:t>
            </w:r>
            <w:r>
              <w:t>, oral)</w:t>
            </w:r>
          </w:p>
          <w:p w14:paraId="7A23F6BD" w14:textId="13AAC0C5" w:rsidR="00C85347" w:rsidRDefault="00C85347" w:rsidP="000214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D539D0">
              <w:rPr>
                <w:vertAlign w:val="subscript"/>
              </w:rPr>
              <w:t>50</w:t>
            </w:r>
            <w:r>
              <w:t>:</w:t>
            </w:r>
            <w:r w:rsidR="00A35F5F">
              <w:t xml:space="preserve"> </w:t>
            </w:r>
            <w:r>
              <w:t>&gt;2,000 mg/kg (rats and rabbits, dermal)</w:t>
            </w:r>
          </w:p>
          <w:p w14:paraId="5B6679E4" w14:textId="18B20376" w:rsidR="00C85347" w:rsidRDefault="00C85347" w:rsidP="000214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Positive results in 2 sensiti</w:t>
            </w:r>
            <w:r w:rsidR="00A35F5F">
              <w:t>s</w:t>
            </w:r>
            <w:r>
              <w:t xml:space="preserve">ation studies in guinea pigs </w:t>
            </w:r>
          </w:p>
          <w:p w14:paraId="60031EB4" w14:textId="4B7685A7" w:rsidR="00C85347" w:rsidRPr="00FC4E2F" w:rsidRDefault="00C85347" w:rsidP="000214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Repeat dose NOAEL: 125 mg/kg/d (rats, 1 </w:t>
            </w:r>
            <w:proofErr w:type="spellStart"/>
            <w:r>
              <w:t>yr</w:t>
            </w:r>
            <w:proofErr w:type="spellEnd"/>
            <w:r>
              <w:t xml:space="preserve">, oral) for </w:t>
            </w:r>
            <w:r w:rsidR="00A35F5F" w:rsidRPr="00FC4E2F">
              <w:t>b</w:t>
            </w:r>
            <w:r w:rsidR="00FC4E2F" w:rsidRPr="00FC4E2F">
              <w:t xml:space="preserve">ody </w:t>
            </w:r>
            <w:r w:rsidR="00A35F5F" w:rsidRPr="00FC4E2F">
              <w:t>w</w:t>
            </w:r>
            <w:r w:rsidR="00FC4E2F" w:rsidRPr="00FC4E2F">
              <w:t>eight</w:t>
            </w:r>
            <w:r w:rsidR="00260413" w:rsidRPr="00FC4E2F">
              <w:t xml:space="preserve"> decrease, increases in liver and kidney weights and hyperplasia</w:t>
            </w:r>
            <w:r w:rsidR="00260413" w:rsidRPr="00FC4E2F">
              <w:rPr>
                <w:rFonts w:cs="Arial"/>
                <w:color w:val="262626"/>
              </w:rPr>
              <w:t xml:space="preserve"> in the forestomach</w:t>
            </w:r>
          </w:p>
          <w:p w14:paraId="6E1AE6B0" w14:textId="24B0413F" w:rsidR="00C85347" w:rsidRDefault="00C85347" w:rsidP="0002148A">
            <w:pPr>
              <w:pStyle w:val="ListBullet"/>
              <w:spacing w:before="60" w:after="60"/>
              <w:ind w:left="714" w:hanging="357"/>
              <w:contextualSpacing w:val="0"/>
            </w:pPr>
            <w:r w:rsidRPr="00FC4E2F">
              <w:t>NOAEL: 50 mg/kg/d (rats, 5</w:t>
            </w:r>
            <w:r w:rsidR="00EA4B11" w:rsidRPr="00FC4E2F">
              <w:t>–</w:t>
            </w:r>
            <w:r w:rsidRPr="00FC4E2F">
              <w:t xml:space="preserve">7 </w:t>
            </w:r>
            <w:proofErr w:type="spellStart"/>
            <w:r w:rsidRPr="00FC4E2F">
              <w:t>wk</w:t>
            </w:r>
            <w:proofErr w:type="spellEnd"/>
            <w:r w:rsidRPr="00FC4E2F">
              <w:t xml:space="preserve">, oral) for </w:t>
            </w:r>
            <w:r w:rsidR="006C7C98" w:rsidRPr="00FC4E2F">
              <w:t>b</w:t>
            </w:r>
            <w:r w:rsidR="00FC4E2F" w:rsidRPr="00FC4E2F">
              <w:t xml:space="preserve">ody </w:t>
            </w:r>
            <w:r w:rsidR="006C7C98" w:rsidRPr="00FC4E2F">
              <w:t>w</w:t>
            </w:r>
            <w:r w:rsidR="00FC4E2F" w:rsidRPr="00FC4E2F">
              <w:t>eight</w:t>
            </w:r>
            <w:r>
              <w:t xml:space="preserve"> decrease</w:t>
            </w:r>
          </w:p>
          <w:p w14:paraId="732E8996" w14:textId="0B18E244" w:rsidR="00C85347" w:rsidRPr="00DD7072" w:rsidRDefault="001D2CA7" w:rsidP="000214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Positive </w:t>
            </w:r>
            <w:r w:rsidRPr="00DD7072">
              <w:t>in</w:t>
            </w:r>
            <w:r w:rsidRPr="00DD7072">
              <w:rPr>
                <w:rFonts w:cs="Arial"/>
              </w:rPr>
              <w:t xml:space="preserve"> gene mutation assay in mammalian cells (MLTK assay)</w:t>
            </w:r>
          </w:p>
          <w:p w14:paraId="54AD0A9E" w14:textId="5AE35519" w:rsidR="001D2CA7" w:rsidRDefault="001D2CA7" w:rsidP="0002148A">
            <w:pPr>
              <w:pStyle w:val="ListBullet"/>
              <w:spacing w:before="60" w:after="60"/>
              <w:ind w:left="714" w:hanging="357"/>
              <w:contextualSpacing w:val="0"/>
            </w:pPr>
            <w:r w:rsidRPr="001D2CA7">
              <w:t>Chromosomal aberrations induced in Chinese hamster ovary cells</w:t>
            </w:r>
          </w:p>
          <w:p w14:paraId="5E449532" w14:textId="4F2B497C" w:rsidR="001D2CA7" w:rsidRDefault="001D2CA7" w:rsidP="0002148A">
            <w:pPr>
              <w:pStyle w:val="ListBullet"/>
              <w:spacing w:before="60" w:after="60"/>
              <w:ind w:left="714" w:hanging="357"/>
              <w:contextualSpacing w:val="0"/>
            </w:pPr>
            <w:r w:rsidRPr="001D2CA7">
              <w:t>DNA denaturation observed in T4 bacteriophage</w:t>
            </w:r>
          </w:p>
          <w:p w14:paraId="43765857" w14:textId="7107AB2E" w:rsidR="001D2CA7" w:rsidRDefault="001D2CA7" w:rsidP="0002148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Positive in </w:t>
            </w:r>
            <w:r w:rsidRPr="001D2CA7">
              <w:t>mammalian cell gene mutation assay in L5178Y mouse lymphoma cells</w:t>
            </w:r>
          </w:p>
          <w:p w14:paraId="66891E96" w14:textId="4AAEF8C2" w:rsidR="004966BF" w:rsidRPr="001D2CA7" w:rsidRDefault="001D2CA7" w:rsidP="0002148A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/>
              </w:rPr>
            </w:pPr>
            <w:r>
              <w:t xml:space="preserve">Negative results in </w:t>
            </w:r>
            <w:r w:rsidR="006C7C98">
              <w:rPr>
                <w:i/>
              </w:rPr>
              <w:t>i</w:t>
            </w:r>
            <w:r w:rsidRPr="001D2CA7">
              <w:rPr>
                <w:i/>
              </w:rPr>
              <w:t>n vivo</w:t>
            </w:r>
            <w:r>
              <w:t xml:space="preserve"> </w:t>
            </w:r>
            <w:proofErr w:type="spellStart"/>
            <w:r>
              <w:t>genotoxicity</w:t>
            </w:r>
            <w:proofErr w:type="spellEnd"/>
            <w:r>
              <w:t xml:space="preserve"> assays</w:t>
            </w:r>
            <w:r w:rsidR="00EA4B11">
              <w:t>.</w:t>
            </w:r>
          </w:p>
        </w:tc>
      </w:tr>
      <w:tr w:rsidR="004966BF" w:rsidRPr="004C23F4" w14:paraId="2895971E" w14:textId="77777777" w:rsidTr="0030268D">
        <w:trPr>
          <w:cantSplit/>
        </w:trPr>
        <w:tc>
          <w:tcPr>
            <w:tcW w:w="1497" w:type="dxa"/>
          </w:tcPr>
          <w:p w14:paraId="347D2587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4" w:type="dxa"/>
          </w:tcPr>
          <w:p w14:paraId="40156D88" w14:textId="21E25996" w:rsidR="004966BF" w:rsidRPr="00CE617F" w:rsidRDefault="00D14E14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0268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1117CACF" w14:textId="41A7A30D" w:rsidR="004966BF" w:rsidRPr="004C23F4" w:rsidRDefault="0030268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44" w:type="dxa"/>
          </w:tcPr>
          <w:p w14:paraId="58CC16DA" w14:textId="5858191A" w:rsidR="004966BF" w:rsidRPr="004C23F4" w:rsidRDefault="0030268D" w:rsidP="0002148A">
            <w:pPr>
              <w:pStyle w:val="Tablefont"/>
              <w:numPr>
                <w:ilvl w:val="0"/>
                <w:numId w:val="18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 additional information</w:t>
            </w:r>
            <w:r w:rsidR="00EA4B11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37BE8D0E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03AABBF" w14:textId="77777777" w:rsidTr="0030268D">
        <w:trPr>
          <w:trHeight w:val="454"/>
          <w:tblHeader/>
        </w:trPr>
        <w:tc>
          <w:tcPr>
            <w:tcW w:w="6597" w:type="dxa"/>
            <w:vAlign w:val="center"/>
          </w:tcPr>
          <w:p w14:paraId="24361992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A7FB474" w14:textId="56449366" w:rsidR="002E0D61" w:rsidRDefault="0030268D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69FCA356" w14:textId="77777777" w:rsidTr="0030268D">
        <w:trPr>
          <w:trHeight w:val="454"/>
        </w:trPr>
        <w:tc>
          <w:tcPr>
            <w:tcW w:w="6597" w:type="dxa"/>
            <w:vAlign w:val="center"/>
          </w:tcPr>
          <w:p w14:paraId="05DB7D8E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06C68C8" w14:textId="7F395194" w:rsidR="008A36CF" w:rsidRDefault="0030268D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02148A" w14:paraId="10A97003" w14:textId="77777777" w:rsidTr="009431EA">
        <w:trPr>
          <w:trHeight w:val="454"/>
        </w:trPr>
        <w:sdt>
          <w:sdtPr>
            <w:rPr>
              <w:b/>
            </w:rPr>
            <w:id w:val="1830936485"/>
            <w:placeholder>
              <w:docPart w:val="31DD48ADF4A8468B9285B924C3885E1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F6F6CB0" w14:textId="68AA7B53" w:rsidR="0002148A" w:rsidRDefault="0002148A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02733ECD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F76E465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A3CF8FF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028FCCC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19B1266D" w14:textId="77777777" w:rsidTr="00812887">
        <w:trPr>
          <w:cantSplit/>
        </w:trPr>
        <w:tc>
          <w:tcPr>
            <w:tcW w:w="3227" w:type="dxa"/>
          </w:tcPr>
          <w:p w14:paraId="7F24B8B3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ECEAC34" w14:textId="56FF74C4" w:rsidR="00687890" w:rsidRPr="00DD2F9B" w:rsidRDefault="005C2D36" w:rsidP="00DD2F9B">
            <w:pPr>
              <w:pStyle w:val="Tablefont"/>
            </w:pPr>
            <w:r w:rsidRPr="005C2D36">
              <w:t>Sen</w:t>
            </w:r>
          </w:p>
        </w:tc>
      </w:tr>
      <w:tr w:rsidR="007925F0" w:rsidRPr="004C23F4" w14:paraId="70FDC6A9" w14:textId="77777777" w:rsidTr="00812887">
        <w:trPr>
          <w:cantSplit/>
        </w:trPr>
        <w:tc>
          <w:tcPr>
            <w:tcW w:w="3227" w:type="dxa"/>
          </w:tcPr>
          <w:p w14:paraId="3C1BEDC7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67DBE64" w14:textId="0EE1276B" w:rsidR="007925F0" w:rsidRPr="00DD2F9B" w:rsidRDefault="005C2D36" w:rsidP="00DD2F9B">
            <w:pPr>
              <w:pStyle w:val="Tablefont"/>
            </w:pPr>
            <w:r w:rsidRPr="005C2D36">
              <w:t>Skin sensitisation – category 1</w:t>
            </w:r>
          </w:p>
        </w:tc>
      </w:tr>
      <w:tr w:rsidR="00AF483F" w:rsidRPr="004C23F4" w14:paraId="280A161E" w14:textId="77777777" w:rsidTr="00812887">
        <w:trPr>
          <w:cantSplit/>
        </w:trPr>
        <w:tc>
          <w:tcPr>
            <w:tcW w:w="3227" w:type="dxa"/>
          </w:tcPr>
          <w:p w14:paraId="52BB3469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2D67316" w14:textId="0E028D32" w:rsidR="00AF483F" w:rsidRPr="00DD2F9B" w:rsidRDefault="00926236" w:rsidP="00DD2F9B">
            <w:pPr>
              <w:pStyle w:val="Tablefont"/>
            </w:pPr>
            <w:r w:rsidRPr="00926236">
              <w:t>Skin sensitisation</w:t>
            </w:r>
          </w:p>
        </w:tc>
      </w:tr>
      <w:tr w:rsidR="00687890" w:rsidRPr="004C23F4" w14:paraId="04C1B745" w14:textId="77777777" w:rsidTr="00812887">
        <w:trPr>
          <w:cantSplit/>
        </w:trPr>
        <w:tc>
          <w:tcPr>
            <w:tcW w:w="3227" w:type="dxa"/>
          </w:tcPr>
          <w:p w14:paraId="25FF51F2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EF76A9C" w14:textId="45C52865" w:rsidR="00687890" w:rsidRPr="00DD2F9B" w:rsidRDefault="00926236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665753F7" w14:textId="77777777" w:rsidTr="00812887">
        <w:trPr>
          <w:cantSplit/>
        </w:trPr>
        <w:tc>
          <w:tcPr>
            <w:tcW w:w="3227" w:type="dxa"/>
          </w:tcPr>
          <w:p w14:paraId="16A08851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79A5262" w14:textId="3E2A60FA" w:rsidR="00E41A26" w:rsidRPr="00DD2F9B" w:rsidRDefault="00926236" w:rsidP="00DD2F9B">
            <w:pPr>
              <w:pStyle w:val="Tablefont"/>
            </w:pPr>
            <w:r w:rsidRPr="00926236">
              <w:t>Skin Sens. 1</w:t>
            </w:r>
          </w:p>
        </w:tc>
      </w:tr>
      <w:tr w:rsidR="002E0D61" w:rsidRPr="004C23F4" w14:paraId="384B563A" w14:textId="77777777" w:rsidTr="00812887">
        <w:trPr>
          <w:cantSplit/>
        </w:trPr>
        <w:tc>
          <w:tcPr>
            <w:tcW w:w="3227" w:type="dxa"/>
          </w:tcPr>
          <w:p w14:paraId="3F3D06D1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233B62D5" w14:textId="1622B732" w:rsidR="002E0D61" w:rsidRPr="00DD2F9B" w:rsidRDefault="0092623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16C3F5C" w14:textId="77777777" w:rsidTr="00812887">
        <w:trPr>
          <w:cantSplit/>
        </w:trPr>
        <w:tc>
          <w:tcPr>
            <w:tcW w:w="3227" w:type="dxa"/>
          </w:tcPr>
          <w:p w14:paraId="3D37C88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201504F7" w14:textId="68E4C37E" w:rsidR="002E0D61" w:rsidRPr="00DD2F9B" w:rsidRDefault="0092623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EEAC22E" w14:textId="77777777" w:rsidTr="00812887">
        <w:trPr>
          <w:cantSplit/>
        </w:trPr>
        <w:tc>
          <w:tcPr>
            <w:tcW w:w="3227" w:type="dxa"/>
          </w:tcPr>
          <w:p w14:paraId="10C79F24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530DF13" w14:textId="3E096828" w:rsidR="002E0D61" w:rsidRPr="00DD2F9B" w:rsidRDefault="0092623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5D539F9" w14:textId="77777777" w:rsidTr="00812887">
        <w:trPr>
          <w:cantSplit/>
        </w:trPr>
        <w:tc>
          <w:tcPr>
            <w:tcW w:w="3227" w:type="dxa"/>
          </w:tcPr>
          <w:p w14:paraId="1F28363B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64B52EE7" w14:textId="37168C2C" w:rsidR="002E0D61" w:rsidRPr="00DD2F9B" w:rsidRDefault="0092623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793C171" w14:textId="77777777" w:rsidTr="00812887">
        <w:trPr>
          <w:cantSplit/>
        </w:trPr>
        <w:tc>
          <w:tcPr>
            <w:tcW w:w="3227" w:type="dxa"/>
          </w:tcPr>
          <w:p w14:paraId="301DC81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01912060" w14:textId="1CE0C565" w:rsidR="00386093" w:rsidRPr="00DD2F9B" w:rsidRDefault="0092623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08A4595" w14:textId="77777777" w:rsidTr="00812887">
        <w:trPr>
          <w:cantSplit/>
        </w:trPr>
        <w:tc>
          <w:tcPr>
            <w:tcW w:w="3227" w:type="dxa"/>
          </w:tcPr>
          <w:p w14:paraId="3A70D93B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64A6ED3" w14:textId="55EEACA2" w:rsidR="00386093" w:rsidRPr="00DD2F9B" w:rsidRDefault="00926236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139C300F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69EC7B80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F81DE1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04AC55A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0525E38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4031"/>
              <w:gridCol w:w="904"/>
              <w:gridCol w:w="830"/>
              <w:gridCol w:w="3045"/>
            </w:tblGrid>
            <w:tr w:rsidR="00B21DD8" w:rsidRPr="00B21DD8" w14:paraId="4D55A623" w14:textId="77777777" w:rsidTr="00B21DD8">
              <w:trPr>
                <w:trHeight w:val="342"/>
              </w:trPr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E57A99F" w14:textId="77777777" w:rsidR="00B21DD8" w:rsidRPr="00B21DD8" w:rsidRDefault="00B21DD8" w:rsidP="00B21DD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1305DD" w14:textId="77777777" w:rsidR="00B21DD8" w:rsidRPr="00B21DD8" w:rsidRDefault="00B21DD8" w:rsidP="00B21DD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8D4C59B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AD8860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21DD8" w:rsidRPr="00B21DD8" w14:paraId="2597AD85" w14:textId="77777777" w:rsidTr="00B21DD8">
              <w:trPr>
                <w:trHeight w:val="342"/>
              </w:trPr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D36FB1" w14:textId="77777777" w:rsidR="00B21DD8" w:rsidRPr="00B21DD8" w:rsidRDefault="00B21DD8" w:rsidP="00B21DD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70D77A" w14:textId="77777777" w:rsidR="00B21DD8" w:rsidRPr="00B21DD8" w:rsidRDefault="00B21DD8" w:rsidP="00B21DD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075F07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0D5652F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21DD8" w:rsidRPr="00B21DD8" w14:paraId="61A9EA2A" w14:textId="77777777" w:rsidTr="00B21DD8">
              <w:trPr>
                <w:trHeight w:val="342"/>
              </w:trPr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E87AF1" w14:textId="77777777" w:rsidR="00B21DD8" w:rsidRPr="00B21DD8" w:rsidRDefault="00B21DD8" w:rsidP="00B21DD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C14F28" w14:textId="77777777" w:rsidR="00B21DD8" w:rsidRPr="00B21DD8" w:rsidRDefault="00B21DD8" w:rsidP="00B21DD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06A90B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8FD9F9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21DD8" w:rsidRPr="00B21DD8" w14:paraId="303B81C1" w14:textId="77777777" w:rsidTr="00B21DD8">
              <w:trPr>
                <w:trHeight w:val="342"/>
              </w:trPr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E893CC0" w14:textId="77777777" w:rsidR="00B21DD8" w:rsidRPr="00B21DD8" w:rsidRDefault="00B21DD8" w:rsidP="00B21DD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EC7662" w14:textId="77777777" w:rsidR="00B21DD8" w:rsidRPr="00B21DD8" w:rsidRDefault="00B21DD8" w:rsidP="00B21DD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863EE7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2811B1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21DD8" w:rsidRPr="00B21DD8" w14:paraId="442ABF72" w14:textId="77777777" w:rsidTr="00B21DD8">
              <w:trPr>
                <w:trHeight w:val="342"/>
              </w:trPr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ED8368" w14:textId="77777777" w:rsidR="00B21DD8" w:rsidRPr="00B21DD8" w:rsidRDefault="00B21DD8" w:rsidP="00B21DD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D712C2" w14:textId="77777777" w:rsidR="00B21DD8" w:rsidRPr="00B21DD8" w:rsidRDefault="00B21DD8" w:rsidP="00B21DD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F77E8E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BF04E0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21DD8" w:rsidRPr="00B21DD8" w14:paraId="39FC2E98" w14:textId="77777777" w:rsidTr="00B21DD8">
              <w:trPr>
                <w:trHeight w:val="342"/>
              </w:trPr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FF497D" w14:textId="77777777" w:rsidR="00B21DD8" w:rsidRPr="00B21DD8" w:rsidRDefault="00B21DD8" w:rsidP="00B21DD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B3086A" w14:textId="77777777" w:rsidR="00B21DD8" w:rsidRPr="00B21DD8" w:rsidRDefault="00B21DD8" w:rsidP="00B21DD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56B9B4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1EF726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21DD8" w:rsidRPr="00B21DD8" w14:paraId="70B6A2CA" w14:textId="77777777" w:rsidTr="00B21DD8">
              <w:trPr>
                <w:trHeight w:val="342"/>
              </w:trPr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944321" w14:textId="77777777" w:rsidR="00B21DD8" w:rsidRPr="00B21DD8" w:rsidRDefault="00B21DD8" w:rsidP="00B21DD8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4E00E86" w14:textId="77777777" w:rsidR="00B21DD8" w:rsidRPr="00B21DD8" w:rsidRDefault="00B21DD8" w:rsidP="00B21DD8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99F3BC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2850F5" w14:textId="77777777" w:rsidR="00B21DD8" w:rsidRPr="00B21DD8" w:rsidRDefault="00B21DD8" w:rsidP="00B21DD8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B21DD8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</w:tr>
          </w:tbl>
          <w:p w14:paraId="743214B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32F54FCE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50E4B15D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80353ED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2B76685" w14:textId="1E5FE51D" w:rsidR="00EB3D1B" w:rsidRDefault="00926236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70752DB4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E48077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A6738F7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5014F32" w14:textId="6C197EAF" w:rsidR="001B79E5" w:rsidRDefault="00926236" w:rsidP="001B79E5">
                <w:pPr>
                  <w:pStyle w:val="Tablefont"/>
                </w:pPr>
                <w:r>
                  <w:t>124.14</w:t>
                </w:r>
              </w:p>
            </w:tc>
          </w:sdtContent>
        </w:sdt>
      </w:tr>
      <w:tr w:rsidR="00A31D99" w:rsidRPr="004C23F4" w14:paraId="78FE811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C53DD1E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08567CCD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482A41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6AB272C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F0A9853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7D1959A" w14:textId="77777777" w:rsidTr="00EA6243">
        <w:trPr>
          <w:cantSplit/>
        </w:trPr>
        <w:tc>
          <w:tcPr>
            <w:tcW w:w="4077" w:type="dxa"/>
            <w:vAlign w:val="center"/>
          </w:tcPr>
          <w:p w14:paraId="32DDA441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BF3174B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81A9009" w14:textId="77777777" w:rsidTr="00EA6243">
        <w:trPr>
          <w:cantSplit/>
        </w:trPr>
        <w:tc>
          <w:tcPr>
            <w:tcW w:w="4077" w:type="dxa"/>
            <w:vAlign w:val="center"/>
          </w:tcPr>
          <w:p w14:paraId="7E650A6F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54E4E3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6391883" w14:textId="77777777" w:rsidTr="00EA6243">
        <w:trPr>
          <w:cantSplit/>
        </w:trPr>
        <w:tc>
          <w:tcPr>
            <w:tcW w:w="4077" w:type="dxa"/>
            <w:vAlign w:val="center"/>
          </w:tcPr>
          <w:p w14:paraId="1E1461C5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0EF77466" w14:textId="77777777" w:rsidR="00E06F40" w:rsidRPr="00A006A0" w:rsidRDefault="00D14E1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76E40EB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0D49152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7BBD3D5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5E79890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D68D9FE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5D7DBC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517CEE4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6A7FC4F4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2B3C332" w14:textId="3778A605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C5FF471" w14:textId="77777777" w:rsidR="009F7DEF" w:rsidRDefault="00965DF6" w:rsidP="00EA4B11">
      <w:r w:rsidRPr="00965DF6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42D81DC0" w14:textId="6D0E65B0" w:rsidR="00EA4B11" w:rsidRDefault="00EA4B11" w:rsidP="00EA4B11">
      <w:r w:rsidRPr="002022B6">
        <w:t>Health Council of the Netherlands</w:t>
      </w:r>
      <w:r>
        <w:t xml:space="preserve"> (HCOTN) (2011) </w:t>
      </w:r>
      <w:r w:rsidRPr="00B21DD8">
        <w:t>4-Methoxyphenol</w:t>
      </w:r>
      <w:r w:rsidRPr="005F7416">
        <w:t xml:space="preserve">. </w:t>
      </w:r>
      <w:r w:rsidRPr="00B21DD8">
        <w:t xml:space="preserve">Evaluation of the carcinogenicity and </w:t>
      </w:r>
      <w:proofErr w:type="spellStart"/>
      <w:r w:rsidRPr="00B21DD8">
        <w:t>genotoxicity</w:t>
      </w:r>
      <w:proofErr w:type="spellEnd"/>
      <w:r w:rsidRPr="005F7416">
        <w:t>.</w:t>
      </w:r>
      <w:r>
        <w:t xml:space="preserve"> </w:t>
      </w:r>
      <w:r w:rsidRPr="005F7416">
        <w:t xml:space="preserve">Health Council of the Netherlands; publication no. </w:t>
      </w:r>
      <w:r>
        <w:t>2011/28.</w:t>
      </w:r>
    </w:p>
    <w:p w14:paraId="3B6FAEE2" w14:textId="75B34C2D" w:rsidR="00926236" w:rsidRPr="00351FE0" w:rsidRDefault="00926236" w:rsidP="00084859">
      <w:r w:rsidRPr="002022B6">
        <w:t>National Industrial Chemicals Notification and Assessment Scheme (NICNAS)</w:t>
      </w:r>
      <w:r>
        <w:t xml:space="preserve"> (</w:t>
      </w:r>
      <w:r w:rsidRPr="00926236">
        <w:t>2017</w:t>
      </w:r>
      <w:r>
        <w:t xml:space="preserve">) </w:t>
      </w:r>
      <w:r w:rsidRPr="00926236">
        <w:t>Phenol, 4-methoxy</w:t>
      </w:r>
      <w:r w:rsidRPr="0071660C">
        <w:t xml:space="preserve">: Human health </w:t>
      </w:r>
      <w:r w:rsidRPr="00926236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sectPr w:rsidR="00926236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8525D7" w16cid:durableId="21CB39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9B7E" w14:textId="77777777" w:rsidR="007C083E" w:rsidRDefault="007C083E" w:rsidP="00F43AD5">
      <w:pPr>
        <w:spacing w:after="0" w:line="240" w:lineRule="auto"/>
      </w:pPr>
      <w:r>
        <w:separator/>
      </w:r>
    </w:p>
  </w:endnote>
  <w:endnote w:type="continuationSeparator" w:id="0">
    <w:p w14:paraId="103A4228" w14:textId="77777777" w:rsidR="007C083E" w:rsidRDefault="007C083E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D93B" w14:textId="77777777" w:rsidR="00D14E14" w:rsidRDefault="00D14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E66720A" w14:textId="767D2FCE" w:rsidR="008A36CF" w:rsidRDefault="009472F9" w:rsidP="0034744C">
        <w:pPr>
          <w:pStyle w:val="Footer"/>
          <w:rPr>
            <w:sz w:val="18"/>
            <w:szCs w:val="18"/>
          </w:rPr>
        </w:pPr>
        <w:r w:rsidRPr="009472F9">
          <w:rPr>
            <w:b/>
            <w:sz w:val="18"/>
            <w:szCs w:val="18"/>
          </w:rPr>
          <w:t>4-Methoxyphenol</w:t>
        </w:r>
        <w:r w:rsidR="008A36CF">
          <w:rPr>
            <w:b/>
            <w:sz w:val="18"/>
            <w:szCs w:val="18"/>
          </w:rPr>
          <w:t xml:space="preserve"> (</w:t>
        </w:r>
        <w:r w:rsidRPr="009472F9">
          <w:rPr>
            <w:b/>
            <w:sz w:val="18"/>
            <w:szCs w:val="18"/>
          </w:rPr>
          <w:t>150-76-5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3B31F094" w14:textId="14A06CC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14E14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B44BD" w14:textId="77777777" w:rsidR="00D14E14" w:rsidRDefault="00D14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605F1" w14:textId="77777777" w:rsidR="007C083E" w:rsidRDefault="007C083E" w:rsidP="00F43AD5">
      <w:pPr>
        <w:spacing w:after="0" w:line="240" w:lineRule="auto"/>
      </w:pPr>
      <w:r>
        <w:separator/>
      </w:r>
    </w:p>
  </w:footnote>
  <w:footnote w:type="continuationSeparator" w:id="0">
    <w:p w14:paraId="6D5ABC77" w14:textId="77777777" w:rsidR="007C083E" w:rsidRDefault="007C083E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6642" w14:textId="77777777" w:rsidR="00D14E14" w:rsidRDefault="00D14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577B" w14:textId="4942144F" w:rsidR="008A36CF" w:rsidRDefault="00D14E14" w:rsidP="00F43AD5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7DAFB1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36CF">
      <w:rPr>
        <w:noProof/>
        <w:lang w:eastAsia="en-AU"/>
      </w:rPr>
      <w:drawing>
        <wp:inline distT="0" distB="0" distL="0" distR="0" wp14:anchorId="1F50867D" wp14:editId="6F44198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0AB34" w14:textId="77777777" w:rsidR="00D14E14" w:rsidRDefault="00D14E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8A0ED" w14:textId="77777777" w:rsidR="00D14E14" w:rsidRDefault="00D14E14" w:rsidP="00D14E14">
    <w:pPr>
      <w:pStyle w:val="Header"/>
      <w:jc w:val="right"/>
    </w:pPr>
    <w:sdt>
      <w:sdtPr>
        <w:id w:val="1837879566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1FA277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1827339" wp14:editId="448B245A">
          <wp:extent cx="2938272" cy="594360"/>
          <wp:effectExtent l="0" t="0" r="0" b="0"/>
          <wp:docPr id="1" name="Picture 1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6878E0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0D2CC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A0043D"/>
    <w:multiLevelType w:val="hybridMultilevel"/>
    <w:tmpl w:val="729C3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148A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3A61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2436"/>
    <w:rsid w:val="00183823"/>
    <w:rsid w:val="00183942"/>
    <w:rsid w:val="001A009E"/>
    <w:rsid w:val="001A1287"/>
    <w:rsid w:val="001A3859"/>
    <w:rsid w:val="001A3C9D"/>
    <w:rsid w:val="001A43F8"/>
    <w:rsid w:val="001B79E5"/>
    <w:rsid w:val="001D2CA7"/>
    <w:rsid w:val="001D56F0"/>
    <w:rsid w:val="001D663B"/>
    <w:rsid w:val="001D7B41"/>
    <w:rsid w:val="001E46DA"/>
    <w:rsid w:val="001E7D80"/>
    <w:rsid w:val="001F4B6C"/>
    <w:rsid w:val="001F6087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0413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268D"/>
    <w:rsid w:val="0030740C"/>
    <w:rsid w:val="00315833"/>
    <w:rsid w:val="003215EE"/>
    <w:rsid w:val="003224BF"/>
    <w:rsid w:val="00322A44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1706"/>
    <w:rsid w:val="004030BC"/>
    <w:rsid w:val="00403F7D"/>
    <w:rsid w:val="00406785"/>
    <w:rsid w:val="004079B4"/>
    <w:rsid w:val="00417A56"/>
    <w:rsid w:val="00420957"/>
    <w:rsid w:val="00422A10"/>
    <w:rsid w:val="00430179"/>
    <w:rsid w:val="00440B8E"/>
    <w:rsid w:val="004414B5"/>
    <w:rsid w:val="00444482"/>
    <w:rsid w:val="00444B42"/>
    <w:rsid w:val="00445E44"/>
    <w:rsid w:val="004509E2"/>
    <w:rsid w:val="004515EE"/>
    <w:rsid w:val="00451A78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B1729"/>
    <w:rsid w:val="004C1E3F"/>
    <w:rsid w:val="004C23F4"/>
    <w:rsid w:val="004C3475"/>
    <w:rsid w:val="004C58B6"/>
    <w:rsid w:val="004D16A3"/>
    <w:rsid w:val="004D4AA1"/>
    <w:rsid w:val="004D5250"/>
    <w:rsid w:val="004D6D68"/>
    <w:rsid w:val="004E3FB1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2D36"/>
    <w:rsid w:val="005C5D16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C7C98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083E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1AD5"/>
    <w:rsid w:val="008630EE"/>
    <w:rsid w:val="00864D13"/>
    <w:rsid w:val="00871CD5"/>
    <w:rsid w:val="008745A2"/>
    <w:rsid w:val="008768A8"/>
    <w:rsid w:val="0088798F"/>
    <w:rsid w:val="00887E4B"/>
    <w:rsid w:val="008915C8"/>
    <w:rsid w:val="008A194E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6236"/>
    <w:rsid w:val="0093041A"/>
    <w:rsid w:val="00930714"/>
    <w:rsid w:val="00931B03"/>
    <w:rsid w:val="009323B9"/>
    <w:rsid w:val="00932DCE"/>
    <w:rsid w:val="0093327E"/>
    <w:rsid w:val="00934028"/>
    <w:rsid w:val="00935BDE"/>
    <w:rsid w:val="0093760E"/>
    <w:rsid w:val="00946044"/>
    <w:rsid w:val="0094660B"/>
    <w:rsid w:val="00946A33"/>
    <w:rsid w:val="009472F9"/>
    <w:rsid w:val="0095260E"/>
    <w:rsid w:val="009578DD"/>
    <w:rsid w:val="00961124"/>
    <w:rsid w:val="009621B6"/>
    <w:rsid w:val="00965DF6"/>
    <w:rsid w:val="00974F2D"/>
    <w:rsid w:val="00977524"/>
    <w:rsid w:val="00977E88"/>
    <w:rsid w:val="00984920"/>
    <w:rsid w:val="0099303A"/>
    <w:rsid w:val="009971C2"/>
    <w:rsid w:val="009A1254"/>
    <w:rsid w:val="009B2FF2"/>
    <w:rsid w:val="009B34CA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7DEF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35F5F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0D88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1DD8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E2296"/>
    <w:rsid w:val="00BF2406"/>
    <w:rsid w:val="00C06E43"/>
    <w:rsid w:val="00C16315"/>
    <w:rsid w:val="00C3091E"/>
    <w:rsid w:val="00C31EB9"/>
    <w:rsid w:val="00C40FF1"/>
    <w:rsid w:val="00C419E2"/>
    <w:rsid w:val="00C463F1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347"/>
    <w:rsid w:val="00C85A86"/>
    <w:rsid w:val="00C978F0"/>
    <w:rsid w:val="00CA58FE"/>
    <w:rsid w:val="00CB1CB1"/>
    <w:rsid w:val="00CB6BC1"/>
    <w:rsid w:val="00CB6CB8"/>
    <w:rsid w:val="00CC1A68"/>
    <w:rsid w:val="00CC2123"/>
    <w:rsid w:val="00CC728B"/>
    <w:rsid w:val="00CD25C3"/>
    <w:rsid w:val="00CD2BFD"/>
    <w:rsid w:val="00CE5AD6"/>
    <w:rsid w:val="00CE617F"/>
    <w:rsid w:val="00CE78EF"/>
    <w:rsid w:val="00D048F7"/>
    <w:rsid w:val="00D0517E"/>
    <w:rsid w:val="00D140FC"/>
    <w:rsid w:val="00D14E14"/>
    <w:rsid w:val="00D21D8C"/>
    <w:rsid w:val="00D31357"/>
    <w:rsid w:val="00D33220"/>
    <w:rsid w:val="00D334D1"/>
    <w:rsid w:val="00D44C89"/>
    <w:rsid w:val="00D516CD"/>
    <w:rsid w:val="00D539D0"/>
    <w:rsid w:val="00D668E6"/>
    <w:rsid w:val="00D70670"/>
    <w:rsid w:val="00D74D80"/>
    <w:rsid w:val="00D76624"/>
    <w:rsid w:val="00D87570"/>
    <w:rsid w:val="00D90CA6"/>
    <w:rsid w:val="00D91CB9"/>
    <w:rsid w:val="00D97989"/>
    <w:rsid w:val="00D97D8D"/>
    <w:rsid w:val="00DA352E"/>
    <w:rsid w:val="00DC7694"/>
    <w:rsid w:val="00DD1BF6"/>
    <w:rsid w:val="00DD2F9B"/>
    <w:rsid w:val="00DD7072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3494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4B11"/>
    <w:rsid w:val="00EA6243"/>
    <w:rsid w:val="00EA74AB"/>
    <w:rsid w:val="00EB3D1B"/>
    <w:rsid w:val="00ED1D89"/>
    <w:rsid w:val="00ED66BC"/>
    <w:rsid w:val="00EE295E"/>
    <w:rsid w:val="00EE4B27"/>
    <w:rsid w:val="00EF233A"/>
    <w:rsid w:val="00EF303E"/>
    <w:rsid w:val="00EF3A40"/>
    <w:rsid w:val="00EF7F78"/>
    <w:rsid w:val="00F01B08"/>
    <w:rsid w:val="00F01C4D"/>
    <w:rsid w:val="00F01E4C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4E2F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D539D0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7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D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DE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DE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32E4AE36AEA94D5380C0A8F05C66A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F47E-15C5-4EA3-B340-5C95987A7008}"/>
      </w:docPartPr>
      <w:docPartBody>
        <w:p w:rsidR="00841C7A" w:rsidRDefault="009B06BB" w:rsidP="009B06BB">
          <w:pPr>
            <w:pStyle w:val="32E4AE36AEA94D5380C0A8F05C66A86E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C62A5126F08E49718D1BE191A6591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EE7F-1988-4F65-9FFA-FE0A513FFA51}"/>
      </w:docPartPr>
      <w:docPartBody>
        <w:p w:rsidR="00841C7A" w:rsidRDefault="009B06BB" w:rsidP="009B06BB">
          <w:pPr>
            <w:pStyle w:val="C62A5126F08E49718D1BE191A6591565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68C1587E194426F96362D779A3B8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2F9A8-BF90-422E-9D07-CF4761C0030D}"/>
      </w:docPartPr>
      <w:docPartBody>
        <w:p w:rsidR="009569CE" w:rsidRDefault="00C665FD" w:rsidP="00C665FD">
          <w:pPr>
            <w:pStyle w:val="568C1587E194426F96362D779A3B82A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31DD48ADF4A8468B9285B924C388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84621-A06C-4BAB-B7CF-C553BA9C1E3F}"/>
      </w:docPartPr>
      <w:docPartBody>
        <w:p w:rsidR="00962A5F" w:rsidRDefault="00AB1C80" w:rsidP="00AB1C80">
          <w:pPr>
            <w:pStyle w:val="31DD48ADF4A8468B9285B924C3885E1E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513276"/>
    <w:rsid w:val="00841C7A"/>
    <w:rsid w:val="009569CE"/>
    <w:rsid w:val="00962A5F"/>
    <w:rsid w:val="009B06BB"/>
    <w:rsid w:val="00AB1C80"/>
    <w:rsid w:val="00C17676"/>
    <w:rsid w:val="00C665FD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C80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32E4AE36AEA94D5380C0A8F05C66A86E">
    <w:name w:val="32E4AE36AEA94D5380C0A8F05C66A86E"/>
    <w:rsid w:val="009B06BB"/>
  </w:style>
  <w:style w:type="paragraph" w:customStyle="1" w:styleId="C62A5126F08E49718D1BE191A6591565">
    <w:name w:val="C62A5126F08E49718D1BE191A6591565"/>
    <w:rsid w:val="009B06BB"/>
  </w:style>
  <w:style w:type="paragraph" w:customStyle="1" w:styleId="D93D3E85571B4AF18C39EEFF683B6F02">
    <w:name w:val="D93D3E85571B4AF18C39EEFF683B6F02"/>
    <w:rsid w:val="009B06BB"/>
  </w:style>
  <w:style w:type="paragraph" w:customStyle="1" w:styleId="C6A3324770D646A9ACD7B88C69E2B201">
    <w:name w:val="C6A3324770D646A9ACD7B88C69E2B201"/>
    <w:rsid w:val="009B06BB"/>
  </w:style>
  <w:style w:type="paragraph" w:customStyle="1" w:styleId="5F602426466F43BC8CCAE7E7A4583367">
    <w:name w:val="5F602426466F43BC8CCAE7E7A4583367"/>
    <w:rsid w:val="009B06BB"/>
  </w:style>
  <w:style w:type="paragraph" w:customStyle="1" w:styleId="8498E1F75DC04926B357C5ADA15C6F5A">
    <w:name w:val="8498E1F75DC04926B357C5ADA15C6F5A"/>
    <w:rsid w:val="009B06BB"/>
  </w:style>
  <w:style w:type="paragraph" w:customStyle="1" w:styleId="CBB37139ED694ABA80916454E40FE645">
    <w:name w:val="CBB37139ED694ABA80916454E40FE645"/>
    <w:rsid w:val="009B06BB"/>
  </w:style>
  <w:style w:type="paragraph" w:customStyle="1" w:styleId="EB4103F474ED4DBD9A7F748172A5832F">
    <w:name w:val="EB4103F474ED4DBD9A7F748172A5832F"/>
    <w:rsid w:val="00C665FD"/>
    <w:rPr>
      <w:lang w:val="en-US" w:eastAsia="en-US"/>
    </w:rPr>
  </w:style>
  <w:style w:type="paragraph" w:customStyle="1" w:styleId="0FFF936CEA994713B4FB20A1F0F67FD9">
    <w:name w:val="0FFF936CEA994713B4FB20A1F0F67FD9"/>
    <w:rsid w:val="00C665FD"/>
    <w:rPr>
      <w:lang w:val="en-US" w:eastAsia="en-US"/>
    </w:rPr>
  </w:style>
  <w:style w:type="paragraph" w:customStyle="1" w:styleId="A241DFB797BD4FEAA386FDB90EF9C8D5">
    <w:name w:val="A241DFB797BD4FEAA386FDB90EF9C8D5"/>
    <w:rsid w:val="00C665FD"/>
    <w:rPr>
      <w:lang w:val="en-US" w:eastAsia="en-US"/>
    </w:rPr>
  </w:style>
  <w:style w:type="paragraph" w:customStyle="1" w:styleId="568C1587E194426F96362D779A3B82A3">
    <w:name w:val="568C1587E194426F96362D779A3B82A3"/>
    <w:rsid w:val="00C665FD"/>
    <w:rPr>
      <w:lang w:val="en-US" w:eastAsia="en-US"/>
    </w:rPr>
  </w:style>
  <w:style w:type="paragraph" w:customStyle="1" w:styleId="31DD48ADF4A8468B9285B924C3885E1E">
    <w:name w:val="31DD48ADF4A8468B9285B924C3885E1E"/>
    <w:rsid w:val="00AB1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terms/"/>
    <ds:schemaRef ds:uri="http://schemas.openxmlformats.org/package/2006/metadata/core-properties"/>
    <ds:schemaRef ds:uri="http://purl.org/dc/dcmitype/"/>
    <ds:schemaRef ds:uri="bf54d604-3e62-4e70-ba33-9e9084b96a6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05A086-5D69-4BC2-B1E1-75CF7D73E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C71C3-93D4-4BD0-8998-67FBFF45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D868CB5.dotm</Template>
  <TotalTime>419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23</cp:revision>
  <cp:lastPrinted>2018-10-22T22:41:00Z</cp:lastPrinted>
  <dcterms:created xsi:type="dcterms:W3CDTF">2019-09-09T04:18:00Z</dcterms:created>
  <dcterms:modified xsi:type="dcterms:W3CDTF">2020-01-30T00:40:00Z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