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39975F2" w14:textId="17637B89" w:rsidR="00BD499F" w:rsidRPr="004C23F4" w:rsidRDefault="00627A2C" w:rsidP="00B40C60">
          <w:pPr>
            <w:pStyle w:val="Heading1"/>
            <w:jc w:val="center"/>
            <w:rPr>
              <w:rFonts w:ascii="Arial" w:hAnsi="Arial" w:cs="Arial"/>
            </w:rPr>
          </w:pPr>
          <w:r w:rsidRPr="00627A2C">
            <w:rPr>
              <w:rFonts w:ascii="Arial" w:hAnsi="Arial" w:cs="Arial"/>
            </w:rPr>
            <w:t>Ethyl bromide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8"/>
        <w:gridCol w:w="5048"/>
      </w:tblGrid>
      <w:tr w:rsidR="00F43AD5" w:rsidRPr="004C23F4" w14:paraId="7B088EF3" w14:textId="77777777" w:rsidTr="00B76A41">
        <w:trPr>
          <w:cantSplit/>
          <w:tblHeader/>
        </w:trPr>
        <w:tc>
          <w:tcPr>
            <w:tcW w:w="4077" w:type="dxa"/>
          </w:tcPr>
          <w:p w14:paraId="314E78B1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A78E57C" w14:textId="7BAE3EC0" w:rsidR="00F43AD5" w:rsidRPr="00717D45" w:rsidRDefault="00CE631C" w:rsidP="00B76A41">
            <w:pPr>
              <w:pStyle w:val="Tablefont"/>
            </w:pPr>
            <w:r w:rsidRPr="00CE631C">
              <w:t>74-96-4</w:t>
            </w:r>
          </w:p>
        </w:tc>
      </w:tr>
      <w:tr w:rsidR="00F43AD5" w:rsidRPr="004C23F4" w14:paraId="7CFBE535" w14:textId="77777777" w:rsidTr="00B76A41">
        <w:trPr>
          <w:cantSplit/>
        </w:trPr>
        <w:tc>
          <w:tcPr>
            <w:tcW w:w="4077" w:type="dxa"/>
          </w:tcPr>
          <w:p w14:paraId="1260F65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CD831D1" w14:textId="74D5EEAD" w:rsidR="00F43AD5" w:rsidRPr="00717D45" w:rsidRDefault="00CE631C" w:rsidP="00B76A41">
            <w:pPr>
              <w:pStyle w:val="Tablefont"/>
            </w:pPr>
            <w:r>
              <w:t xml:space="preserve">Bromic ether, </w:t>
            </w:r>
            <w:proofErr w:type="spellStart"/>
            <w:r w:rsidR="004B15F5">
              <w:t>bromoethane</w:t>
            </w:r>
            <w:proofErr w:type="spellEnd"/>
            <w:r>
              <w:t xml:space="preserve">, </w:t>
            </w:r>
            <w:proofErr w:type="spellStart"/>
            <w:r w:rsidR="004B15F5">
              <w:t>hydrobromic</w:t>
            </w:r>
            <w:proofErr w:type="spellEnd"/>
            <w:r w:rsidR="004B15F5">
              <w:t xml:space="preserve"> </w:t>
            </w:r>
            <w:r>
              <w:t xml:space="preserve">ether, </w:t>
            </w:r>
            <w:proofErr w:type="spellStart"/>
            <w:r w:rsidR="004B15F5">
              <w:t>monobromoethane</w:t>
            </w:r>
            <w:proofErr w:type="spellEnd"/>
          </w:p>
        </w:tc>
      </w:tr>
      <w:tr w:rsidR="00F43AD5" w:rsidRPr="004C23F4" w14:paraId="7E335260" w14:textId="77777777" w:rsidTr="00B76A41">
        <w:trPr>
          <w:cantSplit/>
        </w:trPr>
        <w:tc>
          <w:tcPr>
            <w:tcW w:w="4077" w:type="dxa"/>
          </w:tcPr>
          <w:p w14:paraId="66950AA1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7EC59D5F" w14:textId="6A31E2EE" w:rsidR="00F43AD5" w:rsidRPr="00717D45" w:rsidRDefault="00CE631C" w:rsidP="00B76A41">
            <w:pPr>
              <w:pStyle w:val="Tablefont"/>
            </w:pPr>
            <w:r>
              <w:t>C</w:t>
            </w:r>
            <w:r w:rsidRPr="00CE631C">
              <w:rPr>
                <w:vertAlign w:val="subscript"/>
              </w:rPr>
              <w:t>2</w:t>
            </w:r>
            <w:r>
              <w:t>H</w:t>
            </w:r>
            <w:r w:rsidRPr="00CE631C">
              <w:rPr>
                <w:vertAlign w:val="subscript"/>
              </w:rPr>
              <w:t>5</w:t>
            </w:r>
            <w:r>
              <w:t>Br</w:t>
            </w:r>
          </w:p>
        </w:tc>
      </w:tr>
      <w:tr w:rsidR="00F43AD5" w:rsidRPr="004C23F4" w14:paraId="12DD6251" w14:textId="77777777" w:rsidTr="00B76A41">
        <w:trPr>
          <w:cantSplit/>
        </w:trPr>
        <w:tc>
          <w:tcPr>
            <w:tcW w:w="4077" w:type="dxa"/>
          </w:tcPr>
          <w:p w14:paraId="11EC194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9934C28" w14:textId="622752A7" w:rsidR="00F43AD5" w:rsidRPr="004B15F5" w:rsidRDefault="00CE631C" w:rsidP="00B76A41">
            <w:pPr>
              <w:pStyle w:val="Tablerowheading"/>
              <w:rPr>
                <w:b w:val="0"/>
              </w:rPr>
            </w:pPr>
            <w:r w:rsidRPr="003B6452">
              <w:rPr>
                <w:b w:val="0"/>
              </w:rPr>
              <w:t>—</w:t>
            </w:r>
          </w:p>
        </w:tc>
      </w:tr>
    </w:tbl>
    <w:p w14:paraId="5211715A" w14:textId="3902E2A4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81A39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6E7C956" w14:textId="77777777" w:rsidTr="00E53346">
        <w:trPr>
          <w:cantSplit/>
          <w:tblHeader/>
        </w:trPr>
        <w:tc>
          <w:tcPr>
            <w:tcW w:w="4005" w:type="dxa"/>
            <w:vAlign w:val="center"/>
          </w:tcPr>
          <w:p w14:paraId="02365ED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AE03896" w14:textId="1694F7BE" w:rsidR="002C7AFE" w:rsidRPr="00C93AB1" w:rsidRDefault="00C93AB1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pp</w:t>
            </w:r>
            <w:r w:rsidR="00DD1DE9">
              <w:rPr>
                <w:b/>
              </w:rPr>
              <w:t>m</w:t>
            </w:r>
            <w:r>
              <w:rPr>
                <w:b/>
              </w:rPr>
              <w:t xml:space="preserve"> (22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2679A60F" w14:textId="77777777" w:rsidTr="00E53346">
        <w:trPr>
          <w:cantSplit/>
        </w:trPr>
        <w:tc>
          <w:tcPr>
            <w:tcW w:w="4005" w:type="dxa"/>
            <w:vAlign w:val="center"/>
          </w:tcPr>
          <w:p w14:paraId="05238F95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40480877" w14:textId="035E57CE" w:rsidR="002C7AFE" w:rsidRPr="00EB3D1B" w:rsidRDefault="004B15F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407E782" w14:textId="77777777" w:rsidTr="00E53346">
        <w:trPr>
          <w:cantSplit/>
        </w:trPr>
        <w:tc>
          <w:tcPr>
            <w:tcW w:w="4005" w:type="dxa"/>
            <w:vAlign w:val="center"/>
          </w:tcPr>
          <w:p w14:paraId="23E44559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7452E25" w14:textId="257BCC85" w:rsidR="002C7AFE" w:rsidRPr="00EB3D1B" w:rsidRDefault="004B15F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50187E5" w14:textId="77777777" w:rsidTr="00E53346">
        <w:trPr>
          <w:cantSplit/>
        </w:trPr>
        <w:tc>
          <w:tcPr>
            <w:tcW w:w="4005" w:type="dxa"/>
          </w:tcPr>
          <w:p w14:paraId="3E49243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6FE4DF6" w14:textId="1F753AC8" w:rsidR="002C7AFE" w:rsidRPr="00EB3D1B" w:rsidRDefault="00A87398" w:rsidP="008A36CF">
            <w:pPr>
              <w:pStyle w:val="Tablefont"/>
              <w:rPr>
                <w:b/>
              </w:rPr>
            </w:pPr>
            <w:proofErr w:type="spellStart"/>
            <w:r>
              <w:rPr>
                <w:b/>
              </w:rPr>
              <w:t>Carc</w:t>
            </w:r>
            <w:proofErr w:type="spellEnd"/>
            <w:r>
              <w:rPr>
                <w:b/>
              </w:rPr>
              <w:t xml:space="preserve"> 2, Sk.</w:t>
            </w:r>
          </w:p>
        </w:tc>
      </w:tr>
      <w:tr w:rsidR="002C7AFE" w:rsidRPr="004C23F4" w14:paraId="7A2D878B" w14:textId="77777777" w:rsidTr="00E53346">
        <w:trPr>
          <w:cantSplit/>
        </w:trPr>
        <w:tc>
          <w:tcPr>
            <w:tcW w:w="4005" w:type="dxa"/>
            <w:vAlign w:val="center"/>
          </w:tcPr>
          <w:p w14:paraId="16C73882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3CF7E4F" w14:textId="3AA06691" w:rsidR="002C7AFE" w:rsidRPr="00EB3D1B" w:rsidRDefault="00A87398" w:rsidP="00017C82">
            <w:pPr>
              <w:pStyle w:val="Tablefont"/>
              <w:rPr>
                <w:b/>
              </w:rPr>
            </w:pPr>
            <w:r w:rsidRPr="00A87398">
              <w:rPr>
                <w:b/>
              </w:rPr>
              <w:t>—</w:t>
            </w:r>
          </w:p>
        </w:tc>
      </w:tr>
      <w:tr w:rsidR="00E53346" w:rsidRPr="004C23F4" w14:paraId="32A52DFA" w14:textId="77777777" w:rsidTr="00893A6C">
        <w:trPr>
          <w:cantSplit/>
        </w:trPr>
        <w:tc>
          <w:tcPr>
            <w:tcW w:w="9026" w:type="dxa"/>
            <w:gridSpan w:val="2"/>
            <w:vAlign w:val="center"/>
          </w:tcPr>
          <w:p w14:paraId="3F762639" w14:textId="0D2D12A4" w:rsidR="00E53346" w:rsidRPr="00EB3D1B" w:rsidRDefault="00E53346" w:rsidP="00E53346">
            <w:pPr>
              <w:pStyle w:val="Tablefont"/>
              <w:rPr>
                <w:b/>
              </w:rPr>
            </w:pPr>
            <w:r w:rsidRPr="003D5EC2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0AFE903EAB6C4483935C944053E0EB6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152B9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05E19E6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05AB48C" w14:textId="0CBBA2B5" w:rsidR="00C93AB1" w:rsidRDefault="00C93AB1" w:rsidP="00C93AB1">
      <w:pPr>
        <w:rPr>
          <w:rFonts w:cs="Arial"/>
        </w:rPr>
      </w:pPr>
      <w:r>
        <w:rPr>
          <w:rFonts w:cs="Arial"/>
        </w:rPr>
        <w:t>A TWA of 5 pp</w:t>
      </w:r>
      <w:r w:rsidR="00DD1DE9">
        <w:rPr>
          <w:rFonts w:cs="Arial"/>
        </w:rPr>
        <w:t>m</w:t>
      </w:r>
      <w:r>
        <w:rPr>
          <w:rFonts w:cs="Arial"/>
        </w:rPr>
        <w:t xml:space="preserve"> (22 mg/m</w:t>
      </w:r>
      <w:r w:rsidRPr="00473B36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reduce the risk of cancer and </w:t>
      </w:r>
      <w:r w:rsidR="00585287">
        <w:rPr>
          <w:rFonts w:cs="Arial"/>
        </w:rPr>
        <w:t xml:space="preserve">other </w:t>
      </w:r>
      <w:r>
        <w:rPr>
          <w:rFonts w:cs="Arial"/>
        </w:rPr>
        <w:t>adverse systemic effects in exposed workers.</w:t>
      </w:r>
    </w:p>
    <w:p w14:paraId="2F47B562" w14:textId="7843B87C" w:rsidR="008406C0" w:rsidRPr="00473B36" w:rsidRDefault="008406C0" w:rsidP="00C93AB1">
      <w:pPr>
        <w:rPr>
          <w:rFonts w:cs="Arial"/>
        </w:rPr>
      </w:pPr>
      <w:r>
        <w:rPr>
          <w:rFonts w:cs="Arial"/>
        </w:rPr>
        <w:t xml:space="preserve">A </w:t>
      </w:r>
      <w:r w:rsidR="00381A39">
        <w:rPr>
          <w:rFonts w:cs="Arial"/>
        </w:rPr>
        <w:t>priority evaluation of the available data is recommended at the next scheduled review</w:t>
      </w:r>
      <w:r w:rsidR="001F544B">
        <w:rPr>
          <w:rFonts w:cs="Arial"/>
        </w:rPr>
        <w:t>.</w:t>
      </w:r>
    </w:p>
    <w:p w14:paraId="53197BF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A84BED6" w14:textId="77777777" w:rsidR="00585287" w:rsidRDefault="004F09B2" w:rsidP="00265148">
      <w:r>
        <w:t xml:space="preserve">Ethyl bromide is used as an ethylating agent and solvent in the chemical and pharmaceutical </w:t>
      </w:r>
      <w:proofErr w:type="gramStart"/>
      <w:r>
        <w:t>industries</w:t>
      </w:r>
      <w:proofErr w:type="gramEnd"/>
      <w:r>
        <w:t xml:space="preserve"> and has been used as a refrigerant.</w:t>
      </w:r>
      <w:r w:rsidR="00C93AB1">
        <w:t xml:space="preserve"> </w:t>
      </w:r>
    </w:p>
    <w:p w14:paraId="0FEDE1B3" w14:textId="5C72DB2C" w:rsidR="00EC5E05" w:rsidRDefault="00EC430F" w:rsidP="00DB0901">
      <w:r w:rsidRPr="00EC430F">
        <w:t>There are limited epidemiological data available</w:t>
      </w:r>
      <w:r>
        <w:t>.</w:t>
      </w:r>
      <w:r w:rsidRPr="00EC430F">
        <w:t xml:space="preserve"> </w:t>
      </w:r>
      <w:r w:rsidR="004F09B2" w:rsidRPr="004F09B2">
        <w:t xml:space="preserve">There is evidence to suggest carcinogenicity in experimental animals </w:t>
      </w:r>
      <w:r w:rsidR="00C93AB1">
        <w:t xml:space="preserve">and </w:t>
      </w:r>
      <w:r w:rsidR="008A1A2E">
        <w:t xml:space="preserve">inconclusive </w:t>
      </w:r>
      <w:r w:rsidR="00C93AB1">
        <w:t>results in mutagenic assays.</w:t>
      </w:r>
      <w:r w:rsidR="00123A18" w:rsidRPr="00123A18">
        <w:t xml:space="preserve"> </w:t>
      </w:r>
      <w:r w:rsidR="00123A18">
        <w:t xml:space="preserve">A mechanism for carcinogenicity in animals has not been established. The relevance to carcinogenicity in humans remains unclear </w:t>
      </w:r>
      <w:r w:rsidR="00123A18" w:rsidRPr="004F09B2">
        <w:t>(</w:t>
      </w:r>
      <w:r w:rsidR="00123A18">
        <w:t>ACGIH, 2018</w:t>
      </w:r>
      <w:r w:rsidR="00D80721">
        <w:t>;</w:t>
      </w:r>
      <w:r w:rsidR="00123A18">
        <w:t xml:space="preserve"> NICNAS</w:t>
      </w:r>
      <w:r w:rsidR="00D80721">
        <w:t xml:space="preserve">, </w:t>
      </w:r>
      <w:r w:rsidR="00123A18">
        <w:t>2015</w:t>
      </w:r>
      <w:r w:rsidR="00D80721">
        <w:t>;</w:t>
      </w:r>
      <w:r w:rsidR="00123A18">
        <w:t xml:space="preserve"> NTP,</w:t>
      </w:r>
      <w:r w:rsidR="00D80721">
        <w:t> </w:t>
      </w:r>
      <w:r w:rsidR="00123A18">
        <w:t>1989</w:t>
      </w:r>
      <w:r w:rsidR="00D80721">
        <w:t>;</w:t>
      </w:r>
      <w:r w:rsidR="00123A18">
        <w:t xml:space="preserve"> US</w:t>
      </w:r>
      <w:r w:rsidR="00017130">
        <w:t xml:space="preserve"> </w:t>
      </w:r>
      <w:r w:rsidR="00123A18">
        <w:t>EPA, 1988).</w:t>
      </w:r>
      <w:r w:rsidR="004F09B2" w:rsidRPr="004F09B2">
        <w:t xml:space="preserve"> </w:t>
      </w:r>
    </w:p>
    <w:p w14:paraId="0D1F4608" w14:textId="5DE5F450" w:rsidR="008A1A2E" w:rsidRDefault="008A1A2E" w:rsidP="00DB0901">
      <w:r>
        <w:t xml:space="preserve">A </w:t>
      </w:r>
      <w:r w:rsidR="006229CD">
        <w:t>two</w:t>
      </w:r>
      <w:r>
        <w:t>-year inhalation study in rats and mice noted no significant incidence of adverse effects at 100</w:t>
      </w:r>
      <w:r w:rsidR="006229CD">
        <w:t> </w:t>
      </w:r>
      <w:r>
        <w:t>ppm</w:t>
      </w:r>
      <w:r w:rsidR="003D491A">
        <w:t xml:space="preserve"> and 200 ppm</w:t>
      </w:r>
      <w:r>
        <w:t>.</w:t>
      </w:r>
      <w:r w:rsidR="003D491A">
        <w:t xml:space="preserve"> At 400 ppm</w:t>
      </w:r>
      <w:r>
        <w:t xml:space="preserve"> </w:t>
      </w:r>
      <w:r w:rsidR="003D491A">
        <w:t>tumours in various organs were identified as well as conjunctivitis, pulmonary inflammation and decrease body weights (ACGIH, 2018).</w:t>
      </w:r>
    </w:p>
    <w:p w14:paraId="64168542" w14:textId="148FE894" w:rsidR="008A1A2E" w:rsidRPr="004F09B2" w:rsidRDefault="00204CE7" w:rsidP="00DB0901">
      <w:r>
        <w:rPr>
          <w:rFonts w:cs="Arial"/>
        </w:rPr>
        <w:t xml:space="preserve">Due to </w:t>
      </w:r>
      <w:r>
        <w:t>residual uncertainty regarding the data, t</w:t>
      </w:r>
      <w:r w:rsidR="008A1A2E" w:rsidRPr="008A1A2E">
        <w:t xml:space="preserve">he TWA of 5 ppm is recommended </w:t>
      </w:r>
      <w:r w:rsidR="003D491A">
        <w:t>in the interim</w:t>
      </w:r>
      <w:r w:rsidR="008A1A2E" w:rsidRPr="008A1A2E">
        <w:t xml:space="preserve"> to </w:t>
      </w:r>
      <w:r w:rsidR="003D491A">
        <w:t>protect for system</w:t>
      </w:r>
      <w:r w:rsidR="0061757C">
        <w:t>ic</w:t>
      </w:r>
      <w:r w:rsidR="008A1A2E" w:rsidRPr="008A1A2E">
        <w:t xml:space="preserve"> effects based on the recommendation by ACGIH</w:t>
      </w:r>
      <w:r w:rsidR="003D491A">
        <w:t xml:space="preserve"> (2018).</w:t>
      </w:r>
    </w:p>
    <w:p w14:paraId="34946FBA" w14:textId="2B840FF8" w:rsidR="00EC430F" w:rsidRDefault="00EC430F" w:rsidP="001B5F75">
      <w:r w:rsidRPr="00EC430F">
        <w:t>Given the absence of suitable data about carcinogenicity</w:t>
      </w:r>
      <w:r w:rsidR="0061757C">
        <w:t>,</w:t>
      </w:r>
      <w:r w:rsidRPr="00EC430F">
        <w:t xml:space="preserve"> </w:t>
      </w:r>
      <w:r w:rsidR="00071016" w:rsidRPr="00071016">
        <w:t>a further review of the literature should be undertaken at the next scheduled review</w:t>
      </w:r>
      <w:r>
        <w:t>.</w:t>
      </w:r>
    </w:p>
    <w:p w14:paraId="38349F52" w14:textId="5FABEE08" w:rsidR="004529F0" w:rsidRPr="004C23F4" w:rsidRDefault="004529F0" w:rsidP="004F09B2">
      <w:pPr>
        <w:pStyle w:val="Heading2"/>
      </w:pPr>
      <w:r>
        <w:t>Recommendation for notations</w:t>
      </w:r>
    </w:p>
    <w:p w14:paraId="35EFE091" w14:textId="1428DCEE" w:rsidR="00CE631C" w:rsidRPr="00A70823" w:rsidRDefault="004F09B2" w:rsidP="00CE631C">
      <w:pPr>
        <w:rPr>
          <w:rFonts w:cs="Arial"/>
        </w:rPr>
      </w:pPr>
      <w:r>
        <w:rPr>
          <w:rFonts w:cs="Arial"/>
        </w:rPr>
        <w:t>C</w:t>
      </w:r>
      <w:r w:rsidR="00CE631C" w:rsidRPr="00A70823">
        <w:rPr>
          <w:rFonts w:cs="Arial"/>
        </w:rPr>
        <w:t xml:space="preserve">lassified as a </w:t>
      </w:r>
      <w:r w:rsidR="00A87398">
        <w:rPr>
          <w:rFonts w:cs="Arial"/>
        </w:rPr>
        <w:t xml:space="preserve">category 2 </w:t>
      </w:r>
      <w:r w:rsidR="00CE631C" w:rsidRPr="00A70823">
        <w:rPr>
          <w:rFonts w:cs="Arial"/>
        </w:rPr>
        <w:t>carcinogen according to the Globally Harmonized System of</w:t>
      </w:r>
      <w:r w:rsidR="003B6452">
        <w:rPr>
          <w:rFonts w:cs="Arial"/>
        </w:rPr>
        <w:t xml:space="preserve"> Classification and Labelling of</w:t>
      </w:r>
      <w:r w:rsidR="00CE631C" w:rsidRPr="00A70823">
        <w:rPr>
          <w:rFonts w:cs="Arial"/>
        </w:rPr>
        <w:t xml:space="preserve"> Chemicals (GHS). </w:t>
      </w:r>
    </w:p>
    <w:p w14:paraId="4E86DAAA" w14:textId="15B74422" w:rsidR="00CE631C" w:rsidRPr="00A70823" w:rsidRDefault="00CE631C" w:rsidP="00CE631C">
      <w:pPr>
        <w:rPr>
          <w:rFonts w:cs="Arial"/>
        </w:rPr>
      </w:pPr>
      <w:r w:rsidRPr="00A70823">
        <w:rPr>
          <w:rFonts w:cs="Arial"/>
        </w:rPr>
        <w:lastRenderedPageBreak/>
        <w:t>Not classified as a skin</w:t>
      </w:r>
      <w:r w:rsidR="003B6452">
        <w:rPr>
          <w:rFonts w:cs="Arial"/>
        </w:rPr>
        <w:t xml:space="preserve"> </w:t>
      </w:r>
      <w:r w:rsidR="003D5EC2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267F8A3F" w14:textId="74E4E779" w:rsidR="00CE631C" w:rsidRPr="004C23F4" w:rsidRDefault="004F09B2" w:rsidP="00CE631C">
      <w:pPr>
        <w:rPr>
          <w:rFonts w:cs="Arial"/>
        </w:rPr>
      </w:pPr>
      <w:r>
        <w:rPr>
          <w:rFonts w:cs="Arial"/>
        </w:rPr>
        <w:t>A skin notation is recommended based on evidence of dermal absorption in humans and potential systemic carcinogenic effects.</w:t>
      </w:r>
    </w:p>
    <w:p w14:paraId="4B5A5295" w14:textId="77777777" w:rsidR="0025734A" w:rsidRPr="004C23F4" w:rsidRDefault="0025734A">
      <w:pPr>
        <w:rPr>
          <w:rFonts w:cs="Arial"/>
        </w:rPr>
      </w:pPr>
    </w:p>
    <w:p w14:paraId="3E2CB48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416E87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DE0673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232A5EE" w14:textId="77777777" w:rsidTr="006229CD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4E4378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D59DDDE" w14:textId="77777777" w:rsidTr="006229C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1499B8" w14:textId="5CCFFBCF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45CD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45CDA">
                  <w:t>TWA: 5 ppm (22 mg/m</w:t>
                </w:r>
                <w:r w:rsidR="00645CDA" w:rsidRPr="00645CDA">
                  <w:rPr>
                    <w:vertAlign w:val="superscript"/>
                  </w:rPr>
                  <w:t>3</w:t>
                </w:r>
                <w:r w:rsidR="00645CDA">
                  <w:t>)</w:t>
                </w:r>
              </w:sdtContent>
            </w:sdt>
          </w:p>
        </w:tc>
      </w:tr>
      <w:tr w:rsidR="00C978F0" w:rsidRPr="00DA352E" w14:paraId="59D55A8A" w14:textId="77777777" w:rsidTr="006229CD">
        <w:trPr>
          <w:gridAfter w:val="1"/>
          <w:wAfter w:w="8" w:type="pct"/>
        </w:trPr>
        <w:tc>
          <w:tcPr>
            <w:tcW w:w="4992" w:type="pct"/>
          </w:tcPr>
          <w:p w14:paraId="5BA1661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28AF531" w14:textId="77777777" w:rsidTr="006229CD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8FF3B18" w14:textId="267FBAD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645CDA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645CDA">
                  <w:t>TLV-TWA: 5 ppm (22 mg/m</w:t>
                </w:r>
                <w:r w:rsidR="00645CDA" w:rsidRPr="00645CDA">
                  <w:rPr>
                    <w:vertAlign w:val="superscript"/>
                  </w:rPr>
                  <w:t>3</w:t>
                </w:r>
                <w:r w:rsidR="00645CDA">
                  <w:t>)</w:t>
                </w:r>
              </w:sdtContent>
            </w:sdt>
          </w:p>
        </w:tc>
      </w:tr>
      <w:tr w:rsidR="00C978F0" w:rsidRPr="00DA352E" w14:paraId="6E279881" w14:textId="77777777" w:rsidTr="006229CD">
        <w:trPr>
          <w:gridAfter w:val="1"/>
          <w:wAfter w:w="8" w:type="pct"/>
        </w:trPr>
        <w:tc>
          <w:tcPr>
            <w:tcW w:w="4992" w:type="pct"/>
          </w:tcPr>
          <w:p w14:paraId="79A4C3FA" w14:textId="6035C53C" w:rsidR="00C978F0" w:rsidRDefault="00801BAC" w:rsidP="003365A5">
            <w:pPr>
              <w:pStyle w:val="Tabletextprimarysource"/>
            </w:pPr>
            <w:r>
              <w:t>TLV-TWA recommended to minimise the potential for adverse liver, kidney and cardiac effects and possible cancer.</w:t>
            </w:r>
          </w:p>
          <w:p w14:paraId="4E8EA7FA" w14:textId="44C1652F" w:rsidR="00801BAC" w:rsidRDefault="00801BAC" w:rsidP="003365A5">
            <w:pPr>
              <w:pStyle w:val="Tabletextprimarysource"/>
            </w:pPr>
            <w:r>
              <w:t>Summary of data:</w:t>
            </w:r>
          </w:p>
          <w:p w14:paraId="4A5395EA" w14:textId="6809B3EF" w:rsidR="0052602F" w:rsidRDefault="0052602F" w:rsidP="003365A5">
            <w:pPr>
              <w:pStyle w:val="Tabletextprimarysource"/>
            </w:pPr>
            <w:r>
              <w:t xml:space="preserve">No derivation </w:t>
            </w:r>
            <w:r w:rsidR="001F544B">
              <w:t xml:space="preserve">of TWA </w:t>
            </w:r>
            <w:r>
              <w:t>provided</w:t>
            </w:r>
            <w:r w:rsidR="001F544B">
              <w:t>.</w:t>
            </w:r>
          </w:p>
          <w:p w14:paraId="1A512606" w14:textId="77777777" w:rsidR="00801BAC" w:rsidRDefault="00801BAC" w:rsidP="00801BAC">
            <w:pPr>
              <w:pStyle w:val="Tabletextprimarysource"/>
            </w:pPr>
            <w:r>
              <w:t>Human data:</w:t>
            </w:r>
          </w:p>
          <w:p w14:paraId="45098DF9" w14:textId="3862E216" w:rsidR="00801BAC" w:rsidRDefault="004E5591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detailed epidemiological or human toxicological studies</w:t>
            </w:r>
            <w:r w:rsidR="00585287">
              <w:t xml:space="preserve"> presented</w:t>
            </w:r>
          </w:p>
          <w:p w14:paraId="02BFDA1D" w14:textId="6B92048C" w:rsidR="004E5591" w:rsidRDefault="004E5591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Historically used as anaesthetic with procedural exposures reaching </w:t>
            </w:r>
            <w:r w:rsidR="003C3D5B" w:rsidRPr="001F544B">
              <w:t>≈</w:t>
            </w:r>
            <w:r>
              <w:t>100,000 ppm</w:t>
            </w:r>
          </w:p>
          <w:p w14:paraId="496CD47B" w14:textId="5BC56ED6" w:rsidR="004E5591" w:rsidRDefault="004E5591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Initial increase in pulse rate, followed by a slowed pulse and marked vasodilation; CNS depression, narcosis and anaesthesia </w:t>
            </w:r>
          </w:p>
          <w:p w14:paraId="16F8040A" w14:textId="651E8141" w:rsidR="004E5591" w:rsidRDefault="004E5591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Fatalities have occurred from respiratory or cardiac arrest immediately following anaesthesia or up to 24 h post-treatment</w:t>
            </w:r>
          </w:p>
          <w:p w14:paraId="5BDFB334" w14:textId="7809842D" w:rsidR="004E5591" w:rsidRDefault="004E5591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 single prolonged skin exposure can lead to the absorption of harmful amounts</w:t>
            </w:r>
            <w:r w:rsidR="003D5EC2">
              <w:t>.</w:t>
            </w:r>
          </w:p>
          <w:p w14:paraId="2C043410" w14:textId="77777777" w:rsidR="004E5591" w:rsidRDefault="004E5591" w:rsidP="004E5591">
            <w:pPr>
              <w:pStyle w:val="Tabletextprimarysource"/>
            </w:pPr>
            <w:r>
              <w:t>Animal data:</w:t>
            </w:r>
          </w:p>
          <w:p w14:paraId="38AAE324" w14:textId="2A874F32" w:rsidR="004E5591" w:rsidRDefault="0006496A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E953A3">
              <w:rPr>
                <w:vertAlign w:val="subscript"/>
              </w:rPr>
              <w:t>50</w:t>
            </w:r>
            <w:r w:rsidR="003B6452" w:rsidRPr="001F544B">
              <w:t>:</w:t>
            </w:r>
            <w:r w:rsidR="00591525">
              <w:t xml:space="preserve"> 2,723</w:t>
            </w:r>
            <w:r w:rsidR="0036773F">
              <w:t xml:space="preserve"> ppm</w:t>
            </w:r>
            <w:r w:rsidR="003B6452">
              <w:t xml:space="preserve"> (</w:t>
            </w:r>
            <w:r w:rsidR="00591525">
              <w:t>female rats</w:t>
            </w:r>
            <w:r w:rsidR="003B6452">
              <w:t>)</w:t>
            </w:r>
          </w:p>
          <w:p w14:paraId="23F609A8" w14:textId="67629572" w:rsidR="005C7DC9" w:rsidRDefault="005C7DC9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Autopsy of the animals that died following acute studies revealed damage to the vascular system; congestion and haemorrhage of the lungs; and congestion or degeneration of the liver, kidneys, spleen, pancreas and intestines</w:t>
            </w:r>
          </w:p>
          <w:p w14:paraId="2BA956C0" w14:textId="4C0C25D5" w:rsidR="00591525" w:rsidRDefault="00591525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and rabbits exposed </w:t>
            </w:r>
            <w:r w:rsidR="00294E48">
              <w:t>at</w:t>
            </w:r>
            <w:r>
              <w:t xml:space="preserve"> 538 ppm for 4 h/d for 6 </w:t>
            </w:r>
            <w:proofErr w:type="spellStart"/>
            <w:r>
              <w:t>m</w:t>
            </w:r>
            <w:r w:rsidR="003B6452">
              <w:t>o</w:t>
            </w:r>
            <w:proofErr w:type="spellEnd"/>
            <w:r>
              <w:t xml:space="preserve">; disruption of hepatic function as shown by a decrease in hepatic glycogen and fat levels as well as prolonged </w:t>
            </w:r>
            <w:proofErr w:type="spellStart"/>
            <w:r>
              <w:t>hexenal</w:t>
            </w:r>
            <w:proofErr w:type="spellEnd"/>
            <w:r>
              <w:t xml:space="preserve"> sleep</w:t>
            </w:r>
          </w:p>
          <w:p w14:paraId="44B6D3B4" w14:textId="436A703B" w:rsidR="00BE6EDD" w:rsidRDefault="003B6452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</w:t>
            </w:r>
            <w:r w:rsidR="00BE6EDD">
              <w:t>etected in the exhaled air of rabbits after 20 min of skin contact (no further information); shown to be absorbed through intact rabbit skin</w:t>
            </w:r>
          </w:p>
          <w:p w14:paraId="2C6FED05" w14:textId="7A8C7066" w:rsidR="005C7DC9" w:rsidRDefault="00750A29" w:rsidP="00BA476D">
            <w:pPr>
              <w:pStyle w:val="ListBullet"/>
              <w:spacing w:before="60" w:after="60"/>
              <w:ind w:left="714" w:hanging="357"/>
              <w:contextualSpacing w:val="0"/>
            </w:pPr>
            <w:bookmarkStart w:id="1" w:name="_Hlk26437682"/>
            <w:r>
              <w:t>2</w:t>
            </w:r>
            <w:r w:rsidR="004B15F5">
              <w:t xml:space="preserve"> </w:t>
            </w:r>
            <w:proofErr w:type="spellStart"/>
            <w:r>
              <w:t>yr</w:t>
            </w:r>
            <w:proofErr w:type="spellEnd"/>
            <w:r w:rsidR="00BE6EDD">
              <w:t xml:space="preserve"> inhalation study in rats and mice; </w:t>
            </w:r>
            <w:r w:rsidR="00DB0901">
              <w:t>0, 100, 200 or 400</w:t>
            </w:r>
            <w:r w:rsidR="00C32A42">
              <w:t xml:space="preserve"> ppm for 6 h/d, 5 d/</w:t>
            </w:r>
            <w:proofErr w:type="spellStart"/>
            <w:r w:rsidR="00C32A42">
              <w:t>wk</w:t>
            </w:r>
            <w:proofErr w:type="spellEnd"/>
            <w:r w:rsidR="00C32A42">
              <w:t xml:space="preserve"> for 2 </w:t>
            </w:r>
            <w:proofErr w:type="spellStart"/>
            <w:r w:rsidR="00C32A42">
              <w:t>yr</w:t>
            </w:r>
            <w:proofErr w:type="spellEnd"/>
            <w:r w:rsidR="00C32A42">
              <w:t>:</w:t>
            </w:r>
          </w:p>
          <w:p w14:paraId="1F2BA06D" w14:textId="0EED2F14" w:rsidR="001B5F75" w:rsidRDefault="001B5F75" w:rsidP="00C32A4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100 ppm and 200 ppm, no significant incidence of adverse effects</w:t>
            </w:r>
          </w:p>
          <w:p w14:paraId="6AF554A4" w14:textId="68036D6B" w:rsidR="001B5F75" w:rsidRDefault="001B5F75" w:rsidP="00C32A4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400 ppm; an increased incidence of conjunctivitis in exposed female rats and in mice, increased pulmonary inflammation in the females and decreased body weight in males and females as compared to controls</w:t>
            </w:r>
          </w:p>
          <w:p w14:paraId="2599CE4F" w14:textId="2C0C1702" w:rsidR="001B5F75" w:rsidRDefault="001B5F75" w:rsidP="00C32A4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400 ppm increased incidence of nasal and alveolar epithelial hyperplasia</w:t>
            </w:r>
          </w:p>
          <w:p w14:paraId="0E5C3F03" w14:textId="65861A2D" w:rsidR="005C7DC9" w:rsidRDefault="005C7DC9" w:rsidP="00C32A4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female mice developed adenomas,</w:t>
            </w:r>
            <w:r w:rsidR="00DB0901">
              <w:t xml:space="preserve"> </w:t>
            </w:r>
            <w:r w:rsidR="00BE6EDD">
              <w:t>adenocarcinomas and squamous cell carcinomas of the uterus</w:t>
            </w:r>
            <w:r>
              <w:t>; combined frequency of 56% at 400 ppm; combine frequency of 11% at 200 ppm; combined frequency of 8% at 100 ppm; and 0% for controls</w:t>
            </w:r>
          </w:p>
          <w:p w14:paraId="2AE42773" w14:textId="49B03B48" w:rsidR="005C7DC9" w:rsidRDefault="005C7DC9" w:rsidP="00C32A4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metastasised neoplasms in other organs likely responsible for decreased survival in female mice exposed at 400 ppm </w:t>
            </w:r>
          </w:p>
          <w:p w14:paraId="4F7050DE" w14:textId="5D735B14" w:rsidR="005C7DC9" w:rsidRDefault="005C7DC9" w:rsidP="00C32A4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male rats: increased production of </w:t>
            </w:r>
            <w:proofErr w:type="spellStart"/>
            <w:r>
              <w:t>pheochromocytomas</w:t>
            </w:r>
            <w:proofErr w:type="spellEnd"/>
            <w:r>
              <w:t xml:space="preserve"> of the adrenal medulla and granular cell neoplasms of the brain at 100 ppm; </w:t>
            </w:r>
            <w:r w:rsidR="00BE6EDD">
              <w:t>pulmonary adenomas and carcinomas</w:t>
            </w:r>
            <w:bookmarkEnd w:id="1"/>
            <w:r>
              <w:t xml:space="preserve"> at 200 ppm; not dose</w:t>
            </w:r>
            <w:r w:rsidR="002536E0">
              <w:t>-</w:t>
            </w:r>
            <w:r>
              <w:t>related and not statistical significant from controls</w:t>
            </w:r>
          </w:p>
          <w:p w14:paraId="5B94B2B8" w14:textId="572D728F" w:rsidR="00BE6EDD" w:rsidRDefault="005C7DC9" w:rsidP="00C32A4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female</w:t>
            </w:r>
            <w:proofErr w:type="gramEnd"/>
            <w:r>
              <w:t xml:space="preserve"> rats exposed at 400 ppm: marginal, </w:t>
            </w:r>
            <w:proofErr w:type="spellStart"/>
            <w:r>
              <w:t>nonsignificant</w:t>
            </w:r>
            <w:proofErr w:type="spellEnd"/>
            <w:r>
              <w:t xml:space="preserve"> increase in granular cell tumours of the brain and adenomas of the lung</w:t>
            </w:r>
            <w:r w:rsidR="00C92DCE">
              <w:t>.</w:t>
            </w:r>
          </w:p>
          <w:p w14:paraId="6F9F2A77" w14:textId="77777777" w:rsidR="00C32A42" w:rsidRDefault="00C32A42" w:rsidP="00750A29">
            <w:pPr>
              <w:pStyle w:val="Tabletextprimarysource"/>
            </w:pPr>
          </w:p>
          <w:p w14:paraId="5FE92A62" w14:textId="69B8BFB3" w:rsidR="008614E2" w:rsidRDefault="00750A29" w:rsidP="00750A29">
            <w:pPr>
              <w:pStyle w:val="Tabletextprimarysource"/>
            </w:pPr>
            <w:r>
              <w:t xml:space="preserve">Positive mutagenicity in </w:t>
            </w:r>
            <w:r w:rsidRPr="00E953A3">
              <w:rPr>
                <w:i/>
              </w:rPr>
              <w:t>S</w:t>
            </w:r>
            <w:r w:rsidR="00585287" w:rsidRPr="00E953A3">
              <w:rPr>
                <w:i/>
              </w:rPr>
              <w:t>.</w:t>
            </w:r>
            <w:r w:rsidRPr="00E953A3">
              <w:rPr>
                <w:i/>
              </w:rPr>
              <w:t xml:space="preserve"> </w:t>
            </w:r>
            <w:proofErr w:type="spellStart"/>
            <w:r w:rsidRPr="00E953A3">
              <w:rPr>
                <w:i/>
              </w:rPr>
              <w:t>typhimurium</w:t>
            </w:r>
            <w:proofErr w:type="spellEnd"/>
            <w:r>
              <w:t xml:space="preserve"> </w:t>
            </w:r>
            <w:r w:rsidR="008614E2">
              <w:t>strains TA1535, TA102 and TA100, negative in TA98</w:t>
            </w:r>
            <w:r w:rsidR="00DB0901">
              <w:t>; no further information</w:t>
            </w:r>
          </w:p>
          <w:p w14:paraId="161A26B4" w14:textId="75C47173" w:rsidR="00DB0901" w:rsidRDefault="00DB0901" w:rsidP="001F544B">
            <w:pPr>
              <w:pStyle w:val="Tabletextprimarysource"/>
            </w:pPr>
            <w:r>
              <w:t xml:space="preserve">In other tests; negative for mutagenicity in </w:t>
            </w:r>
            <w:r w:rsidRPr="00E953A3">
              <w:rPr>
                <w:i/>
              </w:rPr>
              <w:t xml:space="preserve">S. </w:t>
            </w:r>
            <w:proofErr w:type="spellStart"/>
            <w:r w:rsidRPr="00E953A3">
              <w:rPr>
                <w:i/>
              </w:rPr>
              <w:t>typhimurium</w:t>
            </w:r>
            <w:proofErr w:type="spellEnd"/>
            <w:r>
              <w:t xml:space="preserve"> in the standard non-enclosed NTP assay with and without S9 activation; with enclosed system positive with and without S9 activation</w:t>
            </w:r>
          </w:p>
          <w:p w14:paraId="45402974" w14:textId="7518B8BA" w:rsidR="00750A29" w:rsidRPr="001F544B" w:rsidRDefault="008614E2" w:rsidP="00750A29">
            <w:pPr>
              <w:pStyle w:val="Tabletextprimarysource"/>
            </w:pPr>
            <w:r>
              <w:t xml:space="preserve">Positive mutagenicity in as tryptophan dependent </w:t>
            </w:r>
            <w:r w:rsidRPr="001F544B">
              <w:rPr>
                <w:i/>
              </w:rPr>
              <w:t>E. coli</w:t>
            </w:r>
            <w:r>
              <w:t xml:space="preserve"> strain </w:t>
            </w:r>
            <w:proofErr w:type="gramStart"/>
            <w:r>
              <w:t>WP2(</w:t>
            </w:r>
            <w:proofErr w:type="spellStart"/>
            <w:proofErr w:type="gramEnd"/>
            <w:r>
              <w:t>hc</w:t>
            </w:r>
            <w:proofErr w:type="spellEnd"/>
            <w:r>
              <w:t>-) mutants</w:t>
            </w:r>
            <w:r w:rsidR="003D5EC2" w:rsidRPr="001F544B">
              <w:t>.</w:t>
            </w:r>
          </w:p>
          <w:p w14:paraId="47ED1ABD" w14:textId="7C618BE1" w:rsidR="00902389" w:rsidRPr="00750A29" w:rsidRDefault="00902389" w:rsidP="00750A29">
            <w:pPr>
              <w:pStyle w:val="Tabletextprimarysource"/>
            </w:pPr>
          </w:p>
        </w:tc>
      </w:tr>
      <w:tr w:rsidR="00C978F0" w:rsidRPr="00DA352E" w14:paraId="5E73684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127086" w14:textId="0A1D477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645CDA">
                  <w:t>1996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645CDA">
                  <w:t>Not assigned</w:t>
                </w:r>
              </w:sdtContent>
            </w:sdt>
          </w:p>
        </w:tc>
      </w:tr>
      <w:tr w:rsidR="00C978F0" w:rsidRPr="00DA352E" w14:paraId="59BBC91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DCD671" w14:textId="77777777" w:rsidR="00C978F0" w:rsidRDefault="00C96D9D" w:rsidP="003365A5">
            <w:pPr>
              <w:pStyle w:val="Tabletextprimarysource"/>
            </w:pPr>
            <w:r>
              <w:t>Summary of additional data:</w:t>
            </w:r>
          </w:p>
          <w:p w14:paraId="7925257F" w14:textId="35419280" w:rsidR="00C96D9D" w:rsidRDefault="00C96D9D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not assigned due to carcinogenicity</w:t>
            </w:r>
          </w:p>
          <w:p w14:paraId="2F9E0DB2" w14:textId="0A3DFF28" w:rsidR="008614E2" w:rsidRDefault="008614E2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Carcinogenicity studies in rat</w:t>
            </w:r>
            <w:r w:rsidR="002536E0">
              <w:t>s</w:t>
            </w:r>
            <w:r>
              <w:t xml:space="preserve"> and </w:t>
            </w:r>
            <w:r w:rsidR="002536E0">
              <w:t xml:space="preserve">mice </w:t>
            </w:r>
            <w:r>
              <w:t>demonstrate carcinogenic potential in animals; insufficient evidence to evaluate carcinogenicity in humans</w:t>
            </w:r>
          </w:p>
          <w:p w14:paraId="72E47252" w14:textId="335971CB" w:rsidR="00C96D9D" w:rsidRDefault="00C96D9D" w:rsidP="00BA47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Clearly mutagenic in the Ames test in the </w:t>
            </w:r>
            <w:r>
              <w:rPr>
                <w:i/>
              </w:rPr>
              <w:t>S</w:t>
            </w:r>
            <w:r w:rsidR="00585287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 w:rsidRPr="00C96D9D">
              <w:rPr>
                <w:i/>
              </w:rPr>
              <w:t>typhimurium</w:t>
            </w:r>
            <w:proofErr w:type="spellEnd"/>
            <w:r w:rsidR="008614E2">
              <w:t xml:space="preserve"> strains TA100 and TA1535; not TA98 (as per ACGIH, 2018)</w:t>
            </w:r>
            <w:r w:rsidR="00A00CB9">
              <w:t>.</w:t>
            </w:r>
          </w:p>
          <w:p w14:paraId="0C7403A0" w14:textId="75E1CF8E" w:rsidR="00902389" w:rsidRPr="00DA352E" w:rsidRDefault="00902389" w:rsidP="00266A6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73CE6D3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1E91DC" w14:textId="2E70A35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645CD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645CDA">
                  <w:t>NA</w:t>
                </w:r>
                <w:proofErr w:type="spellEnd"/>
              </w:sdtContent>
            </w:sdt>
          </w:p>
        </w:tc>
      </w:tr>
      <w:tr w:rsidR="00C978F0" w:rsidRPr="00DA352E" w14:paraId="4CAC409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412EC6" w14:textId="4F2DF23E" w:rsidR="00C978F0" w:rsidRPr="00DA352E" w:rsidRDefault="00645CDA" w:rsidP="003365A5">
            <w:pPr>
              <w:pStyle w:val="Tabletextprimarysource"/>
            </w:pPr>
            <w:r>
              <w:t>No report</w:t>
            </w:r>
            <w:r w:rsidR="00A87398">
              <w:t>.</w:t>
            </w:r>
          </w:p>
        </w:tc>
      </w:tr>
      <w:tr w:rsidR="00DA352E" w:rsidRPr="00DA352E" w14:paraId="33C5648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735BDF7" w14:textId="46FBCAB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45CD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645CDA">
                  <w:t>NA</w:t>
                </w:r>
                <w:proofErr w:type="spellEnd"/>
              </w:sdtContent>
            </w:sdt>
          </w:p>
        </w:tc>
      </w:tr>
      <w:tr w:rsidR="00DA352E" w:rsidRPr="00DA352E" w14:paraId="0053352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AF5B6D" w14:textId="03BFA7D1" w:rsidR="00DA352E" w:rsidRPr="00DA352E" w:rsidRDefault="00645CDA" w:rsidP="003365A5">
            <w:pPr>
              <w:pStyle w:val="Tabletextprimarysource"/>
            </w:pPr>
            <w:r>
              <w:t>No report</w:t>
            </w:r>
            <w:r w:rsidR="00A87398">
              <w:t>.</w:t>
            </w:r>
          </w:p>
        </w:tc>
      </w:tr>
      <w:tr w:rsidR="00DA352E" w:rsidRPr="00DA352E" w14:paraId="67BDF85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32AB066" w14:textId="4D7B51C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45CD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645CDA">
                  <w:t>NA</w:t>
                </w:r>
                <w:proofErr w:type="spellEnd"/>
              </w:sdtContent>
            </w:sdt>
          </w:p>
        </w:tc>
      </w:tr>
      <w:tr w:rsidR="00DA352E" w:rsidRPr="00DA352E" w14:paraId="34A8359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DEE2902" w14:textId="615330AA" w:rsidR="00DA352E" w:rsidRPr="00DA352E" w:rsidRDefault="00C96D9D" w:rsidP="003365A5">
            <w:pPr>
              <w:pStyle w:val="Tabletextprimarysource"/>
            </w:pPr>
            <w:r>
              <w:t>No report</w:t>
            </w:r>
            <w:r w:rsidR="00A87398">
              <w:t>.</w:t>
            </w:r>
          </w:p>
        </w:tc>
      </w:tr>
    </w:tbl>
    <w:p w14:paraId="341D22CC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14:paraId="2070100F" w14:textId="77777777" w:rsidTr="004F09B2">
        <w:trPr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5CCCBB6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3D7F2F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3450D1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5B13C4C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724E6F70" w14:textId="77777777" w:rsidTr="004F09B2">
        <w:trPr>
          <w:cantSplit/>
        </w:trPr>
        <w:tc>
          <w:tcPr>
            <w:tcW w:w="1495" w:type="dxa"/>
          </w:tcPr>
          <w:p w14:paraId="09DE946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AF07841" w14:textId="0CAEC749" w:rsidR="004966BF" w:rsidRPr="00CE617F" w:rsidRDefault="007B69D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C96D9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64235F9" w14:textId="4D9DA3CB" w:rsidR="004966BF" w:rsidRPr="004C23F4" w:rsidRDefault="00C96D9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7" w:type="dxa"/>
          </w:tcPr>
          <w:p w14:paraId="38989E86" w14:textId="77777777" w:rsidR="004966BF" w:rsidRDefault="004F09B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Critical effect of systemic long-term carcinogenicity</w:t>
            </w:r>
          </w:p>
          <w:p w14:paraId="51B0B225" w14:textId="77777777" w:rsidR="004F09B2" w:rsidRDefault="004F09B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Volunteers exposed at 6,500 ppm for 5 min developed mild eye irritation</w:t>
            </w:r>
          </w:p>
          <w:p w14:paraId="4E8BCCE5" w14:textId="77777777" w:rsidR="002E3E64" w:rsidRDefault="004F09B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Positive mutagenicity</w:t>
            </w:r>
          </w:p>
          <w:p w14:paraId="251D5B90" w14:textId="3F1FF7BD" w:rsidR="004F09B2" w:rsidRPr="004C23F4" w:rsidRDefault="002E3E64" w:rsidP="00266A6F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</w:t>
            </w:r>
            <w:r w:rsidRPr="002E3E64">
              <w:rPr>
                <w:rStyle w:val="checkbox"/>
                <w:rFonts w:ascii="Arial" w:hAnsi="Arial" w:cs="Arial"/>
              </w:rPr>
              <w:t xml:space="preserve">o appropriate </w:t>
            </w:r>
            <w:r w:rsidRPr="00266A6F">
              <w:rPr>
                <w:rStyle w:val="checkbox"/>
                <w:rFonts w:ascii="Arial" w:hAnsi="Arial" w:cs="Arial"/>
                <w:i/>
              </w:rPr>
              <w:t>in vivo</w:t>
            </w:r>
            <w:r w:rsidRPr="002E3E64">
              <w:rPr>
                <w:rStyle w:val="checkbox"/>
                <w:rFonts w:ascii="Arial" w:hAnsi="Arial" w:cs="Arial"/>
              </w:rPr>
              <w:t xml:space="preserve"> studies are available to determine the genotoxic potential of the chemical.</w:t>
            </w:r>
          </w:p>
        </w:tc>
      </w:tr>
      <w:tr w:rsidR="002E3E64" w:rsidRPr="004C23F4" w14:paraId="44F924D2" w14:textId="77777777" w:rsidTr="004F09B2">
        <w:trPr>
          <w:cantSplit/>
        </w:trPr>
        <w:tc>
          <w:tcPr>
            <w:tcW w:w="1495" w:type="dxa"/>
          </w:tcPr>
          <w:p w14:paraId="0B9EF562" w14:textId="44F3A68B" w:rsidR="002E3E64" w:rsidRDefault="002E3E64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6C386BDE" w14:textId="2996A015" w:rsidR="002E3E64" w:rsidRDefault="007B69D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208459712"/>
                <w:placeholder>
                  <w:docPart w:val="863C5E406C7B4EDD861364FB0841C384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23A1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B8F177D" w14:textId="06A01ED0" w:rsidR="00123A18" w:rsidRDefault="00123A1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1989</w:t>
            </w:r>
          </w:p>
          <w:p w14:paraId="23CC3C23" w14:textId="77777777" w:rsidR="002E3E64" w:rsidRPr="00D70948" w:rsidRDefault="002E3E64" w:rsidP="00D70948"/>
        </w:tc>
        <w:tc>
          <w:tcPr>
            <w:tcW w:w="6447" w:type="dxa"/>
          </w:tcPr>
          <w:p w14:paraId="0A9304BA" w14:textId="3387F6CF" w:rsidR="002E3E64" w:rsidRPr="00123A18" w:rsidRDefault="00123A18" w:rsidP="00BA476D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Evidence</w:t>
            </w:r>
            <w:r w:rsidR="002E3E64">
              <w:t xml:space="preserve"> of carcinogenicity in female mice, with dose-related increases of rare uterine tumours (adenomas, adenocarcinomas or squamous cell carcinomas), reachi</w:t>
            </w:r>
            <w:r>
              <w:t xml:space="preserve">ng statistical significance at </w:t>
            </w:r>
            <w:r>
              <w:rPr>
                <w:rFonts w:cs="Arial"/>
              </w:rPr>
              <w:t>≥</w:t>
            </w:r>
            <w:r w:rsidR="002E3E64">
              <w:t>200 ppm</w:t>
            </w:r>
          </w:p>
          <w:p w14:paraId="4B84E95B" w14:textId="7B5BBFF9" w:rsidR="00123A18" w:rsidRDefault="00123A18" w:rsidP="00BA476D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 xml:space="preserve">Increased incidences of alveolar/bronchiolar carcinomas and combined adenomas or carcinomas were observed in male mice at </w:t>
            </w:r>
            <w:r>
              <w:rPr>
                <w:rFonts w:cs="Arial"/>
              </w:rPr>
              <w:t>≥</w:t>
            </w:r>
            <w:r>
              <w:t>200 ppm</w:t>
            </w:r>
            <w:r w:rsidR="00902389">
              <w:t>.</w:t>
            </w:r>
          </w:p>
        </w:tc>
      </w:tr>
      <w:tr w:rsidR="002E3E64" w:rsidRPr="004C23F4" w14:paraId="53FA8714" w14:textId="77777777" w:rsidTr="004F09B2">
        <w:trPr>
          <w:cantSplit/>
        </w:trPr>
        <w:tc>
          <w:tcPr>
            <w:tcW w:w="1495" w:type="dxa"/>
          </w:tcPr>
          <w:p w14:paraId="320D7A1E" w14:textId="79FA73FA" w:rsidR="002E3E64" w:rsidRDefault="002E3E64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4A12AFD5" w14:textId="65F9C8AE" w:rsidR="002E3E64" w:rsidRDefault="007B69DC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471025413"/>
                <w:placeholder>
                  <w:docPart w:val="FBEC1A1A3283459599225A82C089A136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E3E6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9F05D8A" w14:textId="6DABED8E" w:rsidR="002E3E64" w:rsidRDefault="002E3E6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1988</w:t>
            </w:r>
          </w:p>
        </w:tc>
        <w:tc>
          <w:tcPr>
            <w:tcW w:w="6447" w:type="dxa"/>
          </w:tcPr>
          <w:p w14:paraId="5A7B41CA" w14:textId="77777777" w:rsidR="002E3E64" w:rsidRPr="002E3E64" w:rsidRDefault="002E3E64" w:rsidP="00C32A42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2E3E64">
              <w:rPr>
                <w:rStyle w:val="checkbox"/>
                <w:rFonts w:ascii="Arial" w:hAnsi="Arial" w:cs="Arial"/>
              </w:rPr>
              <w:t>Inadequate human and anima</w:t>
            </w:r>
            <w:r>
              <w:rPr>
                <w:rStyle w:val="checkbox"/>
                <w:rFonts w:ascii="Arial" w:hAnsi="Arial" w:cs="Arial"/>
              </w:rPr>
              <w:t xml:space="preserve">l data; </w:t>
            </w:r>
            <w:r>
              <w:t>not classifiable as to human carcinogenicity</w:t>
            </w:r>
          </w:p>
          <w:p w14:paraId="254144D6" w14:textId="66FD6B81" w:rsidR="002E3E64" w:rsidRDefault="002E3E64" w:rsidP="00C32A42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 xml:space="preserve">Has shown </w:t>
            </w:r>
            <w:proofErr w:type="spellStart"/>
            <w:r>
              <w:t>genotoxicity</w:t>
            </w:r>
            <w:proofErr w:type="spellEnd"/>
            <w:r w:rsidR="00902389">
              <w:t>.</w:t>
            </w:r>
          </w:p>
        </w:tc>
      </w:tr>
    </w:tbl>
    <w:bookmarkEnd w:id="2"/>
    <w:p w14:paraId="584C34E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70E3752B" w14:textId="77777777" w:rsidTr="003B6452">
        <w:trPr>
          <w:trHeight w:val="454"/>
          <w:tblHeader/>
        </w:trPr>
        <w:tc>
          <w:tcPr>
            <w:tcW w:w="6609" w:type="dxa"/>
            <w:vAlign w:val="center"/>
          </w:tcPr>
          <w:p w14:paraId="7E96753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6D1C472D" w14:textId="6596E1AF" w:rsidR="002E0D61" w:rsidRDefault="00DB090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368025F7" w14:textId="77777777" w:rsidTr="003B6452">
        <w:trPr>
          <w:trHeight w:val="454"/>
        </w:trPr>
        <w:tc>
          <w:tcPr>
            <w:tcW w:w="6609" w:type="dxa"/>
            <w:vAlign w:val="center"/>
          </w:tcPr>
          <w:p w14:paraId="6112DB2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tc>
          <w:tcPr>
            <w:tcW w:w="2417" w:type="dxa"/>
            <w:vAlign w:val="center"/>
          </w:tcPr>
          <w:p w14:paraId="2B6E0345" w14:textId="1E3B0306" w:rsidR="008A36CF" w:rsidRDefault="007B69DC" w:rsidP="008A36CF">
            <w:pPr>
              <w:pStyle w:val="Tablefont"/>
              <w:keepNext/>
              <w:keepLines/>
              <w:spacing w:before="40" w:after="40"/>
            </w:pPr>
            <w:sdt>
              <w:sdtPr>
                <w:id w:val="-1035572737"/>
                <w:placeholder>
                  <w:docPart w:val="5CBFEC560F894890BBD09B93174FFAE0"/>
                </w:placeholder>
                <w:comboBox>
                  <w:listItem w:value="Choose an item."/>
                  <w:listItem w:displayText="Yes" w:value="Yes"/>
                  <w:listItem w:displayText="No" w:value="No"/>
                  <w:listItem w:displayText="Insufficient data" w:value="Insufficient data"/>
                  <w:listItem w:displayText="NA" w:value="NA"/>
                </w:comboBox>
              </w:sdtPr>
              <w:sdtEndPr/>
              <w:sdtContent>
                <w:r w:rsidR="00123A18">
                  <w:t>Insufficient data</w:t>
                </w:r>
              </w:sdtContent>
            </w:sdt>
          </w:p>
        </w:tc>
      </w:tr>
      <w:tr w:rsidR="008A36CF" w14:paraId="6D09F747" w14:textId="77777777" w:rsidTr="003B645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6D3D3B89" w14:textId="269D6D5F" w:rsidR="008A36CF" w:rsidRPr="006901A2" w:rsidRDefault="00123A1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6121E98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2383F06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0D9B66E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7AB3328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DD649C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B2519FC" w14:textId="77777777" w:rsidTr="00812887">
        <w:trPr>
          <w:cantSplit/>
        </w:trPr>
        <w:tc>
          <w:tcPr>
            <w:tcW w:w="3227" w:type="dxa"/>
          </w:tcPr>
          <w:p w14:paraId="7B3870F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F52160F" w14:textId="31FFA398" w:rsidR="00687890" w:rsidRPr="00DD2F9B" w:rsidRDefault="00D93FF8" w:rsidP="00DD2F9B">
            <w:pPr>
              <w:pStyle w:val="Tablefont"/>
            </w:pPr>
            <w:proofErr w:type="spellStart"/>
            <w:r w:rsidRPr="00D93FF8">
              <w:t>Carc</w:t>
            </w:r>
            <w:proofErr w:type="spellEnd"/>
            <w:r w:rsidRPr="00D93FF8">
              <w:t>. 2</w:t>
            </w:r>
            <w:r>
              <w:t xml:space="preserve">, </w:t>
            </w:r>
            <w:r w:rsidRPr="00D93FF8">
              <w:t>Skin</w:t>
            </w:r>
          </w:p>
        </w:tc>
      </w:tr>
      <w:tr w:rsidR="007925F0" w:rsidRPr="004C23F4" w14:paraId="68D1C758" w14:textId="77777777" w:rsidTr="00812887">
        <w:trPr>
          <w:cantSplit/>
        </w:trPr>
        <w:tc>
          <w:tcPr>
            <w:tcW w:w="3227" w:type="dxa"/>
          </w:tcPr>
          <w:p w14:paraId="6962BEE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C425C0B" w14:textId="09126138" w:rsidR="007925F0" w:rsidRPr="00DD2F9B" w:rsidRDefault="00D93FF8" w:rsidP="00DD2F9B">
            <w:pPr>
              <w:pStyle w:val="Tablefont"/>
            </w:pPr>
            <w:r w:rsidRPr="00D93FF8">
              <w:t>Carcinogenicity – category 2</w:t>
            </w:r>
          </w:p>
        </w:tc>
      </w:tr>
      <w:tr w:rsidR="00AF483F" w:rsidRPr="004C23F4" w14:paraId="05BB7409" w14:textId="77777777" w:rsidTr="00812887">
        <w:trPr>
          <w:cantSplit/>
        </w:trPr>
        <w:tc>
          <w:tcPr>
            <w:tcW w:w="3227" w:type="dxa"/>
          </w:tcPr>
          <w:p w14:paraId="52D9616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87A4524" w14:textId="7D18445F" w:rsidR="00AF483F" w:rsidRPr="00DD2F9B" w:rsidRDefault="00D93FF8" w:rsidP="00DD2F9B">
            <w:pPr>
              <w:pStyle w:val="Tablefont"/>
            </w:pPr>
            <w:proofErr w:type="spellStart"/>
            <w:r w:rsidRPr="00D93FF8">
              <w:t>Carc</w:t>
            </w:r>
            <w:proofErr w:type="spellEnd"/>
            <w:r w:rsidRPr="00D93FF8">
              <w:t>. Cat 3</w:t>
            </w:r>
          </w:p>
        </w:tc>
      </w:tr>
      <w:tr w:rsidR="00687890" w:rsidRPr="004C23F4" w14:paraId="4FEBCED0" w14:textId="77777777" w:rsidTr="00812887">
        <w:trPr>
          <w:cantSplit/>
        </w:trPr>
        <w:tc>
          <w:tcPr>
            <w:tcW w:w="3227" w:type="dxa"/>
          </w:tcPr>
          <w:p w14:paraId="035F3DC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7D20A8E" w14:textId="636D54D8" w:rsidR="00687890" w:rsidRPr="00DD2F9B" w:rsidRDefault="00D93FF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28E23D71" w14:textId="77777777" w:rsidTr="00812887">
        <w:trPr>
          <w:cantSplit/>
        </w:trPr>
        <w:tc>
          <w:tcPr>
            <w:tcW w:w="3227" w:type="dxa"/>
          </w:tcPr>
          <w:p w14:paraId="2469EAB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E5D35B6" w14:textId="69ADF4C0" w:rsidR="00E41A26" w:rsidRPr="00DD2F9B" w:rsidRDefault="00D93FF8" w:rsidP="00DD2F9B">
            <w:pPr>
              <w:pStyle w:val="Tablefont"/>
            </w:pPr>
            <w:proofErr w:type="spellStart"/>
            <w:r w:rsidRPr="00D93FF8">
              <w:t>Carc</w:t>
            </w:r>
            <w:proofErr w:type="spellEnd"/>
            <w:r w:rsidRPr="00D93FF8">
              <w:t>. 2</w:t>
            </w:r>
          </w:p>
        </w:tc>
      </w:tr>
      <w:tr w:rsidR="002E0D61" w:rsidRPr="004C23F4" w14:paraId="48FB0846" w14:textId="77777777" w:rsidTr="00812887">
        <w:trPr>
          <w:cantSplit/>
        </w:trPr>
        <w:tc>
          <w:tcPr>
            <w:tcW w:w="3227" w:type="dxa"/>
          </w:tcPr>
          <w:p w14:paraId="0A5BE5F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2927E11" w14:textId="273230C1" w:rsidR="002E0D61" w:rsidRPr="00DD2F9B" w:rsidRDefault="00D93FF8" w:rsidP="00DD2F9B">
            <w:pPr>
              <w:pStyle w:val="Tablefont"/>
            </w:pPr>
            <w:r w:rsidRPr="00D93FF8">
              <w:t>Skin</w:t>
            </w:r>
            <w:r>
              <w:t xml:space="preserve">, </w:t>
            </w:r>
            <w:r w:rsidRPr="00D93FF8">
              <w:t>Carcinogenicity – A3</w:t>
            </w:r>
          </w:p>
        </w:tc>
      </w:tr>
      <w:tr w:rsidR="002E0D61" w:rsidRPr="004C23F4" w14:paraId="53053F41" w14:textId="77777777" w:rsidTr="00812887">
        <w:trPr>
          <w:cantSplit/>
        </w:trPr>
        <w:tc>
          <w:tcPr>
            <w:tcW w:w="3227" w:type="dxa"/>
          </w:tcPr>
          <w:p w14:paraId="617944D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451D92D" w14:textId="0637B80D" w:rsidR="002E0D61" w:rsidRPr="00DD2F9B" w:rsidRDefault="00D93FF8" w:rsidP="00DD2F9B">
            <w:pPr>
              <w:pStyle w:val="Tablefont"/>
            </w:pPr>
            <w:r w:rsidRPr="00D93FF8">
              <w:t>H (skin)</w:t>
            </w:r>
          </w:p>
        </w:tc>
      </w:tr>
      <w:tr w:rsidR="002E0D61" w:rsidRPr="004C23F4" w14:paraId="0B69D13F" w14:textId="77777777" w:rsidTr="00812887">
        <w:trPr>
          <w:cantSplit/>
        </w:trPr>
        <w:tc>
          <w:tcPr>
            <w:tcW w:w="3227" w:type="dxa"/>
          </w:tcPr>
          <w:p w14:paraId="0B588B6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EE82895" w14:textId="221C273A" w:rsidR="002E0D61" w:rsidRPr="00DD2F9B" w:rsidRDefault="00D93FF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1519353" w14:textId="77777777" w:rsidTr="00812887">
        <w:trPr>
          <w:cantSplit/>
        </w:trPr>
        <w:tc>
          <w:tcPr>
            <w:tcW w:w="3227" w:type="dxa"/>
          </w:tcPr>
          <w:p w14:paraId="758D0DB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F5314CB" w14:textId="641A6CDD" w:rsidR="002E0D61" w:rsidRPr="00DD2F9B" w:rsidRDefault="00D93FF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BA4D5E3" w14:textId="77777777" w:rsidTr="00812887">
        <w:trPr>
          <w:cantSplit/>
        </w:trPr>
        <w:tc>
          <w:tcPr>
            <w:tcW w:w="3227" w:type="dxa"/>
          </w:tcPr>
          <w:p w14:paraId="618DC05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6191770" w14:textId="2E437F79" w:rsidR="00386093" w:rsidRPr="00DD2F9B" w:rsidRDefault="00D93FF8" w:rsidP="00DD2F9B">
            <w:pPr>
              <w:pStyle w:val="Tablefont"/>
            </w:pPr>
            <w:r w:rsidRPr="00D93FF8">
              <w:t xml:space="preserve">Carcinogenicity – Group </w:t>
            </w:r>
            <w:r w:rsidR="00C92DCE">
              <w:t>3</w:t>
            </w:r>
          </w:p>
        </w:tc>
      </w:tr>
      <w:tr w:rsidR="00386093" w:rsidRPr="004C23F4" w14:paraId="000AEBFA" w14:textId="77777777" w:rsidTr="00812887">
        <w:trPr>
          <w:cantSplit/>
        </w:trPr>
        <w:tc>
          <w:tcPr>
            <w:tcW w:w="3227" w:type="dxa"/>
          </w:tcPr>
          <w:p w14:paraId="5DAE5A20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4C476B7" w14:textId="2962C62C" w:rsidR="00386093" w:rsidRPr="00DD2F9B" w:rsidRDefault="00D93FF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3E0B90B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CBB8D7A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1DC76A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22F765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C52C50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54" w:type="dxa"/>
              <w:tblLook w:val="04A0" w:firstRow="1" w:lastRow="0" w:firstColumn="1" w:lastColumn="0" w:noHBand="0" w:noVBand="1"/>
            </w:tblPr>
            <w:tblGrid>
              <w:gridCol w:w="3826"/>
              <w:gridCol w:w="1129"/>
              <w:gridCol w:w="1129"/>
              <w:gridCol w:w="2726"/>
            </w:tblGrid>
            <w:tr w:rsidR="00750A29" w:rsidRPr="00750A29" w14:paraId="61DE6C05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5DD332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A7C09DE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936849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9147BCE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50A29" w:rsidRPr="00750A29" w14:paraId="182624BE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E2E205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05AA5E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6595BD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2E5957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50A29" w:rsidRPr="00750A29" w14:paraId="389F3227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5C411A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3A3F24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950080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40FFB8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50A29" w:rsidRPr="00750A29" w14:paraId="47D436FB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53C2C1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6355FA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E65F4A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E2834E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50A29" w:rsidRPr="00750A29" w14:paraId="7831742D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4E0789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83F021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A00845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69F039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50A29" w:rsidRPr="00750A29" w14:paraId="6989036F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42C867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0EDA2E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D4EA7B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344D5E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50A29" w:rsidRPr="00750A29" w14:paraId="0A2DB534" w14:textId="77777777" w:rsidTr="00750A29">
              <w:trPr>
                <w:trHeight w:val="329"/>
              </w:trPr>
              <w:tc>
                <w:tcPr>
                  <w:tcW w:w="3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55B5EE" w14:textId="77777777" w:rsidR="00750A29" w:rsidRPr="00750A29" w:rsidRDefault="00750A29" w:rsidP="00750A2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3147ED" w14:textId="77777777" w:rsidR="00750A29" w:rsidRPr="00750A29" w:rsidRDefault="00750A29" w:rsidP="00750A2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A1081E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C14981" w14:textId="77777777" w:rsidR="00750A29" w:rsidRPr="00750A29" w:rsidRDefault="00750A29" w:rsidP="00750A2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50A2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51BF8B6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5"/>
    <w:p w14:paraId="4E5C9D1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59AE81D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204550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B3DB752" w14:textId="3174A19E" w:rsidR="00EB3D1B" w:rsidRDefault="00A87398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16B889D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6513897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8C2045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5ABECEE2" w14:textId="201ED2CF" w:rsidR="001B79E5" w:rsidRDefault="00D93FF8" w:rsidP="001B79E5">
                <w:pPr>
                  <w:pStyle w:val="Tablefont"/>
                </w:pPr>
                <w:r w:rsidRPr="00D93FF8">
                  <w:t>108.97</w:t>
                </w:r>
              </w:p>
            </w:tc>
          </w:sdtContent>
        </w:sdt>
      </w:tr>
      <w:tr w:rsidR="00A31D99" w:rsidRPr="004C23F4" w14:paraId="1A337D2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98CAFFC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65481AA8" w14:textId="7521C258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93FF8">
                  <w:t>4.46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93FF8">
                  <w:t>0.224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F67AB8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454AD5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F89AAB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2CF38B7" w14:textId="77777777" w:rsidTr="00EA6243">
        <w:trPr>
          <w:cantSplit/>
        </w:trPr>
        <w:tc>
          <w:tcPr>
            <w:tcW w:w="4077" w:type="dxa"/>
            <w:vAlign w:val="center"/>
          </w:tcPr>
          <w:p w14:paraId="272BA9D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12064F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D308B91" w14:textId="77777777" w:rsidTr="00EA6243">
        <w:trPr>
          <w:cantSplit/>
        </w:trPr>
        <w:tc>
          <w:tcPr>
            <w:tcW w:w="4077" w:type="dxa"/>
            <w:vAlign w:val="center"/>
          </w:tcPr>
          <w:p w14:paraId="42BFB985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03CF28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7C29DF4" w14:textId="77777777" w:rsidTr="00EA6243">
        <w:trPr>
          <w:cantSplit/>
        </w:trPr>
        <w:tc>
          <w:tcPr>
            <w:tcW w:w="4077" w:type="dxa"/>
            <w:vAlign w:val="center"/>
          </w:tcPr>
          <w:p w14:paraId="5A671CC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0C8F097" w14:textId="77777777" w:rsidR="00E06F40" w:rsidRPr="00A006A0" w:rsidRDefault="007B69DC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0329653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16051A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FBDAB3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A5E5E9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B686E03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72A2CDE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808246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30513B9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767C2CF" w14:textId="4D1E4D6D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1E8D2046" w14:textId="75B0449E" w:rsidR="00D93FF8" w:rsidRDefault="00D93FF8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935881">
        <w:t>1992</w:t>
      </w:r>
      <w:r>
        <w:t xml:space="preserve">) </w:t>
      </w:r>
      <w:r w:rsidR="00935881" w:rsidRPr="00935881">
        <w:t>Ethyl bromide</w:t>
      </w:r>
      <w:r>
        <w:t xml:space="preserve"> – MAK value documentation.</w:t>
      </w:r>
    </w:p>
    <w:p w14:paraId="57F5BF37" w14:textId="77777777" w:rsidR="004B15F5" w:rsidRDefault="004B15F5" w:rsidP="004B15F5">
      <w:r>
        <w:t xml:space="preserve">European Chemicals Agency (ECHA) (2019) </w:t>
      </w:r>
      <w:r w:rsidRPr="00935881">
        <w:t>Ethyl bromide</w:t>
      </w:r>
      <w:r>
        <w:t xml:space="preserve"> – REACH assessment.</w:t>
      </w:r>
    </w:p>
    <w:p w14:paraId="48ACBFC2" w14:textId="77777777" w:rsidR="004B15F5" w:rsidRDefault="004B15F5" w:rsidP="004B15F5">
      <w:r w:rsidRPr="002022B6">
        <w:t>International Agency for Research on Cancer</w:t>
      </w:r>
      <w:r>
        <w:t xml:space="preserve"> (IARC) (</w:t>
      </w:r>
      <w:r w:rsidRPr="00935881">
        <w:t>1999</w:t>
      </w:r>
      <w:r>
        <w:t xml:space="preserve">) </w:t>
      </w:r>
      <w:proofErr w:type="spellStart"/>
      <w:r w:rsidRPr="00935881">
        <w:t>Bromoethane</w:t>
      </w:r>
      <w:proofErr w:type="spellEnd"/>
      <w:r>
        <w:t>. IARC Monographs on the evaluation of the carcinogenic risk to humans.</w:t>
      </w:r>
    </w:p>
    <w:p w14:paraId="5799EA00" w14:textId="2DFE615D" w:rsidR="00D93FF8" w:rsidRDefault="00D93FF8" w:rsidP="00084859">
      <w:r w:rsidRPr="002022B6">
        <w:t>National Industrial Chemicals Notification and Assessment Scheme (NICNAS)</w:t>
      </w:r>
      <w:r>
        <w:t xml:space="preserve"> (</w:t>
      </w:r>
      <w:r w:rsidR="00935881">
        <w:t>2015</w:t>
      </w:r>
      <w:r>
        <w:t xml:space="preserve">) </w:t>
      </w:r>
      <w:r w:rsidR="00935881" w:rsidRPr="00935881">
        <w:t xml:space="preserve">Ethane, </w:t>
      </w:r>
      <w:proofErr w:type="spellStart"/>
      <w:r w:rsidR="00935881" w:rsidRPr="00935881">
        <w:t>bromo</w:t>
      </w:r>
      <w:proofErr w:type="spellEnd"/>
      <w:r w:rsidRPr="0071660C">
        <w:t xml:space="preserve">: Human health </w:t>
      </w:r>
      <w:r w:rsidR="00935881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12E9F2B2" w14:textId="7CBA7E5C" w:rsidR="00123A18" w:rsidRDefault="00123A18" w:rsidP="00084859">
      <w:r>
        <w:t xml:space="preserve">National Toxicology Program (NTP) 1989. Toxicology and Carcinogenesis Studies of </w:t>
      </w:r>
      <w:proofErr w:type="spellStart"/>
      <w:r>
        <w:t>Bromoethane</w:t>
      </w:r>
      <w:proofErr w:type="spellEnd"/>
      <w:r>
        <w:t xml:space="preserve"> (CAS No. 74-96-4) in F344/N Rats and B6C3F1 Mice (Inhalation Studies)</w:t>
      </w:r>
    </w:p>
    <w:p w14:paraId="198E79F9" w14:textId="32186B11" w:rsidR="00123A18" w:rsidRDefault="00123A18" w:rsidP="00084859">
      <w:r w:rsidRPr="00123A18">
        <w:t>US Environmental Protection Agency (US EPA) (</w:t>
      </w:r>
      <w:r>
        <w:t>1998</w:t>
      </w:r>
      <w:r w:rsidRPr="00123A18">
        <w:t xml:space="preserve">) </w:t>
      </w:r>
      <w:proofErr w:type="spellStart"/>
      <w:r>
        <w:t>Bromoethane</w:t>
      </w:r>
      <w:proofErr w:type="spellEnd"/>
      <w:r>
        <w:t xml:space="preserve"> IRIS Chemical Assessment Summary</w:t>
      </w:r>
      <w:r w:rsidRPr="00123A18">
        <w:t>.</w:t>
      </w:r>
    </w:p>
    <w:p w14:paraId="4096A5FA" w14:textId="03B16CC6" w:rsidR="007F3689" w:rsidRPr="00351FE0" w:rsidRDefault="007F3689" w:rsidP="00084859"/>
    <w:sectPr w:rsidR="007F3689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BF31" w14:textId="77777777" w:rsidR="00C8556D" w:rsidRDefault="00C8556D" w:rsidP="00F43AD5">
      <w:pPr>
        <w:spacing w:after="0" w:line="240" w:lineRule="auto"/>
      </w:pPr>
      <w:r>
        <w:separator/>
      </w:r>
    </w:p>
  </w:endnote>
  <w:endnote w:type="continuationSeparator" w:id="0">
    <w:p w14:paraId="5D5C487A" w14:textId="77777777" w:rsidR="00C8556D" w:rsidRDefault="00C8556D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49BA" w14:textId="77777777" w:rsidR="00BD444C" w:rsidRDefault="00BD4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7F253C" w14:textId="0DC3E8F6" w:rsidR="008A36CF" w:rsidRDefault="00CE631C" w:rsidP="0034744C">
        <w:pPr>
          <w:pStyle w:val="Footer"/>
          <w:rPr>
            <w:sz w:val="18"/>
            <w:szCs w:val="18"/>
          </w:rPr>
        </w:pPr>
        <w:r w:rsidRPr="00CE631C">
          <w:rPr>
            <w:b/>
            <w:sz w:val="18"/>
            <w:szCs w:val="18"/>
          </w:rPr>
          <w:t>Ethyl bromide</w:t>
        </w:r>
        <w:r w:rsidR="008A36CF">
          <w:rPr>
            <w:b/>
            <w:sz w:val="18"/>
            <w:szCs w:val="18"/>
          </w:rPr>
          <w:t xml:space="preserve"> (</w:t>
        </w:r>
        <w:r w:rsidRPr="00CE631C">
          <w:rPr>
            <w:b/>
            <w:sz w:val="18"/>
            <w:szCs w:val="18"/>
          </w:rPr>
          <w:t>74-96-4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1C42E2F" w14:textId="17AEB4ED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B69DC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1379" w14:textId="77777777" w:rsidR="00BD444C" w:rsidRDefault="00BD4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16EB" w14:textId="77777777" w:rsidR="00C8556D" w:rsidRDefault="00C8556D" w:rsidP="00F43AD5">
      <w:pPr>
        <w:spacing w:after="0" w:line="240" w:lineRule="auto"/>
      </w:pPr>
      <w:r>
        <w:separator/>
      </w:r>
    </w:p>
  </w:footnote>
  <w:footnote w:type="continuationSeparator" w:id="0">
    <w:p w14:paraId="4E24775C" w14:textId="77777777" w:rsidR="00C8556D" w:rsidRDefault="00C8556D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1FAA" w14:textId="77777777" w:rsidR="00BD444C" w:rsidRDefault="00BD4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44F6" w14:textId="4488ED68" w:rsidR="00DD5953" w:rsidRDefault="007B69DC" w:rsidP="00DD5953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0633FC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D5953">
      <w:rPr>
        <w:noProof/>
        <w:lang w:eastAsia="en-AU"/>
      </w:rPr>
      <w:drawing>
        <wp:inline distT="0" distB="0" distL="0" distR="0" wp14:anchorId="1374FED1" wp14:editId="659FF50D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F6A09" w14:textId="3F143B4E" w:rsidR="008A36CF" w:rsidRPr="00DD5953" w:rsidRDefault="008A36CF" w:rsidP="00DD5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90334" w14:textId="77777777" w:rsidR="00BD444C" w:rsidRDefault="00BD444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DD45" w14:textId="50A62B95" w:rsidR="00DD5953" w:rsidRDefault="007B69DC" w:rsidP="00DD5953">
    <w:pPr>
      <w:pStyle w:val="Header"/>
      <w:jc w:val="right"/>
    </w:pPr>
    <w:sdt>
      <w:sdtPr>
        <w:id w:val="407898331"/>
        <w:docPartObj>
          <w:docPartGallery w:val="Watermarks"/>
          <w:docPartUnique/>
        </w:docPartObj>
      </w:sdtPr>
      <w:sdtEndPr/>
      <w:sdtContent>
        <w:r>
          <w:pict w14:anchorId="017447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D5953">
      <w:rPr>
        <w:noProof/>
        <w:lang w:eastAsia="en-AU"/>
      </w:rPr>
      <w:drawing>
        <wp:inline distT="0" distB="0" distL="0" distR="0" wp14:anchorId="64F50FBE" wp14:editId="6ABC30B9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0C660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CCF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4677C8"/>
    <w:multiLevelType w:val="hybridMultilevel"/>
    <w:tmpl w:val="F1C471DC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635322E6"/>
    <w:multiLevelType w:val="hybridMultilevel"/>
    <w:tmpl w:val="338CD4B6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130"/>
    <w:rsid w:val="00017C82"/>
    <w:rsid w:val="00020B8B"/>
    <w:rsid w:val="00032B88"/>
    <w:rsid w:val="00046DF5"/>
    <w:rsid w:val="00052060"/>
    <w:rsid w:val="0005574A"/>
    <w:rsid w:val="00055FE1"/>
    <w:rsid w:val="00056EC2"/>
    <w:rsid w:val="00060B48"/>
    <w:rsid w:val="0006496A"/>
    <w:rsid w:val="00067F32"/>
    <w:rsid w:val="00071016"/>
    <w:rsid w:val="00071807"/>
    <w:rsid w:val="000803E1"/>
    <w:rsid w:val="00084513"/>
    <w:rsid w:val="00084859"/>
    <w:rsid w:val="00092D94"/>
    <w:rsid w:val="000B0868"/>
    <w:rsid w:val="000B3E12"/>
    <w:rsid w:val="000B3E78"/>
    <w:rsid w:val="000B511A"/>
    <w:rsid w:val="000B7B48"/>
    <w:rsid w:val="000C096D"/>
    <w:rsid w:val="000C139A"/>
    <w:rsid w:val="000C2053"/>
    <w:rsid w:val="000C248C"/>
    <w:rsid w:val="000D291C"/>
    <w:rsid w:val="000D44EF"/>
    <w:rsid w:val="000E5A54"/>
    <w:rsid w:val="000E63D3"/>
    <w:rsid w:val="000E67CF"/>
    <w:rsid w:val="0010461E"/>
    <w:rsid w:val="00106FAA"/>
    <w:rsid w:val="00113443"/>
    <w:rsid w:val="00123A18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2266"/>
    <w:rsid w:val="00183823"/>
    <w:rsid w:val="00183942"/>
    <w:rsid w:val="001A009E"/>
    <w:rsid w:val="001A1287"/>
    <w:rsid w:val="001A3859"/>
    <w:rsid w:val="001A3C9D"/>
    <w:rsid w:val="001A43F8"/>
    <w:rsid w:val="001B500E"/>
    <w:rsid w:val="001B5F75"/>
    <w:rsid w:val="001B79E5"/>
    <w:rsid w:val="001D56F0"/>
    <w:rsid w:val="001D663B"/>
    <w:rsid w:val="001D7B41"/>
    <w:rsid w:val="001E46DA"/>
    <w:rsid w:val="001E7D80"/>
    <w:rsid w:val="001F4B6C"/>
    <w:rsid w:val="001F544B"/>
    <w:rsid w:val="001F62CB"/>
    <w:rsid w:val="001F6ED0"/>
    <w:rsid w:val="001F72E6"/>
    <w:rsid w:val="001F73C5"/>
    <w:rsid w:val="002046A6"/>
    <w:rsid w:val="00204956"/>
    <w:rsid w:val="00204CE7"/>
    <w:rsid w:val="00213640"/>
    <w:rsid w:val="00221547"/>
    <w:rsid w:val="002216FC"/>
    <w:rsid w:val="00222533"/>
    <w:rsid w:val="00222F30"/>
    <w:rsid w:val="00224EE2"/>
    <w:rsid w:val="00227213"/>
    <w:rsid w:val="00227EC7"/>
    <w:rsid w:val="00244AD1"/>
    <w:rsid w:val="002463BC"/>
    <w:rsid w:val="002465CE"/>
    <w:rsid w:val="00246B05"/>
    <w:rsid w:val="002536E0"/>
    <w:rsid w:val="00255AE2"/>
    <w:rsid w:val="0025734A"/>
    <w:rsid w:val="00257E59"/>
    <w:rsid w:val="00263255"/>
    <w:rsid w:val="0026347E"/>
    <w:rsid w:val="00264295"/>
    <w:rsid w:val="00265148"/>
    <w:rsid w:val="00266A6F"/>
    <w:rsid w:val="00276494"/>
    <w:rsid w:val="00277B0C"/>
    <w:rsid w:val="00294E48"/>
    <w:rsid w:val="002B174E"/>
    <w:rsid w:val="002B1A2C"/>
    <w:rsid w:val="002C34F2"/>
    <w:rsid w:val="002C58FF"/>
    <w:rsid w:val="002C7AFE"/>
    <w:rsid w:val="002D05D2"/>
    <w:rsid w:val="002D062F"/>
    <w:rsid w:val="002D1BBF"/>
    <w:rsid w:val="002E0D61"/>
    <w:rsid w:val="002E2E95"/>
    <w:rsid w:val="002E3E64"/>
    <w:rsid w:val="002E4C7B"/>
    <w:rsid w:val="0030740C"/>
    <w:rsid w:val="00315833"/>
    <w:rsid w:val="003215EE"/>
    <w:rsid w:val="003224BF"/>
    <w:rsid w:val="003241A8"/>
    <w:rsid w:val="003253F0"/>
    <w:rsid w:val="00331BB1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773F"/>
    <w:rsid w:val="00370DBF"/>
    <w:rsid w:val="003712F5"/>
    <w:rsid w:val="00381A39"/>
    <w:rsid w:val="00386093"/>
    <w:rsid w:val="003904A4"/>
    <w:rsid w:val="00391841"/>
    <w:rsid w:val="00391B6D"/>
    <w:rsid w:val="00394922"/>
    <w:rsid w:val="003A0E32"/>
    <w:rsid w:val="003A2B94"/>
    <w:rsid w:val="003A5619"/>
    <w:rsid w:val="003B387D"/>
    <w:rsid w:val="003B6452"/>
    <w:rsid w:val="003C0D58"/>
    <w:rsid w:val="003C3D5B"/>
    <w:rsid w:val="003D491A"/>
    <w:rsid w:val="003D4FA3"/>
    <w:rsid w:val="003D5EC2"/>
    <w:rsid w:val="003E0807"/>
    <w:rsid w:val="003E51FB"/>
    <w:rsid w:val="003E6B39"/>
    <w:rsid w:val="003F07E1"/>
    <w:rsid w:val="004030BC"/>
    <w:rsid w:val="00403F7D"/>
    <w:rsid w:val="00406785"/>
    <w:rsid w:val="004079B4"/>
    <w:rsid w:val="00416438"/>
    <w:rsid w:val="00417A56"/>
    <w:rsid w:val="00420957"/>
    <w:rsid w:val="00422A10"/>
    <w:rsid w:val="00425911"/>
    <w:rsid w:val="00430179"/>
    <w:rsid w:val="004414B5"/>
    <w:rsid w:val="00444482"/>
    <w:rsid w:val="00444B42"/>
    <w:rsid w:val="00445E44"/>
    <w:rsid w:val="004509E2"/>
    <w:rsid w:val="004515EE"/>
    <w:rsid w:val="004529F0"/>
    <w:rsid w:val="0045603B"/>
    <w:rsid w:val="00460A03"/>
    <w:rsid w:val="00463BE5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15F5"/>
    <w:rsid w:val="004C1E3F"/>
    <w:rsid w:val="004C23F4"/>
    <w:rsid w:val="004C3475"/>
    <w:rsid w:val="004C58B6"/>
    <w:rsid w:val="004D16A3"/>
    <w:rsid w:val="004D4AA1"/>
    <w:rsid w:val="004D6D68"/>
    <w:rsid w:val="004E5591"/>
    <w:rsid w:val="004E5EDD"/>
    <w:rsid w:val="004F09B2"/>
    <w:rsid w:val="004F448A"/>
    <w:rsid w:val="004F493D"/>
    <w:rsid w:val="004F65E8"/>
    <w:rsid w:val="0050005E"/>
    <w:rsid w:val="00500216"/>
    <w:rsid w:val="00502B88"/>
    <w:rsid w:val="005142C4"/>
    <w:rsid w:val="0051509C"/>
    <w:rsid w:val="00522515"/>
    <w:rsid w:val="0052508C"/>
    <w:rsid w:val="0052602F"/>
    <w:rsid w:val="005272E2"/>
    <w:rsid w:val="0053108F"/>
    <w:rsid w:val="00532B56"/>
    <w:rsid w:val="00534B10"/>
    <w:rsid w:val="005446A2"/>
    <w:rsid w:val="00544D2F"/>
    <w:rsid w:val="00551BD8"/>
    <w:rsid w:val="00552B04"/>
    <w:rsid w:val="00572071"/>
    <w:rsid w:val="00581055"/>
    <w:rsid w:val="00585287"/>
    <w:rsid w:val="00591525"/>
    <w:rsid w:val="00591E38"/>
    <w:rsid w:val="005A19C5"/>
    <w:rsid w:val="005A3034"/>
    <w:rsid w:val="005A462D"/>
    <w:rsid w:val="005B253B"/>
    <w:rsid w:val="005B771D"/>
    <w:rsid w:val="005C5D16"/>
    <w:rsid w:val="005C7DC9"/>
    <w:rsid w:val="005D3193"/>
    <w:rsid w:val="005D4A6E"/>
    <w:rsid w:val="005E6979"/>
    <w:rsid w:val="005E75CB"/>
    <w:rsid w:val="005F77A4"/>
    <w:rsid w:val="006013C1"/>
    <w:rsid w:val="0060669E"/>
    <w:rsid w:val="00610F2E"/>
    <w:rsid w:val="00611399"/>
    <w:rsid w:val="0061757C"/>
    <w:rsid w:val="00617A3A"/>
    <w:rsid w:val="006229CD"/>
    <w:rsid w:val="00624C4E"/>
    <w:rsid w:val="00625200"/>
    <w:rsid w:val="00627A2C"/>
    <w:rsid w:val="006363A8"/>
    <w:rsid w:val="00636DB7"/>
    <w:rsid w:val="006454DA"/>
    <w:rsid w:val="00645CDA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F0B"/>
    <w:rsid w:val="00677D9B"/>
    <w:rsid w:val="00682844"/>
    <w:rsid w:val="006867F3"/>
    <w:rsid w:val="00687890"/>
    <w:rsid w:val="006901A2"/>
    <w:rsid w:val="00690368"/>
    <w:rsid w:val="0069079C"/>
    <w:rsid w:val="00690B53"/>
    <w:rsid w:val="00695B72"/>
    <w:rsid w:val="006A2FD5"/>
    <w:rsid w:val="006B160A"/>
    <w:rsid w:val="006B4E6C"/>
    <w:rsid w:val="006B50B6"/>
    <w:rsid w:val="006C21B2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52DC"/>
    <w:rsid w:val="007365D1"/>
    <w:rsid w:val="00740E0E"/>
    <w:rsid w:val="00750212"/>
    <w:rsid w:val="00750A29"/>
    <w:rsid w:val="00754779"/>
    <w:rsid w:val="0075716D"/>
    <w:rsid w:val="00765F14"/>
    <w:rsid w:val="00770E31"/>
    <w:rsid w:val="007770F1"/>
    <w:rsid w:val="00783FB1"/>
    <w:rsid w:val="00785CDD"/>
    <w:rsid w:val="00786CA2"/>
    <w:rsid w:val="00791847"/>
    <w:rsid w:val="007925F0"/>
    <w:rsid w:val="007939B3"/>
    <w:rsid w:val="0079509C"/>
    <w:rsid w:val="00796708"/>
    <w:rsid w:val="007B1B42"/>
    <w:rsid w:val="007B4300"/>
    <w:rsid w:val="007B69DC"/>
    <w:rsid w:val="007C30EB"/>
    <w:rsid w:val="007E063C"/>
    <w:rsid w:val="007E2A4B"/>
    <w:rsid w:val="007E307D"/>
    <w:rsid w:val="007E6A4E"/>
    <w:rsid w:val="007E6C94"/>
    <w:rsid w:val="007F00C9"/>
    <w:rsid w:val="007F1005"/>
    <w:rsid w:val="007F25E0"/>
    <w:rsid w:val="007F3689"/>
    <w:rsid w:val="007F5328"/>
    <w:rsid w:val="00801BAC"/>
    <w:rsid w:val="00804F5A"/>
    <w:rsid w:val="00810C6D"/>
    <w:rsid w:val="00812887"/>
    <w:rsid w:val="00826F21"/>
    <w:rsid w:val="008343DE"/>
    <w:rsid w:val="00834CC8"/>
    <w:rsid w:val="00835E00"/>
    <w:rsid w:val="00837113"/>
    <w:rsid w:val="008406C0"/>
    <w:rsid w:val="008414E4"/>
    <w:rsid w:val="00843E21"/>
    <w:rsid w:val="0084508E"/>
    <w:rsid w:val="00857A8A"/>
    <w:rsid w:val="008614E2"/>
    <w:rsid w:val="008630EE"/>
    <w:rsid w:val="00864D13"/>
    <w:rsid w:val="00871CD5"/>
    <w:rsid w:val="008745A2"/>
    <w:rsid w:val="008768A8"/>
    <w:rsid w:val="0088798F"/>
    <w:rsid w:val="00887E4B"/>
    <w:rsid w:val="008915C8"/>
    <w:rsid w:val="008A1A2E"/>
    <w:rsid w:val="008A36CF"/>
    <w:rsid w:val="008A381A"/>
    <w:rsid w:val="008A3BC4"/>
    <w:rsid w:val="008B403C"/>
    <w:rsid w:val="008B7983"/>
    <w:rsid w:val="008C2511"/>
    <w:rsid w:val="008D026D"/>
    <w:rsid w:val="008D23AB"/>
    <w:rsid w:val="008D4B8B"/>
    <w:rsid w:val="008D5A78"/>
    <w:rsid w:val="008E18BC"/>
    <w:rsid w:val="008E7B64"/>
    <w:rsid w:val="008F5DCD"/>
    <w:rsid w:val="00900951"/>
    <w:rsid w:val="00902389"/>
    <w:rsid w:val="009118A6"/>
    <w:rsid w:val="00916909"/>
    <w:rsid w:val="00916EC0"/>
    <w:rsid w:val="0091791D"/>
    <w:rsid w:val="00920467"/>
    <w:rsid w:val="00921DE7"/>
    <w:rsid w:val="00927869"/>
    <w:rsid w:val="0093041A"/>
    <w:rsid w:val="00930714"/>
    <w:rsid w:val="00931B03"/>
    <w:rsid w:val="009323B9"/>
    <w:rsid w:val="00932DCE"/>
    <w:rsid w:val="0093327E"/>
    <w:rsid w:val="00934028"/>
    <w:rsid w:val="00935881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7A6B"/>
    <w:rsid w:val="009C123B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E7D8C"/>
    <w:rsid w:val="009F04D2"/>
    <w:rsid w:val="009F05CF"/>
    <w:rsid w:val="009F0F3A"/>
    <w:rsid w:val="00A00CB9"/>
    <w:rsid w:val="00A01D0C"/>
    <w:rsid w:val="00A0643F"/>
    <w:rsid w:val="00A067EE"/>
    <w:rsid w:val="00A10FCE"/>
    <w:rsid w:val="00A152B9"/>
    <w:rsid w:val="00A16D91"/>
    <w:rsid w:val="00A174CC"/>
    <w:rsid w:val="00A2073D"/>
    <w:rsid w:val="00A20751"/>
    <w:rsid w:val="00A27E2D"/>
    <w:rsid w:val="00A31D99"/>
    <w:rsid w:val="00A3235D"/>
    <w:rsid w:val="00A357BA"/>
    <w:rsid w:val="00A35ADC"/>
    <w:rsid w:val="00A402A3"/>
    <w:rsid w:val="00A53681"/>
    <w:rsid w:val="00A633D4"/>
    <w:rsid w:val="00A6461A"/>
    <w:rsid w:val="00A84504"/>
    <w:rsid w:val="00A8672F"/>
    <w:rsid w:val="00A87398"/>
    <w:rsid w:val="00A9279F"/>
    <w:rsid w:val="00A93057"/>
    <w:rsid w:val="00A968B0"/>
    <w:rsid w:val="00AA5ADB"/>
    <w:rsid w:val="00AB2672"/>
    <w:rsid w:val="00AB2817"/>
    <w:rsid w:val="00AB43C4"/>
    <w:rsid w:val="00AC32E7"/>
    <w:rsid w:val="00AC3A9F"/>
    <w:rsid w:val="00AC6D2F"/>
    <w:rsid w:val="00AD11A1"/>
    <w:rsid w:val="00AD58D7"/>
    <w:rsid w:val="00AE2745"/>
    <w:rsid w:val="00AE2F64"/>
    <w:rsid w:val="00AF42CB"/>
    <w:rsid w:val="00AF483F"/>
    <w:rsid w:val="00AF565B"/>
    <w:rsid w:val="00AF5E07"/>
    <w:rsid w:val="00AF5F06"/>
    <w:rsid w:val="00B00A25"/>
    <w:rsid w:val="00B1422A"/>
    <w:rsid w:val="00B1765C"/>
    <w:rsid w:val="00B213C4"/>
    <w:rsid w:val="00B309FD"/>
    <w:rsid w:val="00B40C60"/>
    <w:rsid w:val="00B479A9"/>
    <w:rsid w:val="00B52EDF"/>
    <w:rsid w:val="00B71188"/>
    <w:rsid w:val="00B767F3"/>
    <w:rsid w:val="00B76A41"/>
    <w:rsid w:val="00B87D4C"/>
    <w:rsid w:val="00B93646"/>
    <w:rsid w:val="00BA0B38"/>
    <w:rsid w:val="00BA12E7"/>
    <w:rsid w:val="00BA1DBB"/>
    <w:rsid w:val="00BA4510"/>
    <w:rsid w:val="00BA476D"/>
    <w:rsid w:val="00BA529A"/>
    <w:rsid w:val="00BB4BCB"/>
    <w:rsid w:val="00BB612A"/>
    <w:rsid w:val="00BD444C"/>
    <w:rsid w:val="00BD499F"/>
    <w:rsid w:val="00BD56DE"/>
    <w:rsid w:val="00BE6EDD"/>
    <w:rsid w:val="00BF2406"/>
    <w:rsid w:val="00C06E43"/>
    <w:rsid w:val="00C16315"/>
    <w:rsid w:val="00C3091E"/>
    <w:rsid w:val="00C32A42"/>
    <w:rsid w:val="00C37360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3300"/>
    <w:rsid w:val="00C74833"/>
    <w:rsid w:val="00C850A0"/>
    <w:rsid w:val="00C8556D"/>
    <w:rsid w:val="00C85A86"/>
    <w:rsid w:val="00C92DCE"/>
    <w:rsid w:val="00C93AB1"/>
    <w:rsid w:val="00C96D9D"/>
    <w:rsid w:val="00C978F0"/>
    <w:rsid w:val="00CA58FE"/>
    <w:rsid w:val="00CB1CB1"/>
    <w:rsid w:val="00CB6BC1"/>
    <w:rsid w:val="00CB6CB8"/>
    <w:rsid w:val="00CC1A68"/>
    <w:rsid w:val="00CC2123"/>
    <w:rsid w:val="00CD2BFD"/>
    <w:rsid w:val="00CE0C25"/>
    <w:rsid w:val="00CE5AD6"/>
    <w:rsid w:val="00CE617F"/>
    <w:rsid w:val="00CE631C"/>
    <w:rsid w:val="00CE78EF"/>
    <w:rsid w:val="00D048F7"/>
    <w:rsid w:val="00D0517E"/>
    <w:rsid w:val="00D140FC"/>
    <w:rsid w:val="00D21D8C"/>
    <w:rsid w:val="00D22198"/>
    <w:rsid w:val="00D31357"/>
    <w:rsid w:val="00D33220"/>
    <w:rsid w:val="00D334D1"/>
    <w:rsid w:val="00D412C3"/>
    <w:rsid w:val="00D44C89"/>
    <w:rsid w:val="00D516CD"/>
    <w:rsid w:val="00D53F9A"/>
    <w:rsid w:val="00D668E6"/>
    <w:rsid w:val="00D70670"/>
    <w:rsid w:val="00D70948"/>
    <w:rsid w:val="00D74D80"/>
    <w:rsid w:val="00D76624"/>
    <w:rsid w:val="00D80721"/>
    <w:rsid w:val="00D87570"/>
    <w:rsid w:val="00D91CB9"/>
    <w:rsid w:val="00D93FF8"/>
    <w:rsid w:val="00D97989"/>
    <w:rsid w:val="00D97D8D"/>
    <w:rsid w:val="00DA352E"/>
    <w:rsid w:val="00DB0901"/>
    <w:rsid w:val="00DC732C"/>
    <w:rsid w:val="00DC7694"/>
    <w:rsid w:val="00DD1BF6"/>
    <w:rsid w:val="00DD1DE9"/>
    <w:rsid w:val="00DD2F9B"/>
    <w:rsid w:val="00DD5953"/>
    <w:rsid w:val="00DE2513"/>
    <w:rsid w:val="00DE26E8"/>
    <w:rsid w:val="00DF6F36"/>
    <w:rsid w:val="00E0084C"/>
    <w:rsid w:val="00E025AB"/>
    <w:rsid w:val="00E02B23"/>
    <w:rsid w:val="00E050C5"/>
    <w:rsid w:val="00E06F40"/>
    <w:rsid w:val="00E07CE8"/>
    <w:rsid w:val="00E26A07"/>
    <w:rsid w:val="00E32595"/>
    <w:rsid w:val="00E37CFD"/>
    <w:rsid w:val="00E41A26"/>
    <w:rsid w:val="00E46BCB"/>
    <w:rsid w:val="00E51CAF"/>
    <w:rsid w:val="00E53346"/>
    <w:rsid w:val="00E60F04"/>
    <w:rsid w:val="00E62AAC"/>
    <w:rsid w:val="00E67C2F"/>
    <w:rsid w:val="00E67EF5"/>
    <w:rsid w:val="00E804EA"/>
    <w:rsid w:val="00E80A71"/>
    <w:rsid w:val="00E82337"/>
    <w:rsid w:val="00E83A45"/>
    <w:rsid w:val="00E92499"/>
    <w:rsid w:val="00E949AF"/>
    <w:rsid w:val="00E953A3"/>
    <w:rsid w:val="00E96077"/>
    <w:rsid w:val="00EA0A06"/>
    <w:rsid w:val="00EA6243"/>
    <w:rsid w:val="00EA74AB"/>
    <w:rsid w:val="00EB3D1B"/>
    <w:rsid w:val="00EC430F"/>
    <w:rsid w:val="00EC5E05"/>
    <w:rsid w:val="00ED1D89"/>
    <w:rsid w:val="00ED66BC"/>
    <w:rsid w:val="00EE4DFA"/>
    <w:rsid w:val="00EF233A"/>
    <w:rsid w:val="00EF303E"/>
    <w:rsid w:val="00EF3A40"/>
    <w:rsid w:val="00EF7F78"/>
    <w:rsid w:val="00F01B08"/>
    <w:rsid w:val="00F01C4D"/>
    <w:rsid w:val="00F04999"/>
    <w:rsid w:val="00F053FA"/>
    <w:rsid w:val="00F10C97"/>
    <w:rsid w:val="00F11C71"/>
    <w:rsid w:val="00F16019"/>
    <w:rsid w:val="00F20E68"/>
    <w:rsid w:val="00F22093"/>
    <w:rsid w:val="00F236DF"/>
    <w:rsid w:val="00F26A3E"/>
    <w:rsid w:val="00F43AD5"/>
    <w:rsid w:val="00F4402E"/>
    <w:rsid w:val="00F556F3"/>
    <w:rsid w:val="00F56DD0"/>
    <w:rsid w:val="00F57E96"/>
    <w:rsid w:val="00F6491C"/>
    <w:rsid w:val="00F67BBB"/>
    <w:rsid w:val="00F87D92"/>
    <w:rsid w:val="00F90AA7"/>
    <w:rsid w:val="00F92498"/>
    <w:rsid w:val="00F9496B"/>
    <w:rsid w:val="00F970C9"/>
    <w:rsid w:val="00FA06A8"/>
    <w:rsid w:val="00FA0C82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01BAC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5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5F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F5"/>
    <w:rPr>
      <w:b/>
      <w:bCs/>
      <w:szCs w:val="20"/>
    </w:rPr>
  </w:style>
  <w:style w:type="paragraph" w:styleId="Revision">
    <w:name w:val="Revision"/>
    <w:hidden/>
    <w:uiPriority w:val="99"/>
    <w:semiHidden/>
    <w:rsid w:val="00D70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0AFE903EAB6C4483935C944053E0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53DA-3E91-4921-9BC6-60BCF6C6D864}"/>
      </w:docPartPr>
      <w:docPartBody>
        <w:p w:rsidR="00DB5400" w:rsidRDefault="00485604" w:rsidP="00485604">
          <w:pPr>
            <w:pStyle w:val="0AFE903EAB6C4483935C944053E0EB62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FBEC1A1A3283459599225A82C089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B235-27DF-47E7-B5CC-38A7BA21D3AB}"/>
      </w:docPartPr>
      <w:docPartBody>
        <w:p w:rsidR="008D6A2A" w:rsidRDefault="00C5772F" w:rsidP="00C5772F">
          <w:pPr>
            <w:pStyle w:val="FBEC1A1A3283459599225A82C089A136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863C5E406C7B4EDD861364FB0841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D269-EFF5-4AB1-B422-8910AD7E1C29}"/>
      </w:docPartPr>
      <w:docPartBody>
        <w:p w:rsidR="008D6A2A" w:rsidRDefault="00C5772F" w:rsidP="00C5772F">
          <w:pPr>
            <w:pStyle w:val="863C5E406C7B4EDD861364FB0841C384"/>
          </w:pPr>
          <w:r w:rsidRPr="00724F1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85604"/>
    <w:rsid w:val="004D780A"/>
    <w:rsid w:val="00543A63"/>
    <w:rsid w:val="0064654E"/>
    <w:rsid w:val="008D6A2A"/>
    <w:rsid w:val="00C5772F"/>
    <w:rsid w:val="00D21A9F"/>
    <w:rsid w:val="00DB5400"/>
    <w:rsid w:val="00E0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72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E0850E214496471D9CA8A87BFB7AADC5">
    <w:name w:val="E0850E214496471D9CA8A87BFB7AADC5"/>
    <w:rsid w:val="0064654E"/>
  </w:style>
  <w:style w:type="paragraph" w:customStyle="1" w:styleId="7CBEBD192ADC44BA80D1876B6DE04778">
    <w:name w:val="7CBEBD192ADC44BA80D1876B6DE04778"/>
    <w:rsid w:val="0064654E"/>
  </w:style>
  <w:style w:type="paragraph" w:customStyle="1" w:styleId="47414A3140FD41929E59C1F4B1840DD3">
    <w:name w:val="47414A3140FD41929E59C1F4B1840DD3"/>
    <w:rsid w:val="0064654E"/>
  </w:style>
  <w:style w:type="paragraph" w:customStyle="1" w:styleId="35C1DC70A54D400198420821987AC667">
    <w:name w:val="35C1DC70A54D400198420821987AC667"/>
    <w:rsid w:val="0064654E"/>
  </w:style>
  <w:style w:type="paragraph" w:customStyle="1" w:styleId="943B67D77BEA4B2494A9FF280913626C">
    <w:name w:val="943B67D77BEA4B2494A9FF280913626C"/>
    <w:rsid w:val="0064654E"/>
  </w:style>
  <w:style w:type="paragraph" w:customStyle="1" w:styleId="3D1DCCA4FE7F45AFBC37635852E6621D">
    <w:name w:val="3D1DCCA4FE7F45AFBC37635852E6621D"/>
    <w:rsid w:val="0064654E"/>
  </w:style>
  <w:style w:type="paragraph" w:customStyle="1" w:styleId="A5B5B218E8414EB3857DA9D6554BD5F2">
    <w:name w:val="A5B5B218E8414EB3857DA9D6554BD5F2"/>
    <w:rsid w:val="0064654E"/>
  </w:style>
  <w:style w:type="paragraph" w:customStyle="1" w:styleId="BBBE15E72CED479EA42D9349D4F2E4AA">
    <w:name w:val="BBBE15E72CED479EA42D9349D4F2E4AA"/>
    <w:rsid w:val="0064654E"/>
  </w:style>
  <w:style w:type="paragraph" w:customStyle="1" w:styleId="433EE53E912C451594B775311C8BC9DF">
    <w:name w:val="433EE53E912C451594B775311C8BC9DF"/>
    <w:rsid w:val="0064654E"/>
  </w:style>
  <w:style w:type="paragraph" w:customStyle="1" w:styleId="2E64483D985C45A5AA41E06792CD0DEC">
    <w:name w:val="2E64483D985C45A5AA41E06792CD0DEC"/>
    <w:rsid w:val="0064654E"/>
  </w:style>
  <w:style w:type="paragraph" w:customStyle="1" w:styleId="3481B574CBB84F7F81B0FA6AD4CC357A">
    <w:name w:val="3481B574CBB84F7F81B0FA6AD4CC357A"/>
    <w:rsid w:val="0064654E"/>
  </w:style>
  <w:style w:type="paragraph" w:customStyle="1" w:styleId="018F1710046E4190A4BC0869A31C53CD">
    <w:name w:val="018F1710046E4190A4BC0869A31C53CD"/>
    <w:rsid w:val="0064654E"/>
  </w:style>
  <w:style w:type="paragraph" w:customStyle="1" w:styleId="F6A8E4232A4047498A3BE1EDBE88F91C">
    <w:name w:val="F6A8E4232A4047498A3BE1EDBE88F91C"/>
    <w:rsid w:val="0064654E"/>
  </w:style>
  <w:style w:type="paragraph" w:customStyle="1" w:styleId="0AFE903EAB6C4483935C944053E0EB62">
    <w:name w:val="0AFE903EAB6C4483935C944053E0EB62"/>
    <w:rsid w:val="00485604"/>
  </w:style>
  <w:style w:type="paragraph" w:customStyle="1" w:styleId="FBEC1A1A3283459599225A82C089A136">
    <w:name w:val="FBEC1A1A3283459599225A82C089A136"/>
    <w:rsid w:val="00C5772F"/>
  </w:style>
  <w:style w:type="paragraph" w:customStyle="1" w:styleId="863C5E406C7B4EDD861364FB0841C384">
    <w:name w:val="863C5E406C7B4EDD861364FB0841C384"/>
    <w:rsid w:val="00C5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3D9B-D90E-4081-ACC5-3C6AD12106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1FA774-C155-46B5-B06E-B1E5760F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580E9-4C8A-4467-A753-B2938DA59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FFF5A-464E-4728-BFFF-1397498B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2019-11-15T05:17:00Z</dcterms:created>
  <dcterms:modified xsi:type="dcterms:W3CDTF">2020-01-30T03:52:00Z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