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0196E93" w14:textId="67E20D75" w:rsidR="00BD499F" w:rsidRPr="004C23F4" w:rsidRDefault="00DE5894" w:rsidP="00B40C60">
          <w:pPr>
            <w:pStyle w:val="Heading1"/>
            <w:jc w:val="center"/>
            <w:rPr>
              <w:rFonts w:ascii="Arial" w:hAnsi="Arial" w:cs="Arial"/>
            </w:rPr>
          </w:pPr>
          <w:r w:rsidRPr="00DE5894">
            <w:rPr>
              <w:rFonts w:ascii="Arial" w:hAnsi="Arial" w:cs="Arial"/>
            </w:rPr>
            <w:t>Fonofos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55"/>
        <w:gridCol w:w="5071"/>
      </w:tblGrid>
      <w:tr w:rsidR="00F43AD5" w:rsidRPr="004C23F4" w14:paraId="435F8A89" w14:textId="77777777" w:rsidTr="00B76A41">
        <w:trPr>
          <w:cantSplit/>
          <w:tblHeader/>
        </w:trPr>
        <w:tc>
          <w:tcPr>
            <w:tcW w:w="4077" w:type="dxa"/>
          </w:tcPr>
          <w:p w14:paraId="0AB3B0E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A957969" w14:textId="0C30B015" w:rsidR="00F43AD5" w:rsidRPr="00717D45" w:rsidRDefault="00060D41" w:rsidP="00B76A41">
            <w:pPr>
              <w:pStyle w:val="Tablefont"/>
            </w:pPr>
            <w:r w:rsidRPr="00060D41">
              <w:t>944-22-9</w:t>
            </w:r>
          </w:p>
        </w:tc>
      </w:tr>
      <w:tr w:rsidR="00F43AD5" w:rsidRPr="004C23F4" w14:paraId="1589F14F" w14:textId="77777777" w:rsidTr="00B76A41">
        <w:trPr>
          <w:cantSplit/>
        </w:trPr>
        <w:tc>
          <w:tcPr>
            <w:tcW w:w="4077" w:type="dxa"/>
          </w:tcPr>
          <w:p w14:paraId="435277F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DD23D64" w14:textId="2955B5AC" w:rsidR="00F43AD5" w:rsidRPr="00717D45" w:rsidRDefault="00060D41" w:rsidP="00B76A41">
            <w:pPr>
              <w:pStyle w:val="Tablefont"/>
            </w:pPr>
            <w:proofErr w:type="spellStart"/>
            <w:r w:rsidRPr="00060D41">
              <w:t>Dyfonate</w:t>
            </w:r>
            <w:proofErr w:type="spellEnd"/>
            <w:r w:rsidR="008854BD">
              <w:t>, O-ethyl-S-</w:t>
            </w:r>
            <w:proofErr w:type="spellStart"/>
            <w:r w:rsidR="008854BD">
              <w:t>phenylethylphosphonodithioate</w:t>
            </w:r>
            <w:proofErr w:type="spellEnd"/>
            <w:r w:rsidR="008854BD">
              <w:t xml:space="preserve">, </w:t>
            </w:r>
            <w:proofErr w:type="spellStart"/>
            <w:r w:rsidR="008854BD">
              <w:t>ethylphosphonodithioic</w:t>
            </w:r>
            <w:proofErr w:type="spellEnd"/>
            <w:r w:rsidR="008854BD">
              <w:t xml:space="preserve"> acid O-ethyl S-phenyl ester</w:t>
            </w:r>
          </w:p>
        </w:tc>
      </w:tr>
      <w:tr w:rsidR="00F43AD5" w:rsidRPr="004C23F4" w14:paraId="0383D9EF" w14:textId="77777777" w:rsidTr="00B76A41">
        <w:trPr>
          <w:cantSplit/>
        </w:trPr>
        <w:tc>
          <w:tcPr>
            <w:tcW w:w="4077" w:type="dxa"/>
          </w:tcPr>
          <w:p w14:paraId="67FB1E37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7C31EDD" w14:textId="2FDA1FC2" w:rsidR="00F43AD5" w:rsidRPr="00717D45" w:rsidRDefault="008854BD" w:rsidP="00B76A41">
            <w:pPr>
              <w:pStyle w:val="Tablefont"/>
            </w:pPr>
            <w:r>
              <w:t>C</w:t>
            </w:r>
            <w:r w:rsidRPr="008854BD">
              <w:rPr>
                <w:vertAlign w:val="subscript"/>
              </w:rPr>
              <w:t>10</w:t>
            </w:r>
            <w:r>
              <w:t>H</w:t>
            </w:r>
            <w:r w:rsidRPr="008854BD">
              <w:rPr>
                <w:vertAlign w:val="subscript"/>
              </w:rPr>
              <w:t>15</w:t>
            </w:r>
            <w:r>
              <w:t>OPS</w:t>
            </w:r>
            <w:r w:rsidRPr="008854BD">
              <w:rPr>
                <w:vertAlign w:val="subscript"/>
              </w:rPr>
              <w:t>2</w:t>
            </w:r>
          </w:p>
        </w:tc>
      </w:tr>
      <w:tr w:rsidR="00F43AD5" w:rsidRPr="004C23F4" w14:paraId="48F806F2" w14:textId="77777777" w:rsidTr="00B76A41">
        <w:trPr>
          <w:cantSplit/>
        </w:trPr>
        <w:tc>
          <w:tcPr>
            <w:tcW w:w="4077" w:type="dxa"/>
          </w:tcPr>
          <w:p w14:paraId="744C4A8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DD46A20" w14:textId="40AE9C1B" w:rsidR="00F43AD5" w:rsidRPr="00B40C60" w:rsidRDefault="008854BD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6E2F4A07" w14:textId="6D75ADF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32181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20832994" w14:textId="77777777" w:rsidTr="0013600A">
        <w:trPr>
          <w:cantSplit/>
          <w:tblHeader/>
        </w:trPr>
        <w:tc>
          <w:tcPr>
            <w:tcW w:w="4005" w:type="dxa"/>
            <w:vAlign w:val="center"/>
          </w:tcPr>
          <w:p w14:paraId="2737DFC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25900100" w14:textId="5714218B" w:rsidR="002C7AFE" w:rsidRPr="00632181" w:rsidRDefault="0063218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7B06D1E8" w14:textId="77777777" w:rsidTr="0013600A">
        <w:trPr>
          <w:cantSplit/>
        </w:trPr>
        <w:tc>
          <w:tcPr>
            <w:tcW w:w="4005" w:type="dxa"/>
            <w:vAlign w:val="center"/>
          </w:tcPr>
          <w:p w14:paraId="62DEDEAB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B11200A" w14:textId="62C21A16" w:rsidR="002C7AFE" w:rsidRPr="00EB3D1B" w:rsidRDefault="0063218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D91F7A5" w14:textId="77777777" w:rsidTr="0013600A">
        <w:trPr>
          <w:cantSplit/>
        </w:trPr>
        <w:tc>
          <w:tcPr>
            <w:tcW w:w="4005" w:type="dxa"/>
            <w:vAlign w:val="center"/>
          </w:tcPr>
          <w:p w14:paraId="4FAFACE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1895BC2" w14:textId="5FD3FEFB" w:rsidR="002C7AFE" w:rsidRPr="00EB3D1B" w:rsidRDefault="0063218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4861240" w14:textId="77777777" w:rsidTr="0013600A">
        <w:trPr>
          <w:cantSplit/>
        </w:trPr>
        <w:tc>
          <w:tcPr>
            <w:tcW w:w="4005" w:type="dxa"/>
          </w:tcPr>
          <w:p w14:paraId="53D64A6F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EF267D4" w14:textId="57FEA5F4" w:rsidR="002C7AFE" w:rsidRPr="00EB3D1B" w:rsidRDefault="0013600A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Sk. </w:t>
            </w:r>
          </w:p>
        </w:tc>
      </w:tr>
      <w:tr w:rsidR="002C7AFE" w:rsidRPr="004C23F4" w14:paraId="49629BA9" w14:textId="77777777" w:rsidTr="0013600A">
        <w:trPr>
          <w:cantSplit/>
        </w:trPr>
        <w:tc>
          <w:tcPr>
            <w:tcW w:w="4005" w:type="dxa"/>
            <w:vAlign w:val="center"/>
          </w:tcPr>
          <w:p w14:paraId="7676D9BE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88C4C94" w14:textId="168FE533" w:rsidR="002C7AFE" w:rsidRPr="00632181" w:rsidRDefault="008854BD" w:rsidP="00017C82">
            <w:pPr>
              <w:pStyle w:val="Tablefont"/>
              <w:rPr>
                <w:b/>
              </w:rPr>
            </w:pPr>
            <w:r w:rsidRPr="00632181">
              <w:rPr>
                <w:b/>
              </w:rPr>
              <w:t>—</w:t>
            </w:r>
          </w:p>
        </w:tc>
      </w:tr>
      <w:tr w:rsidR="0013600A" w:rsidRPr="004C23F4" w14:paraId="14135023" w14:textId="77777777" w:rsidTr="00F733DB">
        <w:trPr>
          <w:cantSplit/>
        </w:trPr>
        <w:tc>
          <w:tcPr>
            <w:tcW w:w="9026" w:type="dxa"/>
            <w:gridSpan w:val="2"/>
            <w:vAlign w:val="center"/>
          </w:tcPr>
          <w:p w14:paraId="358D982A" w14:textId="3D0AEB47" w:rsidR="0013600A" w:rsidRPr="0016168C" w:rsidRDefault="0013600A" w:rsidP="00017C82">
            <w:pPr>
              <w:pStyle w:val="Tablefont"/>
              <w:rPr>
                <w:b/>
              </w:rPr>
            </w:pPr>
            <w:r w:rsidRPr="0016168C">
              <w:rPr>
                <w:b/>
              </w:rPr>
              <w:t>Sampling and analysis:</w:t>
            </w:r>
            <w:r w:rsidRPr="0016168C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060A4168623442099B55CEECE3BE433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16168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3F6102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1D58B6B" w14:textId="102FCDEC" w:rsidR="006639B4" w:rsidRPr="004C23F4" w:rsidRDefault="00B11BE5" w:rsidP="000C139A">
      <w:pPr>
        <w:rPr>
          <w:rFonts w:cs="Arial"/>
        </w:rPr>
      </w:pPr>
      <w:r w:rsidRPr="00B11BE5">
        <w:rPr>
          <w:rFonts w:cs="Arial"/>
        </w:rPr>
        <w:t>A TWA of</w:t>
      </w:r>
      <w:r w:rsidR="00A367D1">
        <w:rPr>
          <w:rFonts w:cs="Arial"/>
        </w:rPr>
        <w:t xml:space="preserve"> </w:t>
      </w:r>
      <w:r>
        <w:rPr>
          <w:rFonts w:cs="Arial"/>
        </w:rPr>
        <w:t>0.1</w:t>
      </w:r>
      <w:r w:rsidRPr="00B11BE5">
        <w:rPr>
          <w:rFonts w:cs="Arial"/>
        </w:rPr>
        <w:t xml:space="preserve"> mg/m</w:t>
      </w:r>
      <w:r w:rsidRPr="00B11BE5">
        <w:rPr>
          <w:rFonts w:cs="Arial"/>
          <w:vertAlign w:val="superscript"/>
        </w:rPr>
        <w:t>3</w:t>
      </w:r>
      <w:r w:rsidR="00632181">
        <w:rPr>
          <w:rFonts w:cs="Arial"/>
        </w:rPr>
        <w:t xml:space="preserve"> </w:t>
      </w:r>
      <w:r w:rsidRPr="00B11BE5">
        <w:rPr>
          <w:rFonts w:cs="Arial"/>
        </w:rPr>
        <w:t xml:space="preserve">is </w:t>
      </w:r>
      <w:r>
        <w:rPr>
          <w:rFonts w:cs="Arial"/>
        </w:rPr>
        <w:t>re</w:t>
      </w:r>
      <w:r w:rsidR="00931B3F">
        <w:rPr>
          <w:rFonts w:cs="Arial"/>
        </w:rPr>
        <w:t>commended</w:t>
      </w:r>
      <w:r w:rsidRPr="00B11BE5">
        <w:rPr>
          <w:rFonts w:cs="Arial"/>
        </w:rPr>
        <w:t xml:space="preserve"> to protect for </w:t>
      </w:r>
      <w:r>
        <w:rPr>
          <w:rFonts w:cs="Arial"/>
        </w:rPr>
        <w:t>cholinergic</w:t>
      </w:r>
      <w:r w:rsidRPr="00B11BE5">
        <w:rPr>
          <w:rFonts w:cs="Arial"/>
        </w:rPr>
        <w:t xml:space="preserve"> effects in exposed workers. </w:t>
      </w:r>
    </w:p>
    <w:p w14:paraId="0852620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B6396CD" w14:textId="158B545F" w:rsidR="00931B3F" w:rsidRDefault="00F82F6C" w:rsidP="006639B4">
      <w:pPr>
        <w:rPr>
          <w:rFonts w:cs="Arial"/>
        </w:rPr>
      </w:pPr>
      <w:proofErr w:type="spellStart"/>
      <w:r>
        <w:rPr>
          <w:rFonts w:cs="Arial"/>
        </w:rPr>
        <w:t>Fonofos</w:t>
      </w:r>
      <w:proofErr w:type="spellEnd"/>
      <w:r>
        <w:rPr>
          <w:rFonts w:cs="Arial"/>
        </w:rPr>
        <w:t xml:space="preserve"> </w:t>
      </w:r>
      <w:r w:rsidR="00941B31">
        <w:rPr>
          <w:rFonts w:cs="Arial"/>
        </w:rPr>
        <w:t>is an</w:t>
      </w:r>
      <w:r>
        <w:rPr>
          <w:rFonts w:cs="Arial"/>
        </w:rPr>
        <w:t xml:space="preserve"> </w:t>
      </w:r>
      <w:proofErr w:type="spellStart"/>
      <w:r w:rsidR="0013600A">
        <w:rPr>
          <w:rFonts w:cs="Arial"/>
        </w:rPr>
        <w:t>organothiophosphate</w:t>
      </w:r>
      <w:proofErr w:type="spellEnd"/>
      <w:r w:rsidR="0013600A">
        <w:rPr>
          <w:rFonts w:cs="Arial"/>
        </w:rPr>
        <w:t xml:space="preserve"> </w:t>
      </w:r>
      <w:r>
        <w:rPr>
          <w:rFonts w:cs="Arial"/>
        </w:rPr>
        <w:t xml:space="preserve">insecticide </w:t>
      </w:r>
      <w:r w:rsidR="00941B31">
        <w:rPr>
          <w:rFonts w:cs="Arial"/>
        </w:rPr>
        <w:t>that was</w:t>
      </w:r>
      <w:r w:rsidR="006C4CC9">
        <w:rPr>
          <w:rFonts w:cs="Arial"/>
        </w:rPr>
        <w:t xml:space="preserve"> primarily used on corn,</w:t>
      </w:r>
      <w:r>
        <w:rPr>
          <w:rFonts w:cs="Arial"/>
        </w:rPr>
        <w:t xml:space="preserve"> generally applied </w:t>
      </w:r>
      <w:r w:rsidR="00931B3F">
        <w:rPr>
          <w:rFonts w:cs="Arial"/>
        </w:rPr>
        <w:t xml:space="preserve">by </w:t>
      </w:r>
      <w:r>
        <w:rPr>
          <w:rFonts w:cs="Arial"/>
        </w:rPr>
        <w:t xml:space="preserve">ground equipment or aerial application. </w:t>
      </w:r>
    </w:p>
    <w:p w14:paraId="046C63A8" w14:textId="14054F6A" w:rsidR="00931B3F" w:rsidRDefault="00F82F6C" w:rsidP="006639B4">
      <w:pPr>
        <w:rPr>
          <w:rFonts w:cs="Arial"/>
        </w:rPr>
      </w:pPr>
      <w:r>
        <w:rPr>
          <w:rFonts w:cs="Arial"/>
        </w:rPr>
        <w:t>The critical effect</w:t>
      </w:r>
      <w:r w:rsidR="00681E8E">
        <w:rPr>
          <w:rFonts w:cs="Arial"/>
        </w:rPr>
        <w:t xml:space="preserve"> of exposure</w:t>
      </w:r>
      <w:r>
        <w:rPr>
          <w:rFonts w:cs="Arial"/>
        </w:rPr>
        <w:t xml:space="preserve"> is red blood cell (RBC) cholinesterase </w:t>
      </w:r>
      <w:r w:rsidR="00931B3F">
        <w:rPr>
          <w:rFonts w:cs="Arial"/>
        </w:rPr>
        <w:t>(</w:t>
      </w:r>
      <w:proofErr w:type="spellStart"/>
      <w:r w:rsidR="00931B3F">
        <w:rPr>
          <w:rFonts w:cs="Arial"/>
        </w:rPr>
        <w:t>ChE</w:t>
      </w:r>
      <w:proofErr w:type="spellEnd"/>
      <w:r w:rsidR="00931B3F">
        <w:rPr>
          <w:rFonts w:cs="Arial"/>
        </w:rPr>
        <w:t>) i</w:t>
      </w:r>
      <w:r>
        <w:rPr>
          <w:rFonts w:cs="Arial"/>
        </w:rPr>
        <w:t>nhibition, which results in reversible neuromuscular stimulation and</w:t>
      </w:r>
      <w:r w:rsidR="00B11BE5" w:rsidRPr="00B11BE5">
        <w:rPr>
          <w:rFonts w:cs="Arial"/>
        </w:rPr>
        <w:t xml:space="preserve"> </w:t>
      </w:r>
      <w:r w:rsidR="00B11BE5">
        <w:rPr>
          <w:rFonts w:cs="Arial"/>
        </w:rPr>
        <w:t xml:space="preserve">cardiorespiratory arrest at lethal </w:t>
      </w:r>
      <w:r>
        <w:rPr>
          <w:rFonts w:cs="Arial"/>
        </w:rPr>
        <w:t>concentrations</w:t>
      </w:r>
      <w:r w:rsidR="00B11BE5">
        <w:rPr>
          <w:rFonts w:cs="Arial"/>
        </w:rPr>
        <w:t>.</w:t>
      </w:r>
      <w:r w:rsidR="00931B3F">
        <w:rPr>
          <w:rFonts w:cs="Arial"/>
        </w:rPr>
        <w:t xml:space="preserve"> </w:t>
      </w:r>
      <w:r>
        <w:rPr>
          <w:rFonts w:cs="Arial"/>
        </w:rPr>
        <w:t xml:space="preserve">The human exposure data </w:t>
      </w:r>
      <w:r w:rsidR="00B11BE5">
        <w:rPr>
          <w:rFonts w:cs="Arial"/>
        </w:rPr>
        <w:t>are</w:t>
      </w:r>
      <w:r>
        <w:rPr>
          <w:rFonts w:cs="Arial"/>
        </w:rPr>
        <w:t xml:space="preserve"> limited to a case study </w:t>
      </w:r>
      <w:r w:rsidR="00B11BE5">
        <w:rPr>
          <w:rFonts w:cs="Arial"/>
        </w:rPr>
        <w:t>o</w:t>
      </w:r>
      <w:r>
        <w:rPr>
          <w:rFonts w:cs="Arial"/>
        </w:rPr>
        <w:t xml:space="preserve">f non-Hodgkin’s lymphoma </w:t>
      </w:r>
      <w:r w:rsidR="008B7535">
        <w:rPr>
          <w:rFonts w:cs="Arial"/>
        </w:rPr>
        <w:t xml:space="preserve">incidence </w:t>
      </w:r>
      <w:r w:rsidR="00931B3F">
        <w:rPr>
          <w:rFonts w:cs="Arial"/>
        </w:rPr>
        <w:t xml:space="preserve">and </w:t>
      </w:r>
      <w:r w:rsidR="008B7535">
        <w:rPr>
          <w:rFonts w:cs="Arial"/>
        </w:rPr>
        <w:t>pesticide exposure and cases of accidental ingestion.</w:t>
      </w:r>
      <w:r w:rsidR="008E78ED">
        <w:rPr>
          <w:rFonts w:cs="Arial"/>
        </w:rPr>
        <w:t xml:space="preserve"> Animal exposure data are limited to acute dose studies and a chronic feeding study of dogs, which reported a NOAEL of 0.2 mg/kg/day for RBC </w:t>
      </w:r>
      <w:proofErr w:type="spellStart"/>
      <w:r w:rsidR="008E78ED">
        <w:rPr>
          <w:rFonts w:cs="Arial"/>
        </w:rPr>
        <w:t>ChE</w:t>
      </w:r>
      <w:proofErr w:type="spellEnd"/>
      <w:r w:rsidR="008E78ED">
        <w:rPr>
          <w:rFonts w:cs="Arial"/>
        </w:rPr>
        <w:t xml:space="preserve"> inhibition with a corresponding LOAEL of 1.5 mg/kg/day.</w:t>
      </w:r>
    </w:p>
    <w:p w14:paraId="09877DA3" w14:textId="4F46DB27" w:rsidR="0016168C" w:rsidRDefault="008E78ED" w:rsidP="006639B4">
      <w:pPr>
        <w:rPr>
          <w:rFonts w:cs="Arial"/>
        </w:rPr>
      </w:pPr>
      <w:r>
        <w:rPr>
          <w:rFonts w:cs="Arial"/>
        </w:rPr>
        <w:t>In the absence of suitable human exposure data, t</w:t>
      </w:r>
      <w:r w:rsidR="00F82F6C">
        <w:rPr>
          <w:rFonts w:cs="Arial"/>
        </w:rPr>
        <w:t>he TWA of 0.1 mg/m</w:t>
      </w:r>
      <w:r w:rsidR="00F82F6C">
        <w:rPr>
          <w:rFonts w:cs="Arial"/>
          <w:vertAlign w:val="superscript"/>
        </w:rPr>
        <w:t>3</w:t>
      </w:r>
      <w:r w:rsidR="00F82F6C">
        <w:rPr>
          <w:rFonts w:cs="Arial"/>
        </w:rPr>
        <w:t xml:space="preserve"> is based on a </w:t>
      </w:r>
      <w:r w:rsidR="008B7535">
        <w:rPr>
          <w:rFonts w:cs="Arial"/>
        </w:rPr>
        <w:t>NOAEL of 0.2</w:t>
      </w:r>
      <w:r>
        <w:rPr>
          <w:rFonts w:cs="Arial"/>
        </w:rPr>
        <w:t> </w:t>
      </w:r>
      <w:r w:rsidR="008B7535">
        <w:rPr>
          <w:rFonts w:cs="Arial"/>
        </w:rPr>
        <w:t>mg/kg/d</w:t>
      </w:r>
      <w:r w:rsidR="00931B3F">
        <w:rPr>
          <w:rFonts w:cs="Arial"/>
        </w:rPr>
        <w:t>ay</w:t>
      </w:r>
      <w:r w:rsidR="008B7535">
        <w:rPr>
          <w:rFonts w:cs="Arial"/>
        </w:rPr>
        <w:t xml:space="preserve"> for RBC </w:t>
      </w:r>
      <w:proofErr w:type="spellStart"/>
      <w:r w:rsidR="00931B3F">
        <w:rPr>
          <w:rFonts w:cs="Arial"/>
        </w:rPr>
        <w:t>ChE</w:t>
      </w:r>
      <w:proofErr w:type="spellEnd"/>
      <w:r w:rsidR="008B7535">
        <w:rPr>
          <w:rFonts w:cs="Arial"/>
        </w:rPr>
        <w:t xml:space="preserve"> inhibition </w:t>
      </w:r>
      <w:r>
        <w:rPr>
          <w:rFonts w:cs="Arial"/>
        </w:rPr>
        <w:t>in</w:t>
      </w:r>
      <w:r w:rsidR="008B7535">
        <w:rPr>
          <w:rFonts w:cs="Arial"/>
        </w:rPr>
        <w:t xml:space="preserve"> dogs </w:t>
      </w:r>
      <w:r w:rsidR="007A7A3B">
        <w:rPr>
          <w:rFonts w:cs="Arial"/>
        </w:rPr>
        <w:t xml:space="preserve">as derived by ACGIH </w:t>
      </w:r>
      <w:r w:rsidR="008B7535">
        <w:rPr>
          <w:rFonts w:cs="Arial"/>
        </w:rPr>
        <w:t>(2018).</w:t>
      </w:r>
      <w:r w:rsidR="00922520">
        <w:rPr>
          <w:rFonts w:cs="Arial"/>
        </w:rPr>
        <w:t xml:space="preserve"> T</w:t>
      </w:r>
      <w:r w:rsidR="00B11BE5">
        <w:rPr>
          <w:rFonts w:cs="Arial"/>
        </w:rPr>
        <w:t>he recommended TWA of 0.1 mg/m</w:t>
      </w:r>
      <w:r w:rsidR="00B11BE5">
        <w:rPr>
          <w:rFonts w:cs="Arial"/>
          <w:vertAlign w:val="superscript"/>
        </w:rPr>
        <w:t>3</w:t>
      </w:r>
      <w:r w:rsidR="00B11BE5">
        <w:rPr>
          <w:rFonts w:cs="Arial"/>
        </w:rPr>
        <w:t xml:space="preserve"> is considered sufficiently protective for the onset of cholinergic effects.</w:t>
      </w:r>
      <w:r w:rsidR="008B7535">
        <w:rPr>
          <w:rFonts w:cs="Arial"/>
        </w:rPr>
        <w:t xml:space="preserve"> </w:t>
      </w:r>
    </w:p>
    <w:p w14:paraId="5E8A4A55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D4B642F" w14:textId="41536639" w:rsidR="00F457F6" w:rsidRPr="00F457F6" w:rsidRDefault="00F457F6" w:rsidP="00F457F6">
      <w:pPr>
        <w:rPr>
          <w:rFonts w:cs="Arial"/>
        </w:rPr>
      </w:pPr>
      <w:r w:rsidRPr="00F457F6">
        <w:rPr>
          <w:rFonts w:cs="Arial"/>
        </w:rPr>
        <w:t>Not classified as a carcinogen according to the Globally Harmonized System of</w:t>
      </w:r>
      <w:r w:rsidR="0013600A">
        <w:rPr>
          <w:rFonts w:cs="Arial"/>
        </w:rPr>
        <w:t xml:space="preserve"> Classification and Labelling of</w:t>
      </w:r>
      <w:r w:rsidRPr="00F457F6">
        <w:rPr>
          <w:rFonts w:cs="Arial"/>
        </w:rPr>
        <w:t xml:space="preserve"> Chemicals (GHS). </w:t>
      </w:r>
    </w:p>
    <w:p w14:paraId="404F3D56" w14:textId="46673E15" w:rsidR="00F457F6" w:rsidRPr="00F457F6" w:rsidRDefault="00F457F6" w:rsidP="00F457F6">
      <w:pPr>
        <w:rPr>
          <w:rFonts w:cs="Arial"/>
        </w:rPr>
      </w:pPr>
      <w:r w:rsidRPr="00F457F6">
        <w:rPr>
          <w:rFonts w:cs="Arial"/>
        </w:rPr>
        <w:t xml:space="preserve">Not classified as a skin </w:t>
      </w:r>
      <w:r w:rsidR="0013600A" w:rsidRPr="00F457F6">
        <w:rPr>
          <w:rFonts w:cs="Arial"/>
        </w:rPr>
        <w:t xml:space="preserve">sensitiser </w:t>
      </w:r>
      <w:r w:rsidRPr="00F457F6">
        <w:rPr>
          <w:rFonts w:cs="Arial"/>
        </w:rPr>
        <w:t>or respiratory sensitiser according to the GHS.</w:t>
      </w:r>
    </w:p>
    <w:p w14:paraId="7C70C76A" w14:textId="0A76C9F2" w:rsidR="005E6979" w:rsidRPr="004C23F4" w:rsidRDefault="00632181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632181">
        <w:rPr>
          <w:rFonts w:cs="Arial"/>
        </w:rPr>
        <w:t xml:space="preserve">A skin notation </w:t>
      </w:r>
      <w:r>
        <w:rPr>
          <w:rFonts w:cs="Arial"/>
        </w:rPr>
        <w:t xml:space="preserve">is </w:t>
      </w:r>
      <w:r w:rsidRPr="00632181">
        <w:rPr>
          <w:rFonts w:cs="Arial"/>
        </w:rPr>
        <w:t xml:space="preserve">recommended based on evidence </w:t>
      </w:r>
      <w:r>
        <w:rPr>
          <w:rFonts w:cs="Arial"/>
        </w:rPr>
        <w:t>of</w:t>
      </w:r>
      <w:r w:rsidRPr="00632181">
        <w:rPr>
          <w:rFonts w:cs="Arial"/>
        </w:rPr>
        <w:t xml:space="preserve"> dermal absorption and </w:t>
      </w:r>
      <w:r>
        <w:rPr>
          <w:rFonts w:cs="Arial"/>
        </w:rPr>
        <w:t>lethality</w:t>
      </w:r>
      <w:r w:rsidRPr="00632181">
        <w:rPr>
          <w:rFonts w:cs="Arial"/>
        </w:rPr>
        <w:t xml:space="preserve"> in animals.</w:t>
      </w:r>
    </w:p>
    <w:p w14:paraId="0D9F1A1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BB852C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92DA4EC" w14:textId="77777777" w:rsidTr="0013600A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94B4F4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4F74C62" w14:textId="77777777" w:rsidTr="0013600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71CBFD0" w14:textId="5A3A102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854B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854BD">
                  <w:t>TWA: 0.1 mg/m</w:t>
                </w:r>
                <w:r w:rsidR="008854BD" w:rsidRPr="008854B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23DDA3" w14:textId="77777777" w:rsidTr="0013600A">
        <w:trPr>
          <w:gridAfter w:val="1"/>
          <w:wAfter w:w="8" w:type="pct"/>
        </w:trPr>
        <w:tc>
          <w:tcPr>
            <w:tcW w:w="4992" w:type="pct"/>
          </w:tcPr>
          <w:p w14:paraId="6E39F97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2BA37A8" w14:textId="77777777" w:rsidTr="0013600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7FA91DB" w14:textId="3B917F5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854BD">
                  <w:t>2006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8854BD">
                  <w:t>TLV-TWA: 0.01 ppm (0.1 mg/m</w:t>
                </w:r>
                <w:r w:rsidR="008854BD" w:rsidRPr="008854BD">
                  <w:rPr>
                    <w:vertAlign w:val="superscript"/>
                  </w:rPr>
                  <w:t>3</w:t>
                </w:r>
                <w:r w:rsidR="008854BD">
                  <w:t>)</w:t>
                </w:r>
              </w:sdtContent>
            </w:sdt>
            <w:r w:rsidR="00C74EEB">
              <w:t xml:space="preserve"> inhalable fraction and vapour</w:t>
            </w:r>
          </w:p>
        </w:tc>
      </w:tr>
      <w:tr w:rsidR="00C978F0" w:rsidRPr="00DA352E" w14:paraId="414E80BE" w14:textId="77777777" w:rsidTr="0013600A">
        <w:trPr>
          <w:gridAfter w:val="1"/>
          <w:wAfter w:w="8" w:type="pct"/>
        </w:trPr>
        <w:tc>
          <w:tcPr>
            <w:tcW w:w="4992" w:type="pct"/>
          </w:tcPr>
          <w:p w14:paraId="0C608FC1" w14:textId="49848922" w:rsidR="00C978F0" w:rsidRDefault="00031F76" w:rsidP="003365A5">
            <w:pPr>
              <w:pStyle w:val="Tabletextprimarysource"/>
            </w:pPr>
            <w:r>
              <w:t xml:space="preserve">TLV-TWA intended to minimise potential for reversible cholinergic effects, e.g. neuromuscular stimulation. </w:t>
            </w:r>
          </w:p>
          <w:p w14:paraId="54255A31" w14:textId="77777777" w:rsidR="00031F76" w:rsidRDefault="00031F76" w:rsidP="003365A5">
            <w:pPr>
              <w:pStyle w:val="Tabletextprimarysource"/>
            </w:pPr>
            <w:r>
              <w:t>Summary of data:</w:t>
            </w:r>
          </w:p>
          <w:p w14:paraId="702A364D" w14:textId="77777777" w:rsidR="00931B3F" w:rsidRDefault="00F82A57" w:rsidP="003365A5">
            <w:pPr>
              <w:pStyle w:val="Tabletextprimarysource"/>
            </w:pPr>
            <w:r>
              <w:t>H</w:t>
            </w:r>
            <w:r w:rsidR="00031F76">
              <w:t>uman and animal inhalational exposure</w:t>
            </w:r>
            <w:r>
              <w:t xml:space="preserve"> data</w:t>
            </w:r>
            <w:r w:rsidR="00031F76">
              <w:t xml:space="preserve"> </w:t>
            </w:r>
            <w:r>
              <w:t>are</w:t>
            </w:r>
            <w:r w:rsidR="00031F76">
              <w:t xml:space="preserve"> limited. </w:t>
            </w:r>
          </w:p>
          <w:p w14:paraId="1EB3E29D" w14:textId="3BEDE46C" w:rsidR="00931B3F" w:rsidRDefault="00031F76" w:rsidP="003365A5">
            <w:pPr>
              <w:pStyle w:val="Tabletextprimarysource"/>
            </w:pPr>
            <w:r>
              <w:t xml:space="preserve">TLV-TWA derived from chronic feeding studies in </w:t>
            </w:r>
            <w:r w:rsidR="00D2387D">
              <w:t>dogs</w:t>
            </w:r>
            <w:r w:rsidR="005360ED">
              <w:t xml:space="preserve"> </w:t>
            </w:r>
            <w:r>
              <w:t>based on a NOAEL of 0.2 mg/kg</w:t>
            </w:r>
            <w:r w:rsidR="00931B3F">
              <w:t>/d</w:t>
            </w:r>
            <w:r w:rsidR="005360ED">
              <w:t xml:space="preserve"> and LOAEL of 1.58 mg/kg</w:t>
            </w:r>
            <w:r w:rsidR="00931B3F">
              <w:t>/d</w:t>
            </w:r>
            <w:r>
              <w:t xml:space="preserve"> for RBC </w:t>
            </w:r>
            <w:proofErr w:type="spellStart"/>
            <w:r w:rsidR="00931B3F">
              <w:t>ChE</w:t>
            </w:r>
            <w:proofErr w:type="spellEnd"/>
            <w:r>
              <w:t xml:space="preserve"> inhibition</w:t>
            </w:r>
            <w:r w:rsidR="00F82A57">
              <w:t xml:space="preserve"> in rats</w:t>
            </w:r>
            <w:r w:rsidR="00BA2BA1">
              <w:t xml:space="preserve">. </w:t>
            </w:r>
          </w:p>
          <w:p w14:paraId="4FCAE813" w14:textId="69E66FFB" w:rsidR="00931B3F" w:rsidRDefault="00BA2BA1" w:rsidP="003365A5">
            <w:pPr>
              <w:pStyle w:val="Tabletextprimarysource"/>
            </w:pPr>
            <w:r>
              <w:t>Inhalational equivalent</w:t>
            </w:r>
            <w:r w:rsidR="00C74EEB">
              <w:t>s</w:t>
            </w:r>
            <w:r>
              <w:t xml:space="preserve"> of </w:t>
            </w:r>
            <w:r w:rsidR="00C74EEB">
              <w:t>the</w:t>
            </w:r>
            <w:r>
              <w:t xml:space="preserve"> NOAEL </w:t>
            </w:r>
            <w:r>
              <w:rPr>
                <w:rFonts w:cs="Arial"/>
              </w:rPr>
              <w:t>≈</w:t>
            </w:r>
            <w:r>
              <w:t>1.4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C74EEB">
              <w:t xml:space="preserve">and LOAEL </w:t>
            </w:r>
            <w:r w:rsidR="00C74EEB">
              <w:rPr>
                <w:rFonts w:cs="Arial"/>
              </w:rPr>
              <w:t>≈</w:t>
            </w:r>
            <w:r w:rsidR="00C74EEB">
              <w:t>10 mg/m</w:t>
            </w:r>
            <w:r w:rsidR="00C74EEB">
              <w:rPr>
                <w:vertAlign w:val="superscript"/>
              </w:rPr>
              <w:t>3</w:t>
            </w:r>
            <w:r w:rsidR="00C74EEB">
              <w:t xml:space="preserve"> </w:t>
            </w:r>
            <w:r>
              <w:t>assuming 70</w:t>
            </w:r>
            <w:r w:rsidR="00931B3F">
              <w:t xml:space="preserve"> </w:t>
            </w:r>
            <w:r>
              <w:t>kg worker with respiratory volume of 10 m</w:t>
            </w:r>
            <w:r>
              <w:rPr>
                <w:vertAlign w:val="superscript"/>
              </w:rPr>
              <w:t>3</w:t>
            </w:r>
            <w:r w:rsidR="0013600A">
              <w:t xml:space="preserve"> during an 8 </w:t>
            </w:r>
            <w:r>
              <w:t>h shift</w:t>
            </w:r>
            <w:r w:rsidR="00D2387D">
              <w:t xml:space="preserve">; </w:t>
            </w:r>
            <w:r w:rsidR="006310A4">
              <w:t>derived a TLV-</w:t>
            </w:r>
            <w:r w:rsidR="006310A4">
              <w:rPr>
                <w:rFonts w:cs="Arial"/>
              </w:rPr>
              <w:t>TWA of 0.1 mg/m</w:t>
            </w:r>
            <w:r w:rsidR="006310A4">
              <w:rPr>
                <w:rFonts w:cs="Arial"/>
                <w:vertAlign w:val="superscript"/>
              </w:rPr>
              <w:t>3</w:t>
            </w:r>
            <w:r w:rsidR="006310A4">
              <w:rPr>
                <w:rFonts w:cs="Arial"/>
              </w:rPr>
              <w:t xml:space="preserve"> presumably by applying a factor of </w:t>
            </w:r>
            <w:r w:rsidR="007A7A3B">
              <w:rPr>
                <w:rFonts w:cs="Arial"/>
              </w:rPr>
              <w:t xml:space="preserve">10 </w:t>
            </w:r>
            <w:r w:rsidR="006310A4">
              <w:rPr>
                <w:rFonts w:cs="Arial"/>
              </w:rPr>
              <w:t xml:space="preserve">to the inhalation concentration of </w:t>
            </w:r>
            <w:r w:rsidR="006310A4">
              <w:t>1.4 mg/m</w:t>
            </w:r>
            <w:r w:rsidR="006310A4">
              <w:rPr>
                <w:vertAlign w:val="superscript"/>
              </w:rPr>
              <w:t>3</w:t>
            </w:r>
            <w:r w:rsidR="006310A4">
              <w:t xml:space="preserve"> </w:t>
            </w:r>
            <w:r w:rsidR="006310A4">
              <w:rPr>
                <w:rFonts w:cs="Arial"/>
              </w:rPr>
              <w:t>and rounded down to account for the steep dose-response relationship reported in animal studies</w:t>
            </w:r>
            <w:r w:rsidR="006310A4">
              <w:t xml:space="preserve">; </w:t>
            </w:r>
            <w:r w:rsidR="00D2387D">
              <w:t>TLV-TWA therefore expected to be protective of cholinergic effects</w:t>
            </w:r>
            <w:r>
              <w:t>.</w:t>
            </w:r>
            <w:r w:rsidR="00702771">
              <w:t xml:space="preserve"> </w:t>
            </w:r>
          </w:p>
          <w:p w14:paraId="633BF9F4" w14:textId="77777777" w:rsidR="00931B3F" w:rsidRDefault="00702771" w:rsidP="003365A5">
            <w:pPr>
              <w:pStyle w:val="Tabletextprimarysource"/>
            </w:pPr>
            <w:r>
              <w:t>Summed particulate and vapour phase concentrations should be considered during sampling to account for evaporative losses.</w:t>
            </w:r>
            <w:r w:rsidR="005360ED">
              <w:t xml:space="preserve"> </w:t>
            </w:r>
          </w:p>
          <w:p w14:paraId="4E54767B" w14:textId="4F417BAF" w:rsidR="00031F76" w:rsidRDefault="005360ED" w:rsidP="003365A5">
            <w:pPr>
              <w:pStyle w:val="Tabletextprimarysource"/>
            </w:pPr>
            <w:r>
              <w:t xml:space="preserve">BEI for RBC </w:t>
            </w:r>
            <w:proofErr w:type="spellStart"/>
            <w:r w:rsidR="00931B3F">
              <w:t>ChE</w:t>
            </w:r>
            <w:proofErr w:type="spellEnd"/>
            <w:r>
              <w:t xml:space="preserve"> inhibiting pesticides is available.</w:t>
            </w:r>
          </w:p>
          <w:p w14:paraId="534F8D95" w14:textId="77777777" w:rsidR="00BA2BA1" w:rsidRDefault="00BA2BA1" w:rsidP="003365A5">
            <w:pPr>
              <w:pStyle w:val="Tabletextprimarysource"/>
            </w:pPr>
            <w:r>
              <w:t>Human data:</w:t>
            </w:r>
          </w:p>
          <w:p w14:paraId="72606C19" w14:textId="084362A3" w:rsidR="00931B3F" w:rsidRDefault="00CE1239" w:rsidP="00CE1239">
            <w:pPr>
              <w:pStyle w:val="Tabletextprimarysource"/>
              <w:numPr>
                <w:ilvl w:val="0"/>
                <w:numId w:val="1"/>
              </w:numPr>
            </w:pPr>
            <w:r>
              <w:t>Accidental ingestion (unspecified amount) caused nausea, vomiting, salivation and sweating followed by cardiorespiratory arrest</w:t>
            </w:r>
          </w:p>
          <w:p w14:paraId="55EDE627" w14:textId="1E32BFB8" w:rsidR="00931B3F" w:rsidRDefault="00CE1239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patient was resuscitated and showed muscle fasciculation, low blood pressure and profuse salivary and bronchial secretion</w:t>
            </w:r>
          </w:p>
          <w:p w14:paraId="44FA76D1" w14:textId="1BF1B2D7" w:rsidR="00CE1239" w:rsidRDefault="00CE1239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recovery after treatment for 2 </w:t>
            </w:r>
            <w:proofErr w:type="spellStart"/>
            <w:r>
              <w:t>mo</w:t>
            </w:r>
            <w:proofErr w:type="spellEnd"/>
          </w:p>
          <w:p w14:paraId="29006875" w14:textId="4ACB657A" w:rsidR="00BA2BA1" w:rsidRDefault="00702771" w:rsidP="00CE123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Case control study showed higher risk of non-Hodgkin’s lymphoma associated with pesticide exposure, including </w:t>
            </w:r>
            <w:proofErr w:type="spellStart"/>
            <w:r>
              <w:t>Fonofos</w:t>
            </w:r>
            <w:proofErr w:type="spellEnd"/>
            <w:r>
              <w:t>, for asthmatic individuals (OR=3.7) than for non-asthmatics (OR=1.6)</w:t>
            </w:r>
            <w:r w:rsidR="00270C1E">
              <w:t>.</w:t>
            </w:r>
          </w:p>
          <w:p w14:paraId="4328222A" w14:textId="77777777" w:rsidR="00702771" w:rsidRDefault="00702771" w:rsidP="00702771">
            <w:pPr>
              <w:pStyle w:val="Tabletextprimarysource"/>
            </w:pPr>
            <w:r>
              <w:t>Animal data:</w:t>
            </w:r>
          </w:p>
          <w:p w14:paraId="3184DCF3" w14:textId="5E6A7E50" w:rsidR="00702771" w:rsidRDefault="005360ED" w:rsidP="00702771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6.8–18.5 mg/kg (male rats); 3–8 mg/kg (female rats)</w:t>
            </w:r>
            <w:r w:rsidR="00D76AE3">
              <w:t>:</w:t>
            </w:r>
          </w:p>
          <w:p w14:paraId="49ECC419" w14:textId="2266900A" w:rsidR="005360ED" w:rsidRDefault="0016168C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s</w:t>
            </w:r>
            <w:r w:rsidR="005360ED">
              <w:t>ingle lethal doses cause fasciculation, tremors, salivation and laboured breathing</w:t>
            </w:r>
          </w:p>
          <w:p w14:paraId="2CA00FC9" w14:textId="53B0905F" w:rsidR="00931B3F" w:rsidRDefault="0016168C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a</w:t>
            </w:r>
            <w:r w:rsidR="005360ED">
              <w:t>utopsy shows lung erythema and congested liver, kidneys and adrenals</w:t>
            </w:r>
          </w:p>
          <w:p w14:paraId="1D53D3DD" w14:textId="379F63F4" w:rsidR="005360ED" w:rsidRDefault="005360ED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 such effects in survivors</w:t>
            </w:r>
          </w:p>
          <w:p w14:paraId="48F57893" w14:textId="77777777" w:rsidR="00A443F6" w:rsidRDefault="00A443F6" w:rsidP="00A443F6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460 mg/m</w:t>
            </w:r>
            <w:r>
              <w:rPr>
                <w:vertAlign w:val="superscript"/>
              </w:rPr>
              <w:t>3</w:t>
            </w:r>
            <w:r>
              <w:t xml:space="preserve"> (rats, 4 h), 900 mg/m</w:t>
            </w:r>
            <w:r>
              <w:rPr>
                <w:vertAlign w:val="superscript"/>
              </w:rPr>
              <w:t>3</w:t>
            </w:r>
            <w:r>
              <w:t xml:space="preserve"> (rats, 1 h)</w:t>
            </w:r>
          </w:p>
          <w:p w14:paraId="26621CCE" w14:textId="201E6317" w:rsidR="00A443F6" w:rsidRDefault="00A443F6" w:rsidP="00A443F6">
            <w:pPr>
              <w:pStyle w:val="Tabletextprimarysource"/>
              <w:numPr>
                <w:ilvl w:val="0"/>
                <w:numId w:val="1"/>
              </w:numPr>
            </w:pPr>
            <w:r>
              <w:t>Dermal LD</w:t>
            </w:r>
            <w:r>
              <w:rPr>
                <w:vertAlign w:val="subscript"/>
              </w:rPr>
              <w:t>50</w:t>
            </w:r>
            <w:r>
              <w:t>: 25 mg/kg (rabbits), 147 mg/kg (rats), 278 mg/kg (guinea pigs)</w:t>
            </w:r>
            <w:r w:rsidR="00D76AE3">
              <w:t>:</w:t>
            </w:r>
          </w:p>
          <w:p w14:paraId="03B7C868" w14:textId="49E73BEC" w:rsidR="00A443F6" w:rsidRDefault="0016168C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l</w:t>
            </w:r>
            <w:r w:rsidR="008639B0">
              <w:t>ethal when instilled on eyes at 0.1 mL technical-grade (rabbits); no irritation noted</w:t>
            </w:r>
          </w:p>
          <w:p w14:paraId="2BB3A338" w14:textId="634E2333" w:rsidR="008639B0" w:rsidRDefault="00D2387D" w:rsidP="008639B0">
            <w:pPr>
              <w:pStyle w:val="Tabletextprimarysource"/>
              <w:numPr>
                <w:ilvl w:val="0"/>
                <w:numId w:val="1"/>
              </w:numPr>
            </w:pPr>
            <w:r>
              <w:t>Chronic feeding study with treatment groups 0.2, 1.5</w:t>
            </w:r>
            <w:r w:rsidR="00681E8E">
              <w:t>a</w:t>
            </w:r>
            <w:r>
              <w:t xml:space="preserve"> and 12 mg/kg/d (dogs, 2 </w:t>
            </w:r>
            <w:proofErr w:type="spellStart"/>
            <w:r>
              <w:t>yr</w:t>
            </w:r>
            <w:proofErr w:type="spellEnd"/>
            <w:r>
              <w:t>)</w:t>
            </w:r>
            <w:r w:rsidR="00B75E97">
              <w:t xml:space="preserve"> reported</w:t>
            </w:r>
            <w:r w:rsidR="00D76AE3">
              <w:t>:</w:t>
            </w:r>
          </w:p>
          <w:p w14:paraId="1BD44AEB" w14:textId="77777777" w:rsidR="00D2387D" w:rsidRDefault="00D2387D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0.2 mg/kg/d</w:t>
            </w:r>
          </w:p>
          <w:p w14:paraId="6BABA124" w14:textId="1EE484F2" w:rsidR="00D2387D" w:rsidRDefault="00D2387D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LOAEL: 1.5 mg/kg/d for moderate RBC </w:t>
            </w:r>
            <w:proofErr w:type="spellStart"/>
            <w:r w:rsidR="00931B3F">
              <w:t>ChE</w:t>
            </w:r>
            <w:proofErr w:type="spellEnd"/>
            <w:r w:rsidR="00931B3F">
              <w:t xml:space="preserve"> </w:t>
            </w:r>
            <w:r>
              <w:t>inhibition, increased liver weight, tremors, lachrymation and salivation; additional microscopic lesions in small intestine and liver reported at 12 mg/kg/d</w:t>
            </w:r>
          </w:p>
          <w:p w14:paraId="79A64220" w14:textId="37C1DB36" w:rsidR="00D2387D" w:rsidRDefault="0016168C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s</w:t>
            </w:r>
            <w:r w:rsidR="00D2387D">
              <w:t>imilar cholinergic effects observed in 2</w:t>
            </w:r>
            <w:r w:rsidR="00931B3F">
              <w:t xml:space="preserve"> </w:t>
            </w:r>
            <w:proofErr w:type="spellStart"/>
            <w:r w:rsidR="00D2387D">
              <w:t>yr</w:t>
            </w:r>
            <w:proofErr w:type="spellEnd"/>
            <w:r w:rsidR="00D2387D">
              <w:t xml:space="preserve"> feeding study with rats; NOAEL:</w:t>
            </w:r>
            <w:r>
              <w:t xml:space="preserve"> </w:t>
            </w:r>
            <w:r w:rsidR="00D2387D">
              <w:t>0.5 mg/kg/d</w:t>
            </w:r>
            <w:r w:rsidR="00B75E97">
              <w:t xml:space="preserve">, LOAEL: 1.58 mg/kg for </w:t>
            </w:r>
            <w:proofErr w:type="spellStart"/>
            <w:r w:rsidR="00931B3F">
              <w:t>ChE</w:t>
            </w:r>
            <w:proofErr w:type="spellEnd"/>
            <w:r w:rsidR="00931B3F">
              <w:t xml:space="preserve"> </w:t>
            </w:r>
            <w:r w:rsidR="00B75E97">
              <w:t>inhibition</w:t>
            </w:r>
          </w:p>
          <w:p w14:paraId="06F6C5C4" w14:textId="68DB9751" w:rsidR="00B75E97" w:rsidRDefault="00270C1E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lastRenderedPageBreak/>
              <w:t>n</w:t>
            </w:r>
            <w:r w:rsidR="00B75E97">
              <w:t>o evidence for carcinogenici</w:t>
            </w:r>
            <w:r w:rsidR="0016168C">
              <w:t>ty in both chronic feeding studies</w:t>
            </w:r>
          </w:p>
          <w:p w14:paraId="1F1734C3" w14:textId="4047AA84" w:rsidR="00B75E97" w:rsidRPr="006762D4" w:rsidRDefault="00B75E97" w:rsidP="00B75E97">
            <w:pPr>
              <w:pStyle w:val="Tabletextprimarysource"/>
              <w:numPr>
                <w:ilvl w:val="0"/>
                <w:numId w:val="1"/>
              </w:numPr>
            </w:pPr>
            <w:r w:rsidRPr="006762D4">
              <w:t xml:space="preserve">Mutagenic </w:t>
            </w:r>
            <w:r w:rsidRPr="006762D4">
              <w:rPr>
                <w:i/>
              </w:rPr>
              <w:t>in vitro</w:t>
            </w:r>
            <w:r w:rsidRPr="006762D4">
              <w:t xml:space="preserve"> with bacteria; no </w:t>
            </w:r>
            <w:r w:rsidRPr="006762D4">
              <w:rPr>
                <w:i/>
              </w:rPr>
              <w:t xml:space="preserve">in vivo </w:t>
            </w:r>
            <w:r w:rsidRPr="006762D4">
              <w:t xml:space="preserve">data </w:t>
            </w:r>
            <w:r w:rsidR="006762D4" w:rsidRPr="006762D4">
              <w:t>reported</w:t>
            </w:r>
          </w:p>
          <w:p w14:paraId="14490937" w14:textId="5644929E" w:rsidR="00B75E97" w:rsidRDefault="00B75E97" w:rsidP="00B75E97">
            <w:pPr>
              <w:pStyle w:val="Tabletextprimarysource"/>
              <w:numPr>
                <w:ilvl w:val="0"/>
                <w:numId w:val="1"/>
              </w:numPr>
            </w:pPr>
            <w:r>
              <w:t>US EPA review of 3</w:t>
            </w:r>
            <w:r w:rsidR="00931B3F">
              <w:t xml:space="preserve"> </w:t>
            </w:r>
            <w:r>
              <w:t>generation reproductive feeding study, treatment range: 10–31.6 ppm in diet (rats, mice) reported</w:t>
            </w:r>
            <w:r w:rsidR="00D76AE3">
              <w:t>:</w:t>
            </w:r>
            <w:r>
              <w:t xml:space="preserve"> </w:t>
            </w:r>
          </w:p>
          <w:p w14:paraId="2323A9F4" w14:textId="1FB99C67" w:rsidR="00B75E97" w:rsidRDefault="00D76AE3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f</w:t>
            </w:r>
            <w:r w:rsidR="00B75E97">
              <w:t>oetal NOAEL: 1.58 mg/kg/d (rats)</w:t>
            </w:r>
          </w:p>
          <w:p w14:paraId="40708FB7" w14:textId="2EB1EF90" w:rsidR="00B75E97" w:rsidRDefault="00D76AE3" w:rsidP="00931B3F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f</w:t>
            </w:r>
            <w:r w:rsidR="0062495C">
              <w:t>oetal NOAEL: 2 mg/kg/d, foetal LOAEL: 6 mg/kg/d (mice)</w:t>
            </w:r>
          </w:p>
          <w:p w14:paraId="4ED4E0B9" w14:textId="77777777" w:rsidR="003F5165" w:rsidRDefault="00C74EEB" w:rsidP="003F5165">
            <w:pPr>
              <w:pStyle w:val="Tabletextprimarysource"/>
              <w:numPr>
                <w:ilvl w:val="0"/>
                <w:numId w:val="1"/>
              </w:numPr>
            </w:pPr>
            <w:r>
              <w:t>98% of orally absorbed substance excreted in urine and faeces within 96 h (rats); 0.38% in expired air.</w:t>
            </w:r>
          </w:p>
          <w:p w14:paraId="4994BC11" w14:textId="77777777" w:rsidR="00D76AE3" w:rsidRDefault="00D76AE3" w:rsidP="00931B3F">
            <w:pPr>
              <w:pStyle w:val="Tabletextprimarysource"/>
            </w:pPr>
          </w:p>
          <w:p w14:paraId="45B56225" w14:textId="77777777" w:rsidR="00931B3F" w:rsidRDefault="00D76AE3" w:rsidP="00931B3F">
            <w:pPr>
              <w:pStyle w:val="Tabletextprimarysource"/>
            </w:pPr>
            <w:r>
              <w:t>A skin notation is warranted based on low dermal LD</w:t>
            </w:r>
            <w:r>
              <w:rPr>
                <w:vertAlign w:val="subscript"/>
              </w:rPr>
              <w:t>50</w:t>
            </w:r>
            <w:r>
              <w:t xml:space="preserve"> values in animals. </w:t>
            </w:r>
          </w:p>
          <w:p w14:paraId="49C83F0F" w14:textId="77777777" w:rsidR="00931B3F" w:rsidRDefault="00D76AE3" w:rsidP="00931B3F">
            <w:pPr>
              <w:pStyle w:val="Tabletextprimarysource"/>
            </w:pPr>
            <w:r>
              <w:t xml:space="preserve">Not classifiable as a human carcinogen based on chronic animal feeding studies. </w:t>
            </w:r>
          </w:p>
          <w:p w14:paraId="49B2CB9A" w14:textId="74FDDB05" w:rsidR="00D76AE3" w:rsidRDefault="00D76AE3" w:rsidP="00931B3F">
            <w:pPr>
              <w:pStyle w:val="Tabletextprimarysource"/>
            </w:pPr>
            <w:r>
              <w:t>Insufficient data to recommend a STEL or sensitiser notation.</w:t>
            </w:r>
          </w:p>
          <w:p w14:paraId="3CF5EB3E" w14:textId="581C1DDF" w:rsidR="00D76AE3" w:rsidRPr="00BA2BA1" w:rsidRDefault="00D76AE3" w:rsidP="00931B3F">
            <w:pPr>
              <w:pStyle w:val="Tabletextprimarysource"/>
            </w:pPr>
          </w:p>
        </w:tc>
      </w:tr>
      <w:tr w:rsidR="00C978F0" w:rsidRPr="00DA352E" w14:paraId="56AA5804" w14:textId="77777777" w:rsidTr="0013600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BADD3FC" w14:textId="1BAB76E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85A4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B85A4C">
                  <w:t>NA</w:t>
                </w:r>
                <w:proofErr w:type="spellEnd"/>
              </w:sdtContent>
            </w:sdt>
          </w:p>
        </w:tc>
      </w:tr>
      <w:tr w:rsidR="00C978F0" w:rsidRPr="00DA352E" w14:paraId="66F194D4" w14:textId="77777777" w:rsidTr="0013600A">
        <w:trPr>
          <w:gridAfter w:val="1"/>
          <w:wAfter w:w="8" w:type="pct"/>
        </w:trPr>
        <w:tc>
          <w:tcPr>
            <w:tcW w:w="4992" w:type="pct"/>
          </w:tcPr>
          <w:p w14:paraId="5FFF79D4" w14:textId="529D50F1" w:rsidR="00C978F0" w:rsidRPr="00DA352E" w:rsidRDefault="00B85A4C" w:rsidP="003365A5">
            <w:pPr>
              <w:pStyle w:val="Tabletextprimarysource"/>
            </w:pPr>
            <w:r>
              <w:t>No report</w:t>
            </w:r>
            <w:r w:rsidR="0013600A">
              <w:t>.</w:t>
            </w:r>
          </w:p>
        </w:tc>
      </w:tr>
      <w:tr w:rsidR="00C978F0" w:rsidRPr="00DA352E" w14:paraId="34A2B367" w14:textId="77777777" w:rsidTr="0013600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CE7688C" w14:textId="0534DB6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85A4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85A4C">
                  <w:t>NA</w:t>
                </w:r>
                <w:proofErr w:type="spellEnd"/>
              </w:sdtContent>
            </w:sdt>
          </w:p>
        </w:tc>
      </w:tr>
      <w:tr w:rsidR="00C978F0" w:rsidRPr="00DA352E" w14:paraId="2516114A" w14:textId="77777777" w:rsidTr="0013600A">
        <w:trPr>
          <w:gridAfter w:val="1"/>
          <w:wAfter w:w="8" w:type="pct"/>
        </w:trPr>
        <w:tc>
          <w:tcPr>
            <w:tcW w:w="4992" w:type="pct"/>
          </w:tcPr>
          <w:p w14:paraId="60C94983" w14:textId="6CE761D4" w:rsidR="00C978F0" w:rsidRPr="00DA352E" w:rsidRDefault="00B85A4C" w:rsidP="003365A5">
            <w:pPr>
              <w:pStyle w:val="Tabletextprimarysource"/>
            </w:pPr>
            <w:r>
              <w:t>No report</w:t>
            </w:r>
            <w:r w:rsidR="0013600A">
              <w:t>.</w:t>
            </w:r>
          </w:p>
        </w:tc>
      </w:tr>
      <w:tr w:rsidR="00DA352E" w:rsidRPr="00DA352E" w14:paraId="16612AA5" w14:textId="77777777" w:rsidTr="0013600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AA21088" w14:textId="766BB7F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85A4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85A4C">
                  <w:t>NA</w:t>
                </w:r>
                <w:proofErr w:type="spellEnd"/>
              </w:sdtContent>
            </w:sdt>
          </w:p>
        </w:tc>
      </w:tr>
      <w:tr w:rsidR="00DA352E" w:rsidRPr="00DA352E" w14:paraId="29943487" w14:textId="77777777" w:rsidTr="0013600A">
        <w:trPr>
          <w:gridAfter w:val="1"/>
          <w:wAfter w:w="8" w:type="pct"/>
        </w:trPr>
        <w:tc>
          <w:tcPr>
            <w:tcW w:w="4992" w:type="pct"/>
          </w:tcPr>
          <w:p w14:paraId="28ADAB5F" w14:textId="407D8C48" w:rsidR="00DA352E" w:rsidRPr="00DA352E" w:rsidRDefault="00B85A4C" w:rsidP="003365A5">
            <w:pPr>
              <w:pStyle w:val="Tabletextprimarysource"/>
            </w:pPr>
            <w:r>
              <w:t>No report</w:t>
            </w:r>
            <w:r w:rsidR="0013600A">
              <w:t>.</w:t>
            </w:r>
          </w:p>
        </w:tc>
      </w:tr>
      <w:tr w:rsidR="00DA352E" w:rsidRPr="00DA352E" w14:paraId="39B555BE" w14:textId="77777777" w:rsidTr="0013600A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5AFF0CA" w14:textId="63B2CF7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85A4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B85A4C">
                  <w:t>NA</w:t>
                </w:r>
                <w:proofErr w:type="spellEnd"/>
              </w:sdtContent>
            </w:sdt>
          </w:p>
        </w:tc>
      </w:tr>
      <w:tr w:rsidR="00DA352E" w:rsidRPr="00DA352E" w14:paraId="3321D21E" w14:textId="77777777" w:rsidTr="0013600A">
        <w:trPr>
          <w:gridAfter w:val="1"/>
          <w:wAfter w:w="8" w:type="pct"/>
        </w:trPr>
        <w:tc>
          <w:tcPr>
            <w:tcW w:w="4992" w:type="pct"/>
          </w:tcPr>
          <w:p w14:paraId="7CA72420" w14:textId="34B2D5B5" w:rsidR="00DA352E" w:rsidRPr="00DA352E" w:rsidRDefault="00B85A4C" w:rsidP="003365A5">
            <w:pPr>
              <w:pStyle w:val="Tabletextprimarysource"/>
            </w:pPr>
            <w:r>
              <w:t>No report</w:t>
            </w:r>
            <w:r w:rsidR="0013600A">
              <w:t>.</w:t>
            </w:r>
          </w:p>
        </w:tc>
      </w:tr>
    </w:tbl>
    <w:p w14:paraId="3386915B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14:paraId="6D4CC7AE" w14:textId="77777777" w:rsidTr="0013600A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4C831C5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CE2E5A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7906241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4916086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3673405" w14:textId="77777777" w:rsidTr="0013600A">
        <w:trPr>
          <w:cantSplit/>
        </w:trPr>
        <w:tc>
          <w:tcPr>
            <w:tcW w:w="1492" w:type="dxa"/>
          </w:tcPr>
          <w:p w14:paraId="3B1ABC28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0BB12E30" w14:textId="5F42AC35" w:rsidR="004966BF" w:rsidRPr="00CE617F" w:rsidRDefault="00455CB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82F6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745B13E" w14:textId="1E8618EC" w:rsidR="004966BF" w:rsidRPr="004C23F4" w:rsidRDefault="00F82F6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51" w:type="dxa"/>
          </w:tcPr>
          <w:p w14:paraId="15B5DE64" w14:textId="29AE7C71" w:rsidR="004966BF" w:rsidRDefault="00C74EEB" w:rsidP="00931B3F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Chronic 2</w:t>
            </w:r>
            <w:r w:rsidR="00931B3F">
              <w:rPr>
                <w:rStyle w:val="checkbox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checkbox"/>
                <w:rFonts w:ascii="Arial" w:hAnsi="Arial" w:cs="Arial"/>
              </w:rPr>
              <w:t>yr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feeding study (dogs) presented in ACGIH (2018) used as principal study to derive oral reference dose</w:t>
            </w:r>
            <w:r w:rsidR="00F82F6C">
              <w:rPr>
                <w:rStyle w:val="checkbox"/>
                <w:rFonts w:ascii="Arial" w:hAnsi="Arial" w:cs="Arial"/>
              </w:rPr>
              <w:t xml:space="preserve"> (</w:t>
            </w:r>
            <w:proofErr w:type="spellStart"/>
            <w:r w:rsidR="00F82F6C">
              <w:rPr>
                <w:rStyle w:val="checkbox"/>
                <w:rFonts w:ascii="Arial" w:hAnsi="Arial" w:cs="Arial"/>
              </w:rPr>
              <w:t>RfD</w:t>
            </w:r>
            <w:proofErr w:type="spellEnd"/>
            <w:r w:rsidR="00F82F6C">
              <w:rPr>
                <w:rStyle w:val="checkbox"/>
                <w:rFonts w:ascii="Arial" w:hAnsi="Arial" w:cs="Arial"/>
              </w:rPr>
              <w:t>)</w:t>
            </w:r>
          </w:p>
          <w:p w14:paraId="27D5C652" w14:textId="7118EEDB" w:rsidR="00C74EEB" w:rsidRPr="00F82F6C" w:rsidRDefault="00C74EEB" w:rsidP="00931B3F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t>Chronic 2</w:t>
            </w:r>
            <w:r w:rsidR="00931B3F"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rat feeding study not used to derive the </w:t>
            </w:r>
            <w:proofErr w:type="spellStart"/>
            <w:r>
              <w:t>RfD</w:t>
            </w:r>
            <w:proofErr w:type="spellEnd"/>
            <w:r>
              <w:t xml:space="preserve"> </w:t>
            </w:r>
            <w:r w:rsidR="00F82F6C">
              <w:t>due to</w:t>
            </w:r>
            <w:r>
              <w:t xml:space="preserve"> equivocal </w:t>
            </w:r>
            <w:r w:rsidR="00F82F6C">
              <w:t xml:space="preserve">observations for </w:t>
            </w:r>
            <w:proofErr w:type="spellStart"/>
            <w:r w:rsidR="00931B3F">
              <w:t>ChE</w:t>
            </w:r>
            <w:proofErr w:type="spellEnd"/>
            <w:r>
              <w:t xml:space="preserve"> depression</w:t>
            </w:r>
          </w:p>
          <w:p w14:paraId="0FE140BF" w14:textId="77777777" w:rsidR="00F82F6C" w:rsidRPr="00F82F6C" w:rsidRDefault="00F82F6C" w:rsidP="00931B3F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t>Inhalation reference dose not yet established</w:t>
            </w:r>
          </w:p>
          <w:p w14:paraId="37AD6E24" w14:textId="285D379A" w:rsidR="00F82F6C" w:rsidRPr="004C23F4" w:rsidRDefault="00F82F6C" w:rsidP="00931B3F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t>Carcinogenic potential not yet evaluated.</w:t>
            </w:r>
          </w:p>
        </w:tc>
      </w:tr>
    </w:tbl>
    <w:p w14:paraId="2DCF2EFA" w14:textId="77777777" w:rsidR="007E2A4B" w:rsidRDefault="007E2A4B"/>
    <w:bookmarkEnd w:id="1"/>
    <w:p w14:paraId="0049EE8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02191FE" w14:textId="77777777" w:rsidTr="00BF0AC3">
        <w:trPr>
          <w:trHeight w:val="454"/>
          <w:tblHeader/>
        </w:trPr>
        <w:tc>
          <w:tcPr>
            <w:tcW w:w="6603" w:type="dxa"/>
            <w:vAlign w:val="center"/>
          </w:tcPr>
          <w:p w14:paraId="2F50BCB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7645BC6" w14:textId="2B06563E" w:rsidR="002E0D61" w:rsidRDefault="00BF0AC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236953D1" w14:textId="77777777" w:rsidTr="00BF0AC3">
        <w:trPr>
          <w:trHeight w:val="454"/>
        </w:trPr>
        <w:tc>
          <w:tcPr>
            <w:tcW w:w="6603" w:type="dxa"/>
            <w:vAlign w:val="center"/>
          </w:tcPr>
          <w:p w14:paraId="52EAC00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2D57EAC" w14:textId="35C133B8" w:rsidR="008A36CF" w:rsidRDefault="00BF0AC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AF4B123" w14:textId="77777777" w:rsidTr="00BF0AC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AC14FC5" w14:textId="6E4720F0" w:rsidR="008A36CF" w:rsidRPr="006901A2" w:rsidRDefault="00BF0AC3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51E000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734EA1A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191686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A9C520B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A0449D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D49B068" w14:textId="77777777" w:rsidTr="00812887">
        <w:trPr>
          <w:cantSplit/>
        </w:trPr>
        <w:tc>
          <w:tcPr>
            <w:tcW w:w="3227" w:type="dxa"/>
          </w:tcPr>
          <w:p w14:paraId="625F83E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553DCC9" w14:textId="1CF155D8" w:rsidR="00687890" w:rsidRPr="00DD2F9B" w:rsidRDefault="00B85A4C" w:rsidP="00DD2F9B">
            <w:pPr>
              <w:pStyle w:val="Tablefont"/>
            </w:pPr>
            <w:r w:rsidRPr="00B85A4C">
              <w:t>Skin</w:t>
            </w:r>
          </w:p>
        </w:tc>
      </w:tr>
      <w:tr w:rsidR="007925F0" w:rsidRPr="004C23F4" w14:paraId="701905B3" w14:textId="77777777" w:rsidTr="00812887">
        <w:trPr>
          <w:cantSplit/>
        </w:trPr>
        <w:tc>
          <w:tcPr>
            <w:tcW w:w="3227" w:type="dxa"/>
          </w:tcPr>
          <w:p w14:paraId="0F01782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66A1E4B" w14:textId="29B2DA33" w:rsidR="007925F0" w:rsidRPr="00DD2F9B" w:rsidRDefault="00C76B05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28D04438" w14:textId="77777777" w:rsidTr="00812887">
        <w:trPr>
          <w:cantSplit/>
        </w:trPr>
        <w:tc>
          <w:tcPr>
            <w:tcW w:w="3227" w:type="dxa"/>
          </w:tcPr>
          <w:p w14:paraId="0AFC97CC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75812A7" w14:textId="1CD01D52" w:rsidR="00AF483F" w:rsidRPr="00DD2F9B" w:rsidRDefault="00C76B0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146C887" w14:textId="77777777" w:rsidTr="00812887">
        <w:trPr>
          <w:cantSplit/>
        </w:trPr>
        <w:tc>
          <w:tcPr>
            <w:tcW w:w="3227" w:type="dxa"/>
          </w:tcPr>
          <w:p w14:paraId="58D5F0F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28AC8D1" w14:textId="49269D25" w:rsidR="00687890" w:rsidRPr="00DD2F9B" w:rsidRDefault="00B11BE5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3DD58004" w14:textId="77777777" w:rsidTr="00812887">
        <w:trPr>
          <w:cantSplit/>
        </w:trPr>
        <w:tc>
          <w:tcPr>
            <w:tcW w:w="3227" w:type="dxa"/>
          </w:tcPr>
          <w:p w14:paraId="5387AB4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6C27A2B" w14:textId="5BCEE591" w:rsidR="00E41A26" w:rsidRPr="00DD2F9B" w:rsidRDefault="00C76B0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E785F38" w14:textId="77777777" w:rsidTr="00812887">
        <w:trPr>
          <w:cantSplit/>
        </w:trPr>
        <w:tc>
          <w:tcPr>
            <w:tcW w:w="3227" w:type="dxa"/>
          </w:tcPr>
          <w:p w14:paraId="429CDC5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6BEBD7F" w14:textId="6FBFB8BA" w:rsidR="002E0D61" w:rsidRPr="00DD2F9B" w:rsidRDefault="00C76B05" w:rsidP="00DD2F9B">
            <w:pPr>
              <w:pStyle w:val="Tablefont"/>
            </w:pPr>
            <w:r w:rsidRPr="00C76B05">
              <w:t>Carcinogenicity – A4</w:t>
            </w:r>
            <w:r>
              <w:t>, Skin</w:t>
            </w:r>
          </w:p>
        </w:tc>
      </w:tr>
      <w:tr w:rsidR="002E0D61" w:rsidRPr="004C23F4" w14:paraId="29124C12" w14:textId="77777777" w:rsidTr="00812887">
        <w:trPr>
          <w:cantSplit/>
        </w:trPr>
        <w:tc>
          <w:tcPr>
            <w:tcW w:w="3227" w:type="dxa"/>
          </w:tcPr>
          <w:p w14:paraId="5AE9B60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2F8AD04" w14:textId="390B11AC" w:rsidR="002E0D61" w:rsidRPr="00DD2F9B" w:rsidRDefault="00C76B0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B0F6075" w14:textId="77777777" w:rsidTr="00812887">
        <w:trPr>
          <w:cantSplit/>
        </w:trPr>
        <w:tc>
          <w:tcPr>
            <w:tcW w:w="3227" w:type="dxa"/>
          </w:tcPr>
          <w:p w14:paraId="3DFD0B4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FA79517" w14:textId="79179092" w:rsidR="002E0D61" w:rsidRPr="00DD2F9B" w:rsidRDefault="00C76B0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2522B1C" w14:textId="77777777" w:rsidTr="00812887">
        <w:trPr>
          <w:cantSplit/>
        </w:trPr>
        <w:tc>
          <w:tcPr>
            <w:tcW w:w="3227" w:type="dxa"/>
          </w:tcPr>
          <w:p w14:paraId="27F43ED3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01AE1B8" w14:textId="1A9445F8" w:rsidR="002E0D61" w:rsidRPr="00DD2F9B" w:rsidRDefault="00C76B0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03FCEDF" w14:textId="77777777" w:rsidTr="00812887">
        <w:trPr>
          <w:cantSplit/>
        </w:trPr>
        <w:tc>
          <w:tcPr>
            <w:tcW w:w="3227" w:type="dxa"/>
          </w:tcPr>
          <w:p w14:paraId="254C8DC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4E85634" w14:textId="2A164D94" w:rsidR="00386093" w:rsidRPr="00DD2F9B" w:rsidRDefault="00C76B0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AB0BB85" w14:textId="77777777" w:rsidTr="00812887">
        <w:trPr>
          <w:cantSplit/>
        </w:trPr>
        <w:tc>
          <w:tcPr>
            <w:tcW w:w="3227" w:type="dxa"/>
          </w:tcPr>
          <w:p w14:paraId="0AF033E1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C0303AC" w14:textId="1749E742" w:rsidR="00386093" w:rsidRPr="00DD2F9B" w:rsidRDefault="00C76B0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916B59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740EDE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36B7B2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0F4339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AB1680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02" w:type="dxa"/>
              <w:tblLook w:val="04A0" w:firstRow="1" w:lastRow="0" w:firstColumn="1" w:lastColumn="0" w:noHBand="0" w:noVBand="1"/>
            </w:tblPr>
            <w:tblGrid>
              <w:gridCol w:w="3581"/>
              <w:gridCol w:w="1060"/>
              <w:gridCol w:w="1060"/>
              <w:gridCol w:w="3109"/>
            </w:tblGrid>
            <w:tr w:rsidR="00BF0AC3" w:rsidRPr="00BF0AC3" w14:paraId="55B639F4" w14:textId="77777777" w:rsidTr="00BF0AC3">
              <w:trPr>
                <w:trHeight w:val="231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1ABAD4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7E4B88" w14:textId="77777777" w:rsidR="00BF0AC3" w:rsidRPr="00BF0AC3" w:rsidRDefault="00BF0AC3" w:rsidP="00BF0AC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246545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4DB8C6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F0AC3" w:rsidRPr="00BF0AC3" w14:paraId="3602831B" w14:textId="77777777" w:rsidTr="00BF0AC3">
              <w:trPr>
                <w:trHeight w:val="231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DA1E0E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CBFE5D0" w14:textId="77777777" w:rsidR="00BF0AC3" w:rsidRPr="00BF0AC3" w:rsidRDefault="00BF0AC3" w:rsidP="00BF0AC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E03786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BEFD27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F0AC3" w:rsidRPr="00BF0AC3" w14:paraId="6D8C6E92" w14:textId="77777777" w:rsidTr="00BF0AC3">
              <w:trPr>
                <w:trHeight w:val="231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6C76A8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10C852" w14:textId="77777777" w:rsidR="00BF0AC3" w:rsidRPr="00BF0AC3" w:rsidRDefault="00BF0AC3" w:rsidP="00BF0AC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E1E1F5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A64AB3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F0AC3" w:rsidRPr="00BF0AC3" w14:paraId="196CEC0F" w14:textId="77777777" w:rsidTr="00BF0AC3">
              <w:trPr>
                <w:trHeight w:val="231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7AC40F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3C05860" w14:textId="77777777" w:rsidR="00BF0AC3" w:rsidRPr="00BF0AC3" w:rsidRDefault="00BF0AC3" w:rsidP="00BF0AC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0B4E6A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CC15CA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F0AC3" w:rsidRPr="00BF0AC3" w14:paraId="5913226A" w14:textId="77777777" w:rsidTr="00BF0AC3">
              <w:trPr>
                <w:trHeight w:val="231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A8B0BA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9088AB" w14:textId="77777777" w:rsidR="00BF0AC3" w:rsidRPr="00BF0AC3" w:rsidRDefault="00BF0AC3" w:rsidP="00BF0AC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D7CB55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A06A19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F0AC3" w:rsidRPr="00BF0AC3" w14:paraId="5C2B5422" w14:textId="77777777" w:rsidTr="00BF0AC3">
              <w:trPr>
                <w:trHeight w:val="231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1C1479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4A493D" w14:textId="77777777" w:rsidR="00BF0AC3" w:rsidRPr="00BF0AC3" w:rsidRDefault="00BF0AC3" w:rsidP="00BF0AC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E8767D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165E46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BF0AC3" w:rsidRPr="00BF0AC3" w14:paraId="08361E40" w14:textId="77777777" w:rsidTr="00BF0AC3">
              <w:trPr>
                <w:trHeight w:val="231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4778BE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EFC314" w14:textId="77777777" w:rsidR="00BF0AC3" w:rsidRPr="00BF0AC3" w:rsidRDefault="00BF0AC3" w:rsidP="00BF0AC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1B96A2" w14:textId="77777777" w:rsidR="00BF0AC3" w:rsidRPr="00BF0AC3" w:rsidRDefault="00BF0AC3" w:rsidP="00BF0AC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6E7973" w14:textId="77777777" w:rsidR="00BF0AC3" w:rsidRPr="00BF0AC3" w:rsidRDefault="00BF0AC3" w:rsidP="00BF0AC3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BF0AC3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1D5F439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2EFA7E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EA5BD3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F095C4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526DAD4" w14:textId="36206A06" w:rsidR="00EB3D1B" w:rsidRDefault="00C76B0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759151E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4FF83F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F8BD87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2FC52C1" w14:textId="4614B507" w:rsidR="001B79E5" w:rsidRDefault="00C76B05" w:rsidP="001B79E5">
                <w:pPr>
                  <w:pStyle w:val="Tablefont"/>
                </w:pPr>
                <w:r w:rsidRPr="00C76B05">
                  <w:t>246.3</w:t>
                </w:r>
              </w:p>
            </w:tc>
          </w:sdtContent>
        </w:sdt>
      </w:tr>
      <w:tr w:rsidR="00A31D99" w:rsidRPr="004C23F4" w14:paraId="6E0B8AE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9766A0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ECD88F2" w14:textId="79EF8DB8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76B05">
                  <w:t>0.004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76B05">
                  <w:t>250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A8D1E3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BDD65D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79998F2" w14:textId="1567ADF3" w:rsidR="00687890" w:rsidRPr="004C23F4" w:rsidRDefault="00AB6445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441D8A1F" w14:textId="77777777" w:rsidTr="00EA6243">
        <w:trPr>
          <w:cantSplit/>
        </w:trPr>
        <w:tc>
          <w:tcPr>
            <w:tcW w:w="4077" w:type="dxa"/>
            <w:vAlign w:val="center"/>
          </w:tcPr>
          <w:p w14:paraId="02CD9E9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54ADD6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DF30212" w14:textId="77777777" w:rsidTr="00EA6243">
        <w:trPr>
          <w:cantSplit/>
        </w:trPr>
        <w:tc>
          <w:tcPr>
            <w:tcW w:w="4077" w:type="dxa"/>
            <w:vAlign w:val="center"/>
          </w:tcPr>
          <w:p w14:paraId="3C48AAD8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ACEE34E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087EBBA" w14:textId="77777777" w:rsidTr="00EA6243">
        <w:trPr>
          <w:cantSplit/>
        </w:trPr>
        <w:tc>
          <w:tcPr>
            <w:tcW w:w="4077" w:type="dxa"/>
            <w:vAlign w:val="center"/>
          </w:tcPr>
          <w:p w14:paraId="6EA36B7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E5EA90C" w14:textId="250F7460" w:rsidR="00E06F40" w:rsidRPr="00A006A0" w:rsidRDefault="00455CB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360ED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96B2B84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3E5A15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F7144D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76AB66F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F5621F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B6C028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9A94F5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661B44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D4E06CB" w14:textId="695A2941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8EE68A4" w14:textId="2B6EE4FD" w:rsidR="00F82F6C" w:rsidRPr="00351FE0" w:rsidRDefault="00F82F6C" w:rsidP="00084859">
      <w:r w:rsidRPr="00F82F6C">
        <w:t>US Environmental Protection Authority (US EPA) (</w:t>
      </w:r>
      <w:r>
        <w:t>1987</w:t>
      </w:r>
      <w:r w:rsidRPr="00F82F6C">
        <w:t xml:space="preserve">) Integrated Risk Information System (IRIS) Chemical Assessment Summary – </w:t>
      </w:r>
      <w:proofErr w:type="spellStart"/>
      <w:r w:rsidRPr="00F82F6C">
        <w:t>Fonofos</w:t>
      </w:r>
      <w:proofErr w:type="spellEnd"/>
      <w:r w:rsidRPr="00F82F6C">
        <w:t>.</w:t>
      </w:r>
    </w:p>
    <w:sectPr w:rsidR="00F82F6C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13A00" w16cid:durableId="21CB64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BB4CC" w14:textId="77777777" w:rsidR="00730826" w:rsidRDefault="00730826" w:rsidP="00F43AD5">
      <w:pPr>
        <w:spacing w:after="0" w:line="240" w:lineRule="auto"/>
      </w:pPr>
      <w:r>
        <w:separator/>
      </w:r>
    </w:p>
  </w:endnote>
  <w:endnote w:type="continuationSeparator" w:id="0">
    <w:p w14:paraId="6708F495" w14:textId="77777777" w:rsidR="00730826" w:rsidRDefault="0073082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4D180" w14:textId="77777777" w:rsidR="00F733DB" w:rsidRDefault="00F73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351AF48" w14:textId="1A789E8E" w:rsidR="00F733DB" w:rsidRDefault="00F733DB" w:rsidP="0034744C">
        <w:pPr>
          <w:pStyle w:val="Footer"/>
          <w:rPr>
            <w:sz w:val="18"/>
            <w:szCs w:val="18"/>
          </w:rPr>
        </w:pPr>
        <w:proofErr w:type="spellStart"/>
        <w:r w:rsidRPr="00DE5894">
          <w:rPr>
            <w:b/>
            <w:sz w:val="18"/>
            <w:szCs w:val="18"/>
          </w:rPr>
          <w:t>Fonofos</w:t>
        </w:r>
        <w:proofErr w:type="spellEnd"/>
        <w:r>
          <w:rPr>
            <w:b/>
            <w:sz w:val="18"/>
            <w:szCs w:val="18"/>
          </w:rPr>
          <w:t xml:space="preserve"> (</w:t>
        </w:r>
        <w:r w:rsidRPr="00F457F6">
          <w:rPr>
            <w:b/>
            <w:sz w:val="18"/>
            <w:szCs w:val="18"/>
          </w:rPr>
          <w:t>944-22-9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3FBE23D0" w14:textId="24882B27" w:rsidR="00F733DB" w:rsidRPr="00F43AD5" w:rsidRDefault="00F733DB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55CB7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ED67" w14:textId="77777777" w:rsidR="00F733DB" w:rsidRDefault="00F73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2BDE" w14:textId="77777777" w:rsidR="00730826" w:rsidRDefault="00730826" w:rsidP="00F43AD5">
      <w:pPr>
        <w:spacing w:after="0" w:line="240" w:lineRule="auto"/>
      </w:pPr>
      <w:r>
        <w:separator/>
      </w:r>
    </w:p>
  </w:footnote>
  <w:footnote w:type="continuationSeparator" w:id="0">
    <w:p w14:paraId="01F1A2F2" w14:textId="77777777" w:rsidR="00730826" w:rsidRDefault="0073082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CEE3" w14:textId="77777777" w:rsidR="00F733DB" w:rsidRDefault="00F73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D23B3" w14:textId="7C630906" w:rsidR="00E73437" w:rsidRDefault="00455CB7" w:rsidP="00E73437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7AE303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73437">
      <w:rPr>
        <w:noProof/>
        <w:lang w:eastAsia="en-AU"/>
      </w:rPr>
      <w:drawing>
        <wp:inline distT="0" distB="0" distL="0" distR="0" wp14:anchorId="71FE4E42" wp14:editId="6D193DC1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65382" w14:textId="65E770E6" w:rsidR="00F733DB" w:rsidRPr="00E73437" w:rsidRDefault="00F733DB" w:rsidP="00E73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FFA0" w14:textId="77777777" w:rsidR="00F733DB" w:rsidRDefault="00F733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48D0" w14:textId="6D23A9A2" w:rsidR="00E73437" w:rsidRDefault="00455CB7" w:rsidP="00E73437">
    <w:pPr>
      <w:pStyle w:val="Header"/>
      <w:jc w:val="right"/>
    </w:pPr>
    <w:sdt>
      <w:sdtPr>
        <w:id w:val="-644894570"/>
        <w:docPartObj>
          <w:docPartGallery w:val="Watermarks"/>
          <w:docPartUnique/>
        </w:docPartObj>
      </w:sdtPr>
      <w:sdtEndPr/>
      <w:sdtContent>
        <w:r>
          <w:pict w14:anchorId="2E96D4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73437">
      <w:rPr>
        <w:noProof/>
        <w:lang w:eastAsia="en-AU"/>
      </w:rPr>
      <w:drawing>
        <wp:inline distT="0" distB="0" distL="0" distR="0" wp14:anchorId="6B6B3F3A" wp14:editId="38995376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A78FD" w14:textId="77777777" w:rsidR="00F733DB" w:rsidRDefault="00F733DB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37C4F"/>
    <w:multiLevelType w:val="hybridMultilevel"/>
    <w:tmpl w:val="F740F4C4"/>
    <w:lvl w:ilvl="0" w:tplc="531E0E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1F76"/>
    <w:rsid w:val="00032B88"/>
    <w:rsid w:val="00035199"/>
    <w:rsid w:val="00046DF5"/>
    <w:rsid w:val="00052060"/>
    <w:rsid w:val="0005574A"/>
    <w:rsid w:val="00055FE1"/>
    <w:rsid w:val="00056EC2"/>
    <w:rsid w:val="00060B48"/>
    <w:rsid w:val="00060D41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3600A"/>
    <w:rsid w:val="00140E6A"/>
    <w:rsid w:val="00146545"/>
    <w:rsid w:val="00146B75"/>
    <w:rsid w:val="0015266D"/>
    <w:rsid w:val="0015288A"/>
    <w:rsid w:val="00160F47"/>
    <w:rsid w:val="0016168C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6AE1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0C1E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72E2"/>
    <w:rsid w:val="003D4FA3"/>
    <w:rsid w:val="003E0807"/>
    <w:rsid w:val="003E51FB"/>
    <w:rsid w:val="003E6B39"/>
    <w:rsid w:val="003F07E1"/>
    <w:rsid w:val="003F5165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5CB7"/>
    <w:rsid w:val="00460A03"/>
    <w:rsid w:val="00472A11"/>
    <w:rsid w:val="00472AAD"/>
    <w:rsid w:val="00474E33"/>
    <w:rsid w:val="00476803"/>
    <w:rsid w:val="004814A8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4F7EA9"/>
    <w:rsid w:val="0050005E"/>
    <w:rsid w:val="00502B88"/>
    <w:rsid w:val="005142C4"/>
    <w:rsid w:val="0051509C"/>
    <w:rsid w:val="005215C5"/>
    <w:rsid w:val="005272E2"/>
    <w:rsid w:val="0053108F"/>
    <w:rsid w:val="00532B56"/>
    <w:rsid w:val="00534B10"/>
    <w:rsid w:val="005360ED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95C"/>
    <w:rsid w:val="00624C4E"/>
    <w:rsid w:val="00625200"/>
    <w:rsid w:val="006310A4"/>
    <w:rsid w:val="00632181"/>
    <w:rsid w:val="006363A8"/>
    <w:rsid w:val="00636DB7"/>
    <w:rsid w:val="00640F0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3E83"/>
    <w:rsid w:val="006762D4"/>
    <w:rsid w:val="00677D9B"/>
    <w:rsid w:val="00681E8E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4CC9"/>
    <w:rsid w:val="006D79EA"/>
    <w:rsid w:val="006E5D05"/>
    <w:rsid w:val="00701053"/>
    <w:rsid w:val="00701507"/>
    <w:rsid w:val="00702771"/>
    <w:rsid w:val="00714021"/>
    <w:rsid w:val="00716A0F"/>
    <w:rsid w:val="00717D45"/>
    <w:rsid w:val="007208F7"/>
    <w:rsid w:val="007218AF"/>
    <w:rsid w:val="00730826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5CB3"/>
    <w:rsid w:val="007A7A3B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39B0"/>
    <w:rsid w:val="00864D13"/>
    <w:rsid w:val="00871CD5"/>
    <w:rsid w:val="008745A2"/>
    <w:rsid w:val="008768A8"/>
    <w:rsid w:val="008854BD"/>
    <w:rsid w:val="0088798F"/>
    <w:rsid w:val="00887E4B"/>
    <w:rsid w:val="008915C8"/>
    <w:rsid w:val="008A36CF"/>
    <w:rsid w:val="008A3BC4"/>
    <w:rsid w:val="008B403C"/>
    <w:rsid w:val="008B7535"/>
    <w:rsid w:val="008B7983"/>
    <w:rsid w:val="008C2511"/>
    <w:rsid w:val="008D026D"/>
    <w:rsid w:val="008D23AB"/>
    <w:rsid w:val="008D4B8B"/>
    <w:rsid w:val="008D5A78"/>
    <w:rsid w:val="008E2587"/>
    <w:rsid w:val="008E78ED"/>
    <w:rsid w:val="008E7B64"/>
    <w:rsid w:val="008F5DCD"/>
    <w:rsid w:val="008F6D00"/>
    <w:rsid w:val="00900951"/>
    <w:rsid w:val="009118A6"/>
    <w:rsid w:val="00916909"/>
    <w:rsid w:val="00916EC0"/>
    <w:rsid w:val="00920467"/>
    <w:rsid w:val="00921DE7"/>
    <w:rsid w:val="00922520"/>
    <w:rsid w:val="0093041A"/>
    <w:rsid w:val="00930714"/>
    <w:rsid w:val="00931B03"/>
    <w:rsid w:val="00931B3F"/>
    <w:rsid w:val="009323B9"/>
    <w:rsid w:val="00932DCE"/>
    <w:rsid w:val="0093327E"/>
    <w:rsid w:val="00934028"/>
    <w:rsid w:val="0093760E"/>
    <w:rsid w:val="00941B31"/>
    <w:rsid w:val="00946044"/>
    <w:rsid w:val="0094660B"/>
    <w:rsid w:val="00946A33"/>
    <w:rsid w:val="0095260E"/>
    <w:rsid w:val="009578DD"/>
    <w:rsid w:val="00961124"/>
    <w:rsid w:val="009621B6"/>
    <w:rsid w:val="00970597"/>
    <w:rsid w:val="00974F2D"/>
    <w:rsid w:val="00977524"/>
    <w:rsid w:val="00977E88"/>
    <w:rsid w:val="00984920"/>
    <w:rsid w:val="009920F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3CFE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367D1"/>
    <w:rsid w:val="00A402A3"/>
    <w:rsid w:val="00A443F6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6445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1BE5"/>
    <w:rsid w:val="00B1422A"/>
    <w:rsid w:val="00B1765C"/>
    <w:rsid w:val="00B213C4"/>
    <w:rsid w:val="00B31138"/>
    <w:rsid w:val="00B40C60"/>
    <w:rsid w:val="00B47921"/>
    <w:rsid w:val="00B479A9"/>
    <w:rsid w:val="00B52EDF"/>
    <w:rsid w:val="00B71188"/>
    <w:rsid w:val="00B75E97"/>
    <w:rsid w:val="00B76A41"/>
    <w:rsid w:val="00B85A4C"/>
    <w:rsid w:val="00B87D4C"/>
    <w:rsid w:val="00B93646"/>
    <w:rsid w:val="00BA0B38"/>
    <w:rsid w:val="00BA1DBB"/>
    <w:rsid w:val="00BA2BA1"/>
    <w:rsid w:val="00BA3081"/>
    <w:rsid w:val="00BA4510"/>
    <w:rsid w:val="00BA529A"/>
    <w:rsid w:val="00BB612A"/>
    <w:rsid w:val="00BD499F"/>
    <w:rsid w:val="00BD56DE"/>
    <w:rsid w:val="00BE2C4B"/>
    <w:rsid w:val="00BE56B5"/>
    <w:rsid w:val="00BF0AC3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1FCA"/>
    <w:rsid w:val="00C6239D"/>
    <w:rsid w:val="00C6594B"/>
    <w:rsid w:val="00C67FFB"/>
    <w:rsid w:val="00C7155E"/>
    <w:rsid w:val="00C71D1E"/>
    <w:rsid w:val="00C71D7D"/>
    <w:rsid w:val="00C74833"/>
    <w:rsid w:val="00C74EEB"/>
    <w:rsid w:val="00C76B05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1239"/>
    <w:rsid w:val="00CE5AD6"/>
    <w:rsid w:val="00CE617F"/>
    <w:rsid w:val="00CE78EF"/>
    <w:rsid w:val="00D048F7"/>
    <w:rsid w:val="00D0517E"/>
    <w:rsid w:val="00D140FC"/>
    <w:rsid w:val="00D21D8C"/>
    <w:rsid w:val="00D2387D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76AE3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5894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3437"/>
    <w:rsid w:val="00E804EA"/>
    <w:rsid w:val="00E80A71"/>
    <w:rsid w:val="00E82337"/>
    <w:rsid w:val="00E840F1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57F6"/>
    <w:rsid w:val="00F56DD0"/>
    <w:rsid w:val="00F6491C"/>
    <w:rsid w:val="00F67BBB"/>
    <w:rsid w:val="00F733DB"/>
    <w:rsid w:val="00F82A57"/>
    <w:rsid w:val="00F82F6C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2BE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4F7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EA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EA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EA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060A4168623442099B55CEECE3B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EF41-56C0-4A50-BF62-0BD622DFC6B7}"/>
      </w:docPartPr>
      <w:docPartBody>
        <w:p w:rsidR="004B546C" w:rsidRDefault="0021245F" w:rsidP="0021245F">
          <w:pPr>
            <w:pStyle w:val="D060A4168623442099B55CEECE3BE433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1245F"/>
    <w:rsid w:val="003F1426"/>
    <w:rsid w:val="004B546C"/>
    <w:rsid w:val="00A27A10"/>
    <w:rsid w:val="00C929D7"/>
    <w:rsid w:val="00D21A9F"/>
    <w:rsid w:val="00E26A87"/>
    <w:rsid w:val="00F8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45F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3A24D5532B24B1B9886FBFEB86F3A9C">
    <w:name w:val="43A24D5532B24B1B9886FBFEB86F3A9C"/>
    <w:rsid w:val="00C929D7"/>
  </w:style>
  <w:style w:type="paragraph" w:customStyle="1" w:styleId="5BA28273C6914E10B0B16FC055920032">
    <w:name w:val="5BA28273C6914E10B0B16FC055920032"/>
    <w:rsid w:val="00C929D7"/>
  </w:style>
  <w:style w:type="paragraph" w:customStyle="1" w:styleId="D060A4168623442099B55CEECE3BE433">
    <w:name w:val="D060A4168623442099B55CEECE3BE433"/>
    <w:rsid w:val="00212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C4DC-937D-4AD9-AF2A-B2F08C8972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0F774D-BF10-4D60-B6C4-ABA12C13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FAE4F-F5F5-465A-B82E-64B930FFE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396C1-4D0C-4F0B-95C4-ACA2C44A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87964B74.dotm</Template>
  <TotalTime>0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2019-11-27T03:46:00Z</dcterms:created>
  <dcterms:modified xsi:type="dcterms:W3CDTF">2020-01-30T22:44:00Z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