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71E94634" w14:textId="77777777" w:rsidR="00BD499F" w:rsidRPr="004C23F4" w:rsidRDefault="00696E0C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Hyd</w:t>
          </w:r>
          <w:r w:rsidR="00C95C41">
            <w:rPr>
              <w:rFonts w:ascii="Arial" w:hAnsi="Arial" w:cs="Arial"/>
            </w:rPr>
            <w:t>razine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9"/>
        <w:gridCol w:w="5037"/>
      </w:tblGrid>
      <w:tr w:rsidR="00F43AD5" w:rsidRPr="004C23F4" w14:paraId="4D9E12EB" w14:textId="77777777" w:rsidTr="00B76A41">
        <w:trPr>
          <w:cantSplit/>
          <w:tblHeader/>
        </w:trPr>
        <w:tc>
          <w:tcPr>
            <w:tcW w:w="4077" w:type="dxa"/>
          </w:tcPr>
          <w:p w14:paraId="1D37337A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69BE8916" w14:textId="77777777" w:rsidR="00F43AD5" w:rsidRPr="00717D45" w:rsidRDefault="00C95C41" w:rsidP="00B76A41">
            <w:pPr>
              <w:pStyle w:val="Tablefont"/>
            </w:pPr>
            <w:r>
              <w:t>302-01-2</w:t>
            </w:r>
          </w:p>
        </w:tc>
      </w:tr>
      <w:tr w:rsidR="00F43AD5" w:rsidRPr="000B2BF1" w14:paraId="27C3D63E" w14:textId="77777777" w:rsidTr="00B76A41">
        <w:trPr>
          <w:cantSplit/>
        </w:trPr>
        <w:tc>
          <w:tcPr>
            <w:tcW w:w="4077" w:type="dxa"/>
          </w:tcPr>
          <w:p w14:paraId="444899DD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30437A9E" w14:textId="77777777" w:rsidR="00F43AD5" w:rsidRPr="004F1177" w:rsidRDefault="00AE58BA" w:rsidP="00B76A41">
            <w:pPr>
              <w:pStyle w:val="Tablefont"/>
              <w:rPr>
                <w:lang w:val="it-IT"/>
              </w:rPr>
            </w:pPr>
            <w:r w:rsidRPr="004F1177">
              <w:rPr>
                <w:lang w:val="it-IT"/>
              </w:rPr>
              <w:t>Diamide, diamine, nitrogen hydrine</w:t>
            </w:r>
            <w:r w:rsidR="004F6BA1" w:rsidRPr="004F1177">
              <w:rPr>
                <w:lang w:val="it-IT"/>
              </w:rPr>
              <w:t xml:space="preserve">, </w:t>
            </w:r>
            <w:r w:rsidR="002F4432" w:rsidRPr="004F1177">
              <w:rPr>
                <w:lang w:val="it-IT"/>
              </w:rPr>
              <w:br/>
            </w:r>
            <w:r w:rsidR="004F6BA1" w:rsidRPr="004F1177">
              <w:rPr>
                <w:lang w:val="it-IT"/>
              </w:rPr>
              <w:t>hydrazine anhydrous</w:t>
            </w:r>
          </w:p>
        </w:tc>
      </w:tr>
      <w:tr w:rsidR="00F43AD5" w:rsidRPr="004C23F4" w14:paraId="041299AF" w14:textId="77777777" w:rsidTr="00B76A41">
        <w:trPr>
          <w:cantSplit/>
        </w:trPr>
        <w:tc>
          <w:tcPr>
            <w:tcW w:w="4077" w:type="dxa"/>
          </w:tcPr>
          <w:p w14:paraId="1EFED002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307E9B25" w14:textId="77777777" w:rsidR="00F43AD5" w:rsidRPr="00717D45" w:rsidRDefault="00935053" w:rsidP="00B76A41">
            <w:pPr>
              <w:pStyle w:val="Tablefont"/>
            </w:pPr>
            <w:r>
              <w:t>N</w:t>
            </w:r>
            <w:r w:rsidRPr="00935053">
              <w:rPr>
                <w:vertAlign w:val="subscript"/>
              </w:rPr>
              <w:t>2</w:t>
            </w:r>
            <w:r>
              <w:t>H</w:t>
            </w:r>
            <w:r w:rsidRPr="00935053">
              <w:rPr>
                <w:vertAlign w:val="subscript"/>
              </w:rPr>
              <w:t>4</w:t>
            </w:r>
          </w:p>
        </w:tc>
        <w:bookmarkStart w:id="0" w:name="_GoBack"/>
        <w:bookmarkEnd w:id="0"/>
      </w:tr>
      <w:tr w:rsidR="00F43AD5" w:rsidRPr="004C23F4" w14:paraId="6BE7C906" w14:textId="77777777" w:rsidTr="00B76A41">
        <w:trPr>
          <w:cantSplit/>
        </w:trPr>
        <w:tc>
          <w:tcPr>
            <w:tcW w:w="4077" w:type="dxa"/>
          </w:tcPr>
          <w:p w14:paraId="589E8DBD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55B06A38" w14:textId="77777777" w:rsidR="00F43AD5" w:rsidRPr="00B40C60" w:rsidRDefault="00935053" w:rsidP="00B76A41">
            <w:pPr>
              <w:pStyle w:val="Tablerowheading"/>
              <w:rPr>
                <w:b w:val="0"/>
              </w:rPr>
            </w:pPr>
            <w:r w:rsidRPr="00935053">
              <w:rPr>
                <w:b w:val="0"/>
              </w:rPr>
              <w:t>—</w:t>
            </w:r>
          </w:p>
        </w:tc>
      </w:tr>
    </w:tbl>
    <w:p w14:paraId="3617CD7D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74403A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1"/>
        <w:gridCol w:w="5015"/>
      </w:tblGrid>
      <w:tr w:rsidR="00935053" w:rsidRPr="004C23F4" w14:paraId="0A5E639D" w14:textId="77777777" w:rsidTr="00935053">
        <w:trPr>
          <w:cantSplit/>
          <w:tblHeader/>
        </w:trPr>
        <w:tc>
          <w:tcPr>
            <w:tcW w:w="4011" w:type="dxa"/>
            <w:vAlign w:val="center"/>
          </w:tcPr>
          <w:p w14:paraId="4A32F3E0" w14:textId="77777777" w:rsidR="00935053" w:rsidRPr="002C58FF" w:rsidRDefault="00935053" w:rsidP="00935053">
            <w:pPr>
              <w:pStyle w:val="Tablerowright"/>
            </w:pPr>
            <w:r>
              <w:t>TWA:</w:t>
            </w:r>
          </w:p>
        </w:tc>
        <w:tc>
          <w:tcPr>
            <w:tcW w:w="5015" w:type="dxa"/>
          </w:tcPr>
          <w:p w14:paraId="1FC2AC72" w14:textId="7DF02526" w:rsidR="00935053" w:rsidRPr="0074403A" w:rsidRDefault="004D07FC" w:rsidP="004D07FC">
            <w:pPr>
              <w:pStyle w:val="Tablerowheading"/>
            </w:pPr>
            <w:r>
              <w:t>0.01 ppb (</w:t>
            </w:r>
            <w:r w:rsidR="0074403A">
              <w:t xml:space="preserve">0.02 </w:t>
            </w:r>
            <w:r w:rsidR="0074403A">
              <w:rPr>
                <w:rFonts w:cs="Arial"/>
              </w:rPr>
              <w:t>µ</w:t>
            </w:r>
            <w:r w:rsidR="0074403A">
              <w:t>g/m</w:t>
            </w:r>
            <w:r w:rsidR="0074403A">
              <w:rPr>
                <w:vertAlign w:val="superscript"/>
              </w:rPr>
              <w:t>3</w:t>
            </w:r>
            <w:r>
              <w:t>)</w:t>
            </w:r>
            <w:r w:rsidR="0074403A">
              <w:t xml:space="preserve"> </w:t>
            </w:r>
          </w:p>
        </w:tc>
      </w:tr>
      <w:tr w:rsidR="00935053" w:rsidRPr="004C23F4" w14:paraId="6FFB272F" w14:textId="77777777" w:rsidTr="00935053">
        <w:trPr>
          <w:cantSplit/>
        </w:trPr>
        <w:tc>
          <w:tcPr>
            <w:tcW w:w="4011" w:type="dxa"/>
            <w:vAlign w:val="center"/>
          </w:tcPr>
          <w:p w14:paraId="62203B79" w14:textId="77777777" w:rsidR="00935053" w:rsidRPr="002C58FF" w:rsidRDefault="00935053" w:rsidP="00935053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5" w:type="dxa"/>
          </w:tcPr>
          <w:p w14:paraId="09968F11" w14:textId="77777777" w:rsidR="00935053" w:rsidRPr="00935053" w:rsidRDefault="00935053" w:rsidP="00935053">
            <w:pPr>
              <w:pStyle w:val="Tablerowheading"/>
            </w:pPr>
            <w:r w:rsidRPr="00935053">
              <w:t>—</w:t>
            </w:r>
          </w:p>
        </w:tc>
      </w:tr>
      <w:tr w:rsidR="00935053" w:rsidRPr="004C23F4" w14:paraId="60B3A1B5" w14:textId="77777777" w:rsidTr="00935053">
        <w:trPr>
          <w:cantSplit/>
        </w:trPr>
        <w:tc>
          <w:tcPr>
            <w:tcW w:w="4011" w:type="dxa"/>
            <w:vAlign w:val="center"/>
          </w:tcPr>
          <w:p w14:paraId="111B3621" w14:textId="77777777" w:rsidR="00935053" w:rsidRPr="002C58FF" w:rsidRDefault="00935053" w:rsidP="00935053">
            <w:pPr>
              <w:pStyle w:val="Tablerowright"/>
            </w:pPr>
            <w:r>
              <w:t>Peak limitation:</w:t>
            </w:r>
          </w:p>
        </w:tc>
        <w:tc>
          <w:tcPr>
            <w:tcW w:w="5015" w:type="dxa"/>
          </w:tcPr>
          <w:p w14:paraId="5BF853CC" w14:textId="77777777" w:rsidR="00935053" w:rsidRPr="00935053" w:rsidRDefault="00935053" w:rsidP="00935053">
            <w:pPr>
              <w:pStyle w:val="Tablerowheading"/>
            </w:pPr>
            <w:r w:rsidRPr="00935053">
              <w:t>—</w:t>
            </w:r>
          </w:p>
        </w:tc>
      </w:tr>
      <w:tr w:rsidR="00935053" w:rsidRPr="004C23F4" w14:paraId="107FAA4B" w14:textId="77777777" w:rsidTr="00935053">
        <w:trPr>
          <w:cantSplit/>
        </w:trPr>
        <w:tc>
          <w:tcPr>
            <w:tcW w:w="4011" w:type="dxa"/>
          </w:tcPr>
          <w:p w14:paraId="664F8C78" w14:textId="77777777" w:rsidR="00935053" w:rsidRPr="002C58FF" w:rsidRDefault="00935053" w:rsidP="00935053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5" w:type="dxa"/>
          </w:tcPr>
          <w:p w14:paraId="14CCD121" w14:textId="7DEF6AE1" w:rsidR="00935053" w:rsidRPr="00935053" w:rsidRDefault="004F10AF" w:rsidP="00935053">
            <w:pPr>
              <w:pStyle w:val="Tablerowheading"/>
            </w:pPr>
            <w:proofErr w:type="spellStart"/>
            <w:r>
              <w:t>Carc</w:t>
            </w:r>
            <w:proofErr w:type="spellEnd"/>
            <w:r>
              <w:t xml:space="preserve"> 1B, Sk., DSEN</w:t>
            </w:r>
          </w:p>
        </w:tc>
      </w:tr>
      <w:tr w:rsidR="00935053" w:rsidRPr="004C23F4" w14:paraId="37F8B068" w14:textId="77777777" w:rsidTr="00935053">
        <w:trPr>
          <w:cantSplit/>
        </w:trPr>
        <w:tc>
          <w:tcPr>
            <w:tcW w:w="4011" w:type="dxa"/>
            <w:vAlign w:val="center"/>
          </w:tcPr>
          <w:p w14:paraId="0CB4C7C8" w14:textId="77777777" w:rsidR="00935053" w:rsidRPr="002C58FF" w:rsidRDefault="00935053" w:rsidP="00935053">
            <w:pPr>
              <w:pStyle w:val="Tablerowright"/>
            </w:pPr>
            <w:r>
              <w:t>IDLH:</w:t>
            </w:r>
          </w:p>
        </w:tc>
        <w:tc>
          <w:tcPr>
            <w:tcW w:w="5015" w:type="dxa"/>
          </w:tcPr>
          <w:p w14:paraId="0E60F08B" w14:textId="77777777" w:rsidR="00935053" w:rsidRPr="00935053" w:rsidRDefault="00AE2927" w:rsidP="00935053">
            <w:pPr>
              <w:pStyle w:val="Tablerowheading"/>
            </w:pPr>
            <w:r w:rsidRPr="00935053">
              <w:t>—</w:t>
            </w:r>
          </w:p>
        </w:tc>
      </w:tr>
      <w:tr w:rsidR="004F6BA1" w:rsidRPr="004C23F4" w14:paraId="05EF0D6D" w14:textId="77777777" w:rsidTr="00997D07">
        <w:trPr>
          <w:cantSplit/>
        </w:trPr>
        <w:tc>
          <w:tcPr>
            <w:tcW w:w="9026" w:type="dxa"/>
            <w:gridSpan w:val="2"/>
            <w:vAlign w:val="center"/>
          </w:tcPr>
          <w:p w14:paraId="5A944A31" w14:textId="77777777" w:rsidR="004F6BA1" w:rsidRPr="00935053" w:rsidRDefault="004F10AF" w:rsidP="00935053">
            <w:pPr>
              <w:pStyle w:val="Tablerowheading"/>
            </w:pPr>
            <w:r w:rsidRPr="000B2BF1">
              <w:t>Sampling and analysis:</w:t>
            </w:r>
            <w:r w:rsidRPr="000B2BF1">
              <w:rPr>
                <w:rStyle w:val="WESstatus"/>
              </w:rPr>
              <w:t xml:space="preserve"> </w:t>
            </w:r>
            <w:sdt>
              <w:sdtPr>
                <w:rPr>
                  <w:rStyle w:val="WESstatus"/>
                  <w:b w:val="0"/>
                  <w:color w:val="auto"/>
                </w:rPr>
                <w:id w:val="-2105258949"/>
                <w:placeholder>
                  <w:docPart w:val="932CFF6B682240F48F43681E952ECFE7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0B2BF1">
                  <w:rPr>
                    <w:rStyle w:val="WESstatus"/>
                    <w:b w:val="0"/>
                    <w:color w:val="auto"/>
                  </w:rPr>
                  <w:t>The recommended value is likely to be below the current limit of detection for standard sampling and analysis techniques.</w:t>
                </w:r>
              </w:sdtContent>
            </w:sdt>
          </w:p>
        </w:tc>
      </w:tr>
    </w:tbl>
    <w:p w14:paraId="3EE2B6FC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1A92B7B8" w14:textId="1732D029" w:rsidR="006639B4" w:rsidRPr="004C23F4" w:rsidRDefault="0074403A" w:rsidP="000C139A">
      <w:pPr>
        <w:rPr>
          <w:rFonts w:cs="Arial"/>
        </w:rPr>
      </w:pPr>
      <w:r>
        <w:rPr>
          <w:rFonts w:cs="Arial"/>
        </w:rPr>
        <w:t xml:space="preserve">A TWA of </w:t>
      </w:r>
      <w:r w:rsidR="00A241A5">
        <w:t xml:space="preserve">0.01 ppb </w:t>
      </w:r>
      <w:r w:rsidR="004D07FC">
        <w:t>(</w:t>
      </w:r>
      <w:r>
        <w:t xml:space="preserve">0.02 </w:t>
      </w:r>
      <w:r>
        <w:rPr>
          <w:rFonts w:cs="Arial"/>
        </w:rPr>
        <w:t>µ</w:t>
      </w:r>
      <w:r>
        <w:t>g/m</w:t>
      </w:r>
      <w:r>
        <w:rPr>
          <w:vertAlign w:val="superscript"/>
        </w:rPr>
        <w:t>3</w:t>
      </w:r>
      <w:r w:rsidR="004D07FC">
        <w:t>)</w:t>
      </w:r>
      <w:r>
        <w:t xml:space="preserve"> is recommended to </w:t>
      </w:r>
      <w:r w:rsidR="00174500">
        <w:t xml:space="preserve">protect for the </w:t>
      </w:r>
      <w:r>
        <w:t>risk of cancer in exposed workers.</w:t>
      </w:r>
    </w:p>
    <w:p w14:paraId="099EBCFA" w14:textId="77777777" w:rsidR="00C7155E" w:rsidRPr="004C23F4" w:rsidRDefault="00F10C97" w:rsidP="003365A5">
      <w:pPr>
        <w:pStyle w:val="Heading2"/>
      </w:pPr>
      <w:r>
        <w:t>Discussion and conclusions</w:t>
      </w:r>
    </w:p>
    <w:p w14:paraId="29C47FF7" w14:textId="3C704B66" w:rsidR="002F4432" w:rsidRDefault="0074403A" w:rsidP="00314520">
      <w:r w:rsidRPr="0074403A">
        <w:t xml:space="preserve">Hydrazine </w:t>
      </w:r>
      <w:r>
        <w:t xml:space="preserve">occurs naturally as </w:t>
      </w:r>
      <w:r w:rsidR="004F6BA1">
        <w:t xml:space="preserve">a </w:t>
      </w:r>
      <w:r w:rsidRPr="0074403A">
        <w:t>product of microbial nitrogen fixation and has be</w:t>
      </w:r>
      <w:r>
        <w:t xml:space="preserve">en detected in cigarette smoke. It is </w:t>
      </w:r>
      <w:r w:rsidRPr="0074403A">
        <w:t>use</w:t>
      </w:r>
      <w:r>
        <w:t>d</w:t>
      </w:r>
      <w:r w:rsidRPr="0074403A">
        <w:t xml:space="preserve"> as a chemical intermedia</w:t>
      </w:r>
      <w:r>
        <w:t xml:space="preserve">te, reducing agent, </w:t>
      </w:r>
      <w:proofErr w:type="gramStart"/>
      <w:r>
        <w:t>rocket</w:t>
      </w:r>
      <w:proofErr w:type="gramEnd"/>
      <w:r>
        <w:t xml:space="preserve"> fuel </w:t>
      </w:r>
      <w:r w:rsidRPr="0074403A">
        <w:t>and boiler-water treatment agent</w:t>
      </w:r>
      <w:r>
        <w:t>.</w:t>
      </w:r>
      <w:r w:rsidR="004F6BA1">
        <w:t xml:space="preserve"> </w:t>
      </w:r>
    </w:p>
    <w:p w14:paraId="3B095E73" w14:textId="164F13EF" w:rsidR="00F92B67" w:rsidRDefault="00F92B67" w:rsidP="00314520">
      <w:r>
        <w:t xml:space="preserve">Hydrazine is carcinogenic in animals through multiple routes of exposure and it is assumed to have carcinogenic potential in humans by some </w:t>
      </w:r>
      <w:r w:rsidR="00C238F5">
        <w:t>sources</w:t>
      </w:r>
      <w:r w:rsidR="003D2C31">
        <w:t xml:space="preserve">. </w:t>
      </w:r>
      <w:r w:rsidR="00E33B46">
        <w:t>An i</w:t>
      </w:r>
      <w:r w:rsidR="00E33B46" w:rsidRPr="00E33B46">
        <w:t>ncreased risk of lung cancer</w:t>
      </w:r>
      <w:r w:rsidR="00E33B46">
        <w:t xml:space="preserve"> </w:t>
      </w:r>
      <w:r w:rsidR="0088521A">
        <w:t>is</w:t>
      </w:r>
      <w:r w:rsidR="00E33B46">
        <w:t xml:space="preserve"> reported</w:t>
      </w:r>
      <w:r w:rsidR="00E33B46" w:rsidRPr="00E33B46">
        <w:t xml:space="preserve"> in aerospace workers</w:t>
      </w:r>
      <w:r w:rsidR="00E33B46">
        <w:t xml:space="preserve"> </w:t>
      </w:r>
      <w:r w:rsidR="000B2BF1">
        <w:t>exposed to hydrazine</w:t>
      </w:r>
      <w:r w:rsidR="002D2432">
        <w:t>.</w:t>
      </w:r>
      <w:r w:rsidR="00E33B46">
        <w:t xml:space="preserve"> SCOEL (2016) categorise it as a genotoxic carcinoge</w:t>
      </w:r>
      <w:r w:rsidR="00967CED">
        <w:t>n</w:t>
      </w:r>
      <w:r>
        <w:t xml:space="preserve">. </w:t>
      </w:r>
      <w:r w:rsidR="00C238F5">
        <w:t xml:space="preserve">An </w:t>
      </w:r>
      <w:r w:rsidR="00C238F5" w:rsidRPr="00C238F5">
        <w:t>increased incidence of ben</w:t>
      </w:r>
      <w:r w:rsidR="00C238F5">
        <w:t>ign and malignant nasal tumours was observed in rats exposed</w:t>
      </w:r>
      <w:r w:rsidR="00C238F5" w:rsidRPr="00C238F5">
        <w:t xml:space="preserve"> at 0.05</w:t>
      </w:r>
      <w:r w:rsidR="000B2BF1">
        <w:t> </w:t>
      </w:r>
      <w:r w:rsidR="00C238F5" w:rsidRPr="00C238F5">
        <w:t>ppm</w:t>
      </w:r>
      <w:r w:rsidR="00C238F5">
        <w:t xml:space="preserve"> for one year.</w:t>
      </w:r>
      <w:r w:rsidR="00C238F5" w:rsidRPr="00C238F5">
        <w:t xml:space="preserve"> </w:t>
      </w:r>
      <w:r w:rsidR="00C238F5">
        <w:t>ACGIH (2018) classif</w:t>
      </w:r>
      <w:r w:rsidR="000B2BF1">
        <w:t>ies</w:t>
      </w:r>
      <w:r w:rsidR="00C238F5">
        <w:t xml:space="preserve"> its carcinogenicity as of unknown relevance to humans</w:t>
      </w:r>
      <w:r w:rsidR="009C448B">
        <w:t>.</w:t>
      </w:r>
      <w:r w:rsidR="00C238F5">
        <w:t xml:space="preserve"> </w:t>
      </w:r>
      <w:r w:rsidR="00305BBC">
        <w:t>An i</w:t>
      </w:r>
      <w:r w:rsidR="00C238F5">
        <w:t>ncreased incidence of pulmonary tumours</w:t>
      </w:r>
      <w:r w:rsidR="009C448B">
        <w:t xml:space="preserve"> </w:t>
      </w:r>
      <w:r w:rsidR="008F0DC2">
        <w:t xml:space="preserve">was </w:t>
      </w:r>
      <w:r w:rsidR="00305BBC">
        <w:t>reported</w:t>
      </w:r>
      <w:r w:rsidR="008F0DC2">
        <w:t xml:space="preserve"> </w:t>
      </w:r>
      <w:r w:rsidR="009C448B">
        <w:t>in a</w:t>
      </w:r>
      <w:r w:rsidR="004E2762">
        <w:t xml:space="preserve"> </w:t>
      </w:r>
      <w:r w:rsidR="009C448B">
        <w:t xml:space="preserve">six months mice study </w:t>
      </w:r>
      <w:r w:rsidR="004E2762">
        <w:t>at all exposure concentrations</w:t>
      </w:r>
      <w:r w:rsidR="00C238F5">
        <w:t xml:space="preserve"> </w:t>
      </w:r>
      <w:r w:rsidR="009C448B">
        <w:t>ranging from</w:t>
      </w:r>
      <w:r w:rsidR="00C238F5">
        <w:t xml:space="preserve"> 0.2, 1 or 5 ppm</w:t>
      </w:r>
      <w:r w:rsidR="009C448B">
        <w:t>.</w:t>
      </w:r>
      <w:r w:rsidR="00C238F5">
        <w:t xml:space="preserve"> </w:t>
      </w:r>
      <w:r>
        <w:t>DFG (</w:t>
      </w:r>
      <w:r w:rsidR="00E33B46">
        <w:t xml:space="preserve">1999) </w:t>
      </w:r>
      <w:r w:rsidR="004F1177">
        <w:t>did not</w:t>
      </w:r>
      <w:r w:rsidR="008D3EAE">
        <w:t xml:space="preserve"> recommend a MAK due to </w:t>
      </w:r>
      <w:r w:rsidR="004F1177">
        <w:t xml:space="preserve">the potential </w:t>
      </w:r>
      <w:r w:rsidR="008D3EAE">
        <w:t>carcinogenicity</w:t>
      </w:r>
      <w:r w:rsidR="004F1177">
        <w:t xml:space="preserve"> risk</w:t>
      </w:r>
      <w:r w:rsidR="008D3EAE">
        <w:t xml:space="preserve">. </w:t>
      </w:r>
      <w:r w:rsidR="008D3EAE" w:rsidRPr="008D3EAE">
        <w:t xml:space="preserve">Mutagenicity is </w:t>
      </w:r>
      <w:r w:rsidR="004F1177">
        <w:t xml:space="preserve">reported </w:t>
      </w:r>
      <w:r w:rsidR="008D3EAE" w:rsidRPr="008D3EAE">
        <w:t xml:space="preserve">in both </w:t>
      </w:r>
      <w:r w:rsidR="008D3EAE" w:rsidRPr="005D4FB4">
        <w:rPr>
          <w:i/>
        </w:rPr>
        <w:t>in vitro</w:t>
      </w:r>
      <w:r w:rsidR="008D3EAE" w:rsidRPr="008D3EAE">
        <w:t xml:space="preserve"> and </w:t>
      </w:r>
      <w:r w:rsidR="008D3EAE" w:rsidRPr="005D4FB4">
        <w:rPr>
          <w:i/>
        </w:rPr>
        <w:t>in vivo</w:t>
      </w:r>
      <w:r w:rsidR="004F1177">
        <w:rPr>
          <w:iCs/>
        </w:rPr>
        <w:t xml:space="preserve"> studies</w:t>
      </w:r>
      <w:r w:rsidR="008D3EAE" w:rsidRPr="008D3EAE">
        <w:t xml:space="preserve">. The mechanism of action for carcinogenicity may act </w:t>
      </w:r>
      <w:r w:rsidR="008D3EAE" w:rsidRPr="006D5762">
        <w:rPr>
          <w:i/>
        </w:rPr>
        <w:t>via</w:t>
      </w:r>
      <w:r w:rsidR="008D3EAE" w:rsidRPr="008D3EAE">
        <w:t xml:space="preserve"> a mutagenic mode of action (DFG, 2013; NICNAS, 2014; SCOEL 2016; US EPA, 1987)</w:t>
      </w:r>
      <w:r w:rsidR="009F0E57">
        <w:t>, but is inconclusive</w:t>
      </w:r>
      <w:r w:rsidR="008D3EAE" w:rsidRPr="008D3EAE">
        <w:t xml:space="preserve">. For the purposes of this assessment, </w:t>
      </w:r>
      <w:r w:rsidR="008D3EAE">
        <w:t>hydrazine</w:t>
      </w:r>
      <w:r w:rsidR="008D3EAE" w:rsidRPr="008D3EAE">
        <w:t xml:space="preserve"> is </w:t>
      </w:r>
      <w:r w:rsidR="0052727F">
        <w:t xml:space="preserve">assumed to be </w:t>
      </w:r>
      <w:r w:rsidR="008D3EAE" w:rsidRPr="008D3EAE">
        <w:t>a non-threshold</w:t>
      </w:r>
      <w:r w:rsidR="0088521A">
        <w:t xml:space="preserve"> </w:t>
      </w:r>
      <w:r w:rsidR="008D3EAE" w:rsidRPr="008D3EAE">
        <w:t>based genotoxic carcinogen</w:t>
      </w:r>
      <w:r w:rsidR="0052727F">
        <w:t xml:space="preserve"> because a genotoxic mechanism of carcinogenicity cannot be ruled out (SCOEL, 2016)</w:t>
      </w:r>
      <w:r w:rsidR="003D2C31">
        <w:t>.</w:t>
      </w:r>
    </w:p>
    <w:p w14:paraId="7C9AE670" w14:textId="5F08945A" w:rsidR="00314520" w:rsidRPr="00314520" w:rsidRDefault="002F4432" w:rsidP="00314520">
      <w:pPr>
        <w:rPr>
          <w:rFonts w:cs="Arial"/>
        </w:rPr>
      </w:pPr>
      <w:r>
        <w:t>T</w:t>
      </w:r>
      <w:r w:rsidR="00314520" w:rsidRPr="00314520">
        <w:t xml:space="preserve">he recommended TWA </w:t>
      </w:r>
      <w:r w:rsidR="008D3EAE">
        <w:t xml:space="preserve">of 0.01 ppb (0.02 </w:t>
      </w:r>
      <w:r w:rsidR="008D3EAE">
        <w:rPr>
          <w:rFonts w:cs="Arial"/>
        </w:rPr>
        <w:t>µ</w:t>
      </w:r>
      <w:r w:rsidR="008D3EAE">
        <w:t>g/m</w:t>
      </w:r>
      <w:r w:rsidR="008D3EAE">
        <w:rPr>
          <w:vertAlign w:val="superscript"/>
        </w:rPr>
        <w:t>3</w:t>
      </w:r>
      <w:r w:rsidR="008D3EAE">
        <w:t xml:space="preserve">) </w:t>
      </w:r>
      <w:r>
        <w:t>is</w:t>
      </w:r>
      <w:r w:rsidR="00314520" w:rsidRPr="00314520">
        <w:t xml:space="preserve"> derived at a minimal cancer risk level </w:t>
      </w:r>
      <w:r w:rsidR="00314520">
        <w:t>by application of an inhalation slope factor</w:t>
      </w:r>
      <w:r w:rsidR="00314520" w:rsidRPr="00314520">
        <w:t xml:space="preserve"> </w:t>
      </w:r>
      <w:r w:rsidR="00314520">
        <w:t>derived from a chronic inhalation study</w:t>
      </w:r>
      <w:r w:rsidR="005D088E">
        <w:t xml:space="preserve"> in</w:t>
      </w:r>
      <w:r w:rsidR="00314520">
        <w:t xml:space="preserve"> </w:t>
      </w:r>
      <w:r w:rsidR="005D088E">
        <w:t xml:space="preserve">rats </w:t>
      </w:r>
      <w:r w:rsidR="00314520">
        <w:t xml:space="preserve">that </w:t>
      </w:r>
      <w:r w:rsidR="004F1177">
        <w:t xml:space="preserve">reported </w:t>
      </w:r>
      <w:r w:rsidR="00314520" w:rsidRPr="00314520">
        <w:t xml:space="preserve">statistically significant increases in </w:t>
      </w:r>
      <w:r w:rsidR="00314520">
        <w:t>nasal</w:t>
      </w:r>
      <w:r w:rsidR="00314520" w:rsidRPr="00314520">
        <w:t xml:space="preserve"> tumours</w:t>
      </w:r>
      <w:r w:rsidR="00314520">
        <w:t xml:space="preserve">. The study was considered adequate, with a sufficient number of animals treated for less than lifetime </w:t>
      </w:r>
      <w:r w:rsidR="00314520" w:rsidRPr="004512F2">
        <w:t xml:space="preserve">and </w:t>
      </w:r>
      <w:r w:rsidR="00314520" w:rsidRPr="008F0DC2">
        <w:t>observed until death</w:t>
      </w:r>
      <w:r w:rsidR="00C238F5" w:rsidRPr="008F0DC2">
        <w:t>. The study identified a</w:t>
      </w:r>
      <w:r w:rsidR="004512F2" w:rsidRPr="004512F2">
        <w:t xml:space="preserve"> </w:t>
      </w:r>
      <w:r w:rsidR="00314520" w:rsidRPr="004512F2">
        <w:t>dose-related increase in incidence</w:t>
      </w:r>
      <w:r w:rsidR="000B2BF1">
        <w:t xml:space="preserve"> </w:t>
      </w:r>
      <w:r w:rsidR="0054667A">
        <w:t>o</w:t>
      </w:r>
      <w:r w:rsidR="000B2BF1">
        <w:t>f tumours</w:t>
      </w:r>
      <w:r w:rsidR="00314520" w:rsidRPr="004512F2">
        <w:t xml:space="preserve"> (US</w:t>
      </w:r>
      <w:r w:rsidR="00A241A5" w:rsidRPr="004512F2">
        <w:t xml:space="preserve"> </w:t>
      </w:r>
      <w:r w:rsidR="00314520" w:rsidRPr="004512F2">
        <w:t>EPA, 2002).</w:t>
      </w:r>
    </w:p>
    <w:p w14:paraId="5D875564" w14:textId="77777777" w:rsidR="004529F0" w:rsidRPr="004C23F4" w:rsidRDefault="004529F0" w:rsidP="004529F0">
      <w:pPr>
        <w:pStyle w:val="Heading2"/>
      </w:pPr>
      <w:r>
        <w:lastRenderedPageBreak/>
        <w:t>Recommendation for notations</w:t>
      </w:r>
    </w:p>
    <w:p w14:paraId="2BE3BD2A" w14:textId="77777777" w:rsidR="003E3E5E" w:rsidRPr="0074403A" w:rsidRDefault="0074403A" w:rsidP="003E3E5E">
      <w:pPr>
        <w:rPr>
          <w:rFonts w:cs="Arial"/>
        </w:rPr>
      </w:pPr>
      <w:r w:rsidRPr="0074403A">
        <w:rPr>
          <w:rFonts w:cs="Arial"/>
        </w:rPr>
        <w:t>C</w:t>
      </w:r>
      <w:r w:rsidR="003E3E5E" w:rsidRPr="0074403A">
        <w:rPr>
          <w:rFonts w:cs="Arial"/>
        </w:rPr>
        <w:t xml:space="preserve">lassified as a </w:t>
      </w:r>
      <w:r w:rsidR="004F10AF" w:rsidRPr="0074403A">
        <w:rPr>
          <w:rFonts w:cs="Arial"/>
        </w:rPr>
        <w:t xml:space="preserve">category 1B </w:t>
      </w:r>
      <w:r w:rsidR="003E3E5E" w:rsidRPr="0074403A">
        <w:rPr>
          <w:rFonts w:cs="Arial"/>
        </w:rPr>
        <w:t xml:space="preserve">carcinogen according to the Globally Harmonized System of Classification and Labelling </w:t>
      </w:r>
      <w:r w:rsidR="004F6BA1" w:rsidRPr="0074403A">
        <w:rPr>
          <w:rFonts w:cs="Arial"/>
        </w:rPr>
        <w:t>o</w:t>
      </w:r>
      <w:r w:rsidR="004F6BA1">
        <w:rPr>
          <w:rFonts w:cs="Arial"/>
        </w:rPr>
        <w:t xml:space="preserve">f </w:t>
      </w:r>
      <w:r w:rsidR="003E3E5E" w:rsidRPr="0074403A">
        <w:rPr>
          <w:rFonts w:cs="Arial"/>
        </w:rPr>
        <w:t xml:space="preserve">Chemicals (GHS). </w:t>
      </w:r>
    </w:p>
    <w:p w14:paraId="5ADCB3F2" w14:textId="77777777" w:rsidR="003E3E5E" w:rsidRPr="0074403A" w:rsidRDefault="0074403A" w:rsidP="003E3E5E">
      <w:pPr>
        <w:rPr>
          <w:rFonts w:cs="Arial"/>
        </w:rPr>
      </w:pPr>
      <w:r w:rsidRPr="0074403A">
        <w:rPr>
          <w:rFonts w:cs="Arial"/>
        </w:rPr>
        <w:t>C</w:t>
      </w:r>
      <w:r w:rsidR="003E3E5E" w:rsidRPr="0074403A">
        <w:rPr>
          <w:rFonts w:cs="Arial"/>
        </w:rPr>
        <w:t>lassified as a skin</w:t>
      </w:r>
      <w:r w:rsidRPr="0074403A">
        <w:rPr>
          <w:rFonts w:cs="Arial"/>
        </w:rPr>
        <w:t xml:space="preserve"> sensitiser but not a</w:t>
      </w:r>
      <w:r w:rsidR="003E3E5E" w:rsidRPr="0074403A">
        <w:rPr>
          <w:rFonts w:cs="Arial"/>
        </w:rPr>
        <w:t xml:space="preserve"> respiratory sensitiser according to the GHS.</w:t>
      </w:r>
    </w:p>
    <w:p w14:paraId="5FF033E3" w14:textId="77777777" w:rsidR="0025734A" w:rsidRPr="004C23F4" w:rsidRDefault="0074403A" w:rsidP="003E3E5E">
      <w:pPr>
        <w:rPr>
          <w:rFonts w:cs="Arial"/>
        </w:rPr>
      </w:pPr>
      <w:r w:rsidRPr="0074403A">
        <w:rPr>
          <w:rFonts w:cs="Arial"/>
        </w:rPr>
        <w:t>A skin notation is recommended based on data</w:t>
      </w:r>
      <w:r w:rsidR="004F10AF">
        <w:rPr>
          <w:rFonts w:cs="Arial"/>
        </w:rPr>
        <w:t xml:space="preserve"> i</w:t>
      </w:r>
      <w:r w:rsidRPr="0074403A">
        <w:rPr>
          <w:rFonts w:cs="Arial"/>
        </w:rPr>
        <w:t>n humans and animals of dermal uptake and systemic effects.</w:t>
      </w:r>
    </w:p>
    <w:p w14:paraId="1D0377AA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29127353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43DF0454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68A82C9" w14:textId="77777777" w:rsidTr="005D4FB4">
        <w:trPr>
          <w:gridAfter w:val="1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5DB5E7CD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7D932B4" w14:textId="77777777" w:rsidTr="005D4FB4">
        <w:tc>
          <w:tcPr>
            <w:tcW w:w="5000" w:type="pct"/>
            <w:gridSpan w:val="2"/>
            <w:shd w:val="clear" w:color="auto" w:fill="F2F2F2" w:themeFill="background1" w:themeFillShade="F2"/>
          </w:tcPr>
          <w:p w14:paraId="2AC80E4C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A237BC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A237BC">
                  <w:t>TWA: 0.01 ppm (0.013 mg/m</w:t>
                </w:r>
                <w:r w:rsidR="00A237BC" w:rsidRPr="00A237BC">
                  <w:rPr>
                    <w:vertAlign w:val="superscript"/>
                  </w:rPr>
                  <w:t>3</w:t>
                </w:r>
                <w:r w:rsidR="00A237BC">
                  <w:t>)</w:t>
                </w:r>
              </w:sdtContent>
            </w:sdt>
          </w:p>
        </w:tc>
      </w:tr>
      <w:tr w:rsidR="00C978F0" w:rsidRPr="00DA352E" w14:paraId="05AD36F3" w14:textId="77777777" w:rsidTr="005D4FB4">
        <w:trPr>
          <w:gridAfter w:val="1"/>
          <w:wAfter w:w="8" w:type="pct"/>
        </w:trPr>
        <w:tc>
          <w:tcPr>
            <w:tcW w:w="4992" w:type="pct"/>
          </w:tcPr>
          <w:p w14:paraId="427B0CF7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68A51055" w14:textId="77777777" w:rsidTr="005D4FB4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121CC3C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1A409C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1A409C">
                  <w:t>TLV-TWA: 0.01 ppm (0.013 mg/m</w:t>
                </w:r>
                <w:r w:rsidR="001A409C" w:rsidRPr="001A409C">
                  <w:rPr>
                    <w:vertAlign w:val="superscript"/>
                  </w:rPr>
                  <w:t>3</w:t>
                </w:r>
                <w:r w:rsidR="001A409C">
                  <w:t>)</w:t>
                </w:r>
              </w:sdtContent>
            </w:sdt>
          </w:p>
        </w:tc>
      </w:tr>
      <w:tr w:rsidR="00C978F0" w:rsidRPr="00DA352E" w14:paraId="4CB5C44C" w14:textId="77777777" w:rsidTr="005D4FB4">
        <w:trPr>
          <w:gridAfter w:val="1"/>
          <w:wAfter w:w="8" w:type="pct"/>
        </w:trPr>
        <w:tc>
          <w:tcPr>
            <w:tcW w:w="4992" w:type="pct"/>
          </w:tcPr>
          <w:p w14:paraId="1F70745B" w14:textId="3A66146D" w:rsidR="00856DA6" w:rsidRDefault="00856DA6" w:rsidP="004F6BA1">
            <w:pPr>
              <w:pStyle w:val="Tabletextprimarysource"/>
            </w:pPr>
            <w:r>
              <w:t>TLV-TWA recommended to minimise the potential for nasal tumours as observed in rats.</w:t>
            </w:r>
          </w:p>
          <w:p w14:paraId="382C9AFB" w14:textId="77777777" w:rsidR="00856DA6" w:rsidRDefault="00856DA6" w:rsidP="004F6BA1">
            <w:pPr>
              <w:pStyle w:val="Tabletextprimarysource"/>
            </w:pPr>
            <w:r>
              <w:t>Summary of data:</w:t>
            </w:r>
          </w:p>
          <w:p w14:paraId="22425372" w14:textId="77777777" w:rsidR="00856DA6" w:rsidRDefault="00856DA6" w:rsidP="004F6BA1">
            <w:pPr>
              <w:pStyle w:val="Tabletextprimarysource"/>
            </w:pPr>
            <w:r>
              <w:t>Human data:</w:t>
            </w:r>
          </w:p>
          <w:p w14:paraId="65880218" w14:textId="77777777" w:rsidR="00856DA6" w:rsidRDefault="00856DA6" w:rsidP="002F443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Reports of allergic contact dermatitis</w:t>
            </w:r>
          </w:p>
          <w:p w14:paraId="2DC55013" w14:textId="77777777" w:rsidR="00856DA6" w:rsidRDefault="00856DA6" w:rsidP="002F443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Skin and eye irritation reported</w:t>
            </w:r>
          </w:p>
          <w:p w14:paraId="059DBE53" w14:textId="41DD98AB" w:rsidR="002F4432" w:rsidRDefault="00856DA6" w:rsidP="002F443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Case report of</w:t>
            </w:r>
            <w:r w:rsidR="004B7573">
              <w:t xml:space="preserve"> 6 </w:t>
            </w:r>
            <w:proofErr w:type="spellStart"/>
            <w:r w:rsidR="004B7573">
              <w:t>mo</w:t>
            </w:r>
            <w:proofErr w:type="spellEnd"/>
            <w:r>
              <w:t xml:space="preserve"> </w:t>
            </w:r>
            <w:r w:rsidR="004B7573">
              <w:t xml:space="preserve">occupational exposure </w:t>
            </w:r>
            <w:r w:rsidR="004B7573" w:rsidRPr="002F4432">
              <w:rPr>
                <w:i/>
              </w:rPr>
              <w:t>via</w:t>
            </w:r>
            <w:r w:rsidR="004B7573">
              <w:t xml:space="preserve"> inhalation and skin </w:t>
            </w:r>
            <w:r w:rsidR="002F4432">
              <w:t>(</w:t>
            </w:r>
            <w:r w:rsidR="004B7573">
              <w:t xml:space="preserve">unknown </w:t>
            </w:r>
            <w:r w:rsidR="004474E3">
              <w:t>concentration</w:t>
            </w:r>
            <w:r w:rsidR="002F4432">
              <w:t>):</w:t>
            </w:r>
            <w:r w:rsidR="004B7573">
              <w:t xml:space="preserve"> </w:t>
            </w:r>
          </w:p>
          <w:p w14:paraId="0F9B2C54" w14:textId="1E56AF83" w:rsidR="002F4432" w:rsidRDefault="004B7573" w:rsidP="002F4432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conjunctivitis, tremor, lethargy</w:t>
            </w:r>
            <w:r w:rsidR="002F4432">
              <w:t>,</w:t>
            </w:r>
            <w:r>
              <w:t xml:space="preserve"> lung and liver damage </w:t>
            </w:r>
          </w:p>
          <w:p w14:paraId="4F005281" w14:textId="77777777" w:rsidR="00856DA6" w:rsidRDefault="004B7573" w:rsidP="002F4432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death 21 d after last exposure</w:t>
            </w:r>
          </w:p>
          <w:p w14:paraId="5A69FD59" w14:textId="66B4D7C5" w:rsidR="00FF521F" w:rsidRDefault="00FF521F" w:rsidP="002F443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Systemic poisoning cases reported effects on the CNS, respiratory syste</w:t>
            </w:r>
            <w:r w:rsidR="004D07FC">
              <w:t>m</w:t>
            </w:r>
            <w:r>
              <w:t xml:space="preserve"> and stomach</w:t>
            </w:r>
          </w:p>
          <w:p w14:paraId="2F291B0C" w14:textId="77777777" w:rsidR="00FF521F" w:rsidRDefault="00FF521F" w:rsidP="002F4432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6 cases of vapour inhalation causing pulmonary oedema; no further information </w:t>
            </w:r>
          </w:p>
          <w:p w14:paraId="56FF5B6C" w14:textId="42C68B7D" w:rsidR="004B7573" w:rsidRDefault="004B7573" w:rsidP="002F443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Epidemiological study in 427 workers failed to identify relationship between exposure and cause of death</w:t>
            </w:r>
            <w:r w:rsidR="00174500">
              <w:t>:</w:t>
            </w:r>
            <w:r>
              <w:t xml:space="preserve"> </w:t>
            </w:r>
          </w:p>
          <w:p w14:paraId="1D6323B1" w14:textId="77777777" w:rsidR="004158DC" w:rsidRDefault="004158DC" w:rsidP="002F4432">
            <w:pPr>
              <w:pStyle w:val="ListBullet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cancer deaths no different than normal</w:t>
            </w:r>
          </w:p>
          <w:p w14:paraId="7F5CEE86" w14:textId="2EC296A8" w:rsidR="004B7573" w:rsidRDefault="009868BD" w:rsidP="002F4432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proofErr w:type="gramStart"/>
            <w:r>
              <w:t>a</w:t>
            </w:r>
            <w:proofErr w:type="gramEnd"/>
            <w:r>
              <w:t xml:space="preserve"> quantitative comparison of </w:t>
            </w:r>
            <w:r w:rsidR="004B7573">
              <w:t xml:space="preserve">rodent carcinogenicity data was applied to </w:t>
            </w:r>
            <w:r>
              <w:t xml:space="preserve">this study </w:t>
            </w:r>
            <w:r w:rsidR="004512F2">
              <w:t xml:space="preserve">to </w:t>
            </w:r>
            <w:r w:rsidR="004B7573">
              <w:t xml:space="preserve">predict human cancer risk; predicted that the human incidence of lung cancer would </w:t>
            </w:r>
            <w:r w:rsidR="004B7573" w:rsidRPr="00967CED">
              <w:t>be</w:t>
            </w:r>
            <w:r w:rsidR="004B7573">
              <w:t xml:space="preserve"> indistinguishable from the background rate at 1</w:t>
            </w:r>
            <w:r w:rsidR="00A241A5">
              <w:t>–</w:t>
            </w:r>
            <w:r w:rsidR="004B7573">
              <w:t>10 ppm</w:t>
            </w:r>
            <w:r w:rsidR="004F10AF">
              <w:t>.</w:t>
            </w:r>
          </w:p>
          <w:p w14:paraId="2B3797D9" w14:textId="77777777" w:rsidR="00FF521F" w:rsidRDefault="00FF521F" w:rsidP="004F6BA1">
            <w:pPr>
              <w:pStyle w:val="Tabletextprimarysource"/>
            </w:pPr>
            <w:r>
              <w:t>Animal data:</w:t>
            </w:r>
          </w:p>
          <w:p w14:paraId="0EC91B67" w14:textId="5E57BF9A" w:rsidR="00FF521F" w:rsidRDefault="00FF521F" w:rsidP="002F443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>
              <w:rPr>
                <w:vertAlign w:val="subscript"/>
              </w:rPr>
              <w:t>50</w:t>
            </w:r>
            <w:r w:rsidR="004F10AF">
              <w:t>:</w:t>
            </w:r>
            <w:r>
              <w:rPr>
                <w:vertAlign w:val="subscript"/>
              </w:rPr>
              <w:t xml:space="preserve"> </w:t>
            </w:r>
            <w:r w:rsidR="004F10AF">
              <w:t>93</w:t>
            </w:r>
            <w:r w:rsidR="00A241A5">
              <w:t>–</w:t>
            </w:r>
            <w:r w:rsidR="004F10AF">
              <w:t>283</w:t>
            </w:r>
            <w:r w:rsidR="00A241A5">
              <w:t xml:space="preserve"> mg/kg</w:t>
            </w:r>
            <w:r w:rsidR="004F10AF">
              <w:t xml:space="preserve"> (</w:t>
            </w:r>
            <w:r>
              <w:t>rabbits and guinea pigs</w:t>
            </w:r>
            <w:r w:rsidR="004F10AF">
              <w:t>, dermal)</w:t>
            </w:r>
          </w:p>
          <w:p w14:paraId="542D0167" w14:textId="27DDE5BD" w:rsidR="00FF521F" w:rsidRDefault="00FF521F" w:rsidP="002F4432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Rats, mice, dogs and monkeys continuously exposed </w:t>
            </w:r>
            <w:r w:rsidR="002F4432">
              <w:t>at</w:t>
            </w:r>
            <w:r>
              <w:t xml:space="preserve"> 0.2 or 1</w:t>
            </w:r>
            <w:r w:rsidR="00A241A5">
              <w:t xml:space="preserve"> </w:t>
            </w:r>
            <w:r>
              <w:t xml:space="preserve">ppm for 6 </w:t>
            </w:r>
            <w:proofErr w:type="spellStart"/>
            <w:r>
              <w:t>mo</w:t>
            </w:r>
            <w:proofErr w:type="spellEnd"/>
            <w:r>
              <w:t xml:space="preserve"> or exposed 6 h/d, 5 d/</w:t>
            </w:r>
            <w:proofErr w:type="spellStart"/>
            <w:r>
              <w:t>wk</w:t>
            </w:r>
            <w:proofErr w:type="spellEnd"/>
            <w:r>
              <w:t xml:space="preserve"> to 1 ppm or 5ppm </w:t>
            </w:r>
            <w:r w:rsidR="00331487">
              <w:t>for 6</w:t>
            </w:r>
            <w:r w:rsidR="004F6BA1">
              <w:t xml:space="preserve"> </w:t>
            </w:r>
            <w:proofErr w:type="spellStart"/>
            <w:r w:rsidR="00331487">
              <w:t>mo</w:t>
            </w:r>
            <w:proofErr w:type="spellEnd"/>
            <w:r w:rsidR="00331487">
              <w:t>; effects at 0.2 ppm:</w:t>
            </w:r>
          </w:p>
          <w:p w14:paraId="5D9BB517" w14:textId="3A88C8AE" w:rsidR="00FF521F" w:rsidRDefault="000D78F4" w:rsidP="002F4432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t xml:space="preserve">body weight </w:t>
            </w:r>
            <w:r w:rsidR="00FF521F">
              <w:t>of rats lower than the controls</w:t>
            </w:r>
          </w:p>
          <w:p w14:paraId="397F2A0B" w14:textId="77777777" w:rsidR="00331487" w:rsidRDefault="00FF521F" w:rsidP="002F4432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t xml:space="preserve">liver pathology </w:t>
            </w:r>
            <w:r w:rsidR="004F10AF">
              <w:t xml:space="preserve">change </w:t>
            </w:r>
            <w:r>
              <w:t>in mice</w:t>
            </w:r>
            <w:r w:rsidR="00331487">
              <w:t xml:space="preserve"> </w:t>
            </w:r>
          </w:p>
          <w:p w14:paraId="5E7CB70B" w14:textId="77777777" w:rsidR="00331487" w:rsidRDefault="00FF521F" w:rsidP="002F4432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t xml:space="preserve">decrease in the number of </w:t>
            </w:r>
            <w:r w:rsidR="004F10AF">
              <w:t>RBC</w:t>
            </w:r>
            <w:r w:rsidR="00331487">
              <w:t xml:space="preserve"> in dogs</w:t>
            </w:r>
          </w:p>
          <w:p w14:paraId="71871309" w14:textId="77777777" w:rsidR="00FF521F" w:rsidRDefault="00FF521F" w:rsidP="002F4432">
            <w:pPr>
              <w:pStyle w:val="ListBullet"/>
              <w:numPr>
                <w:ilvl w:val="0"/>
                <w:numId w:val="4"/>
              </w:numPr>
              <w:spacing w:before="60" w:after="60"/>
              <w:ind w:left="1094" w:hanging="357"/>
              <w:contextualSpacing w:val="0"/>
            </w:pPr>
            <w:r>
              <w:t>minimal increase in fat deposition in the liver in monkeys</w:t>
            </w:r>
          </w:p>
          <w:p w14:paraId="65F22BA4" w14:textId="06C33DF5" w:rsidR="00331487" w:rsidRDefault="00331487" w:rsidP="002F4432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Chronic oral administration to mice; pulmonary adenomas or carcinomas, </w:t>
            </w:r>
            <w:proofErr w:type="spellStart"/>
            <w:r>
              <w:t>hepatocarcinomas</w:t>
            </w:r>
            <w:proofErr w:type="spellEnd"/>
            <w:r>
              <w:t>, myeloid leukaemia, reticulum cell sarcoma of the mediastinum and lymphomas</w:t>
            </w:r>
          </w:p>
          <w:p w14:paraId="168117A9" w14:textId="77777777" w:rsidR="00331487" w:rsidRDefault="00331487" w:rsidP="002F443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Chronic oral administration to rats resulted in lung adenomas and carcinomas and in liver tumours</w:t>
            </w:r>
          </w:p>
          <w:p w14:paraId="71756324" w14:textId="0B2C9F9F" w:rsidR="00331487" w:rsidRDefault="00331487" w:rsidP="002F4432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Mice exposed at 0.2, 1 or 5 ppm for 6 </w:t>
            </w:r>
            <w:proofErr w:type="spellStart"/>
            <w:r>
              <w:t>mo</w:t>
            </w:r>
            <w:proofErr w:type="spellEnd"/>
            <w:r>
              <w:t>; increased incidence of pulmonary tumours in all groups</w:t>
            </w:r>
          </w:p>
          <w:p w14:paraId="3F69577C" w14:textId="5C54531D" w:rsidR="00331487" w:rsidRDefault="00331487" w:rsidP="002F4432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Rats exposed at </w:t>
            </w:r>
            <w:r w:rsidR="00C238F5">
              <w:t xml:space="preserve">0.05 ppm, </w:t>
            </w:r>
            <w:r>
              <w:t>1 and 5 ppm</w:t>
            </w:r>
            <w:r w:rsidR="00C238F5">
              <w:t xml:space="preserve"> 6 h/d, 5 d/</w:t>
            </w:r>
            <w:proofErr w:type="spellStart"/>
            <w:r w:rsidR="00C238F5">
              <w:t>wk</w:t>
            </w:r>
            <w:proofErr w:type="spellEnd"/>
            <w:r w:rsidR="00C238F5">
              <w:t xml:space="preserve"> for 1 </w:t>
            </w:r>
            <w:proofErr w:type="spellStart"/>
            <w:r w:rsidR="00C238F5">
              <w:t>yr</w:t>
            </w:r>
            <w:proofErr w:type="spellEnd"/>
            <w:r w:rsidR="00C238F5">
              <w:t>; followed for their life span or 38 months;</w:t>
            </w:r>
            <w:r w:rsidR="00AF3EB9">
              <w:t xml:space="preserve"> increased incidence of benign and malignant nasal tumours; at 0.05 ppm, slight increase incidence of nasal tumours above controls</w:t>
            </w:r>
            <w:r w:rsidR="004F10AF">
              <w:t>.</w:t>
            </w:r>
          </w:p>
          <w:p w14:paraId="474E102E" w14:textId="77777777" w:rsidR="00AF3EB9" w:rsidRDefault="00AF3EB9" w:rsidP="004F6BA1">
            <w:pPr>
              <w:pStyle w:val="Tabletextprimarysource"/>
            </w:pPr>
            <w:proofErr w:type="spellStart"/>
            <w:r>
              <w:t>Genotoxicity</w:t>
            </w:r>
            <w:proofErr w:type="spellEnd"/>
            <w:r>
              <w:t>:</w:t>
            </w:r>
          </w:p>
          <w:p w14:paraId="5D75B683" w14:textId="77777777" w:rsidR="00EC2571" w:rsidRDefault="00AF3EB9">
            <w:pPr>
              <w:pStyle w:val="ListBullet"/>
              <w:spacing w:before="60" w:after="60"/>
              <w:ind w:left="714" w:hanging="357"/>
              <w:contextualSpacing w:val="0"/>
            </w:pPr>
            <w:r>
              <w:t>Positive in most standard assays for genetic endpoints</w:t>
            </w:r>
          </w:p>
          <w:p w14:paraId="18CF9047" w14:textId="4B9422FA" w:rsidR="00AF3EB9" w:rsidRDefault="00EC257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Positive in producing forward mutation in mammalian cells</w:t>
            </w:r>
          </w:p>
          <w:p w14:paraId="1B35617B" w14:textId="12B92B1F" w:rsidR="00EC2571" w:rsidRDefault="00EC2571" w:rsidP="0088521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Produced a point mutation in H-</w:t>
            </w:r>
            <w:proofErr w:type="spellStart"/>
            <w:r>
              <w:t>ras</w:t>
            </w:r>
            <w:proofErr w:type="spellEnd"/>
            <w:r>
              <w:t xml:space="preserve"> gene in cultured newborn rat liver cells</w:t>
            </w:r>
          </w:p>
          <w:p w14:paraId="64B7F809" w14:textId="77010BA9" w:rsidR="00EC2571" w:rsidRDefault="00C81D4D" w:rsidP="0088521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Produced reverse mutation n the host-mediated assay in mice</w:t>
            </w:r>
            <w:r w:rsidR="005D4FB4">
              <w:t>.</w:t>
            </w:r>
          </w:p>
          <w:p w14:paraId="6DDEA5EB" w14:textId="77777777" w:rsidR="00174500" w:rsidRDefault="00174500" w:rsidP="004F6BA1">
            <w:pPr>
              <w:pStyle w:val="Tabletextprimarysource"/>
            </w:pPr>
          </w:p>
          <w:p w14:paraId="11901612" w14:textId="77777777" w:rsidR="00AF3EB9" w:rsidRDefault="00AF3EB9" w:rsidP="004F6BA1">
            <w:pPr>
              <w:pStyle w:val="Tabletextprimarysource"/>
            </w:pPr>
            <w:r>
              <w:t>Insufficient data to re</w:t>
            </w:r>
            <w:r w:rsidR="004F10AF">
              <w:t>commend a sensitiser notation or</w:t>
            </w:r>
            <w:r>
              <w:t xml:space="preserve"> TLV-STEL.</w:t>
            </w:r>
          </w:p>
          <w:p w14:paraId="5FAB6104" w14:textId="77777777" w:rsidR="00A241A5" w:rsidRPr="00DA352E" w:rsidRDefault="00A241A5" w:rsidP="004F6BA1">
            <w:pPr>
              <w:pStyle w:val="Tabletextprimarysource"/>
            </w:pPr>
          </w:p>
        </w:tc>
      </w:tr>
      <w:tr w:rsidR="00C978F0" w:rsidRPr="00DA352E" w14:paraId="3608C792" w14:textId="77777777" w:rsidTr="005D4FB4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74387C63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1A409C">
                  <w:t>1999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1A409C">
                  <w:t>Not assigned</w:t>
                </w:r>
              </w:sdtContent>
            </w:sdt>
          </w:p>
        </w:tc>
      </w:tr>
      <w:tr w:rsidR="00C978F0" w:rsidRPr="00DA352E" w14:paraId="2F4B0182" w14:textId="77777777" w:rsidTr="005D4FB4">
        <w:trPr>
          <w:gridAfter w:val="1"/>
          <w:wAfter w:w="8" w:type="pct"/>
        </w:trPr>
        <w:tc>
          <w:tcPr>
            <w:tcW w:w="4992" w:type="pct"/>
          </w:tcPr>
          <w:p w14:paraId="09DCEB35" w14:textId="77777777" w:rsidR="00C978F0" w:rsidRDefault="00AF3EB9" w:rsidP="003365A5">
            <w:pPr>
              <w:pStyle w:val="Tabletextprimarysource"/>
            </w:pPr>
            <w:r>
              <w:t>Summary of additional data:</w:t>
            </w:r>
          </w:p>
          <w:p w14:paraId="7B380872" w14:textId="77777777" w:rsidR="005C7183" w:rsidRDefault="005C7183" w:rsidP="002F443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MAK not assigned due to carcinogenic potential</w:t>
            </w:r>
          </w:p>
          <w:p w14:paraId="2FA90676" w14:textId="77777777" w:rsidR="00AF3EB9" w:rsidRDefault="005C7183" w:rsidP="002F443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Weakly carcinogenic in rodents</w:t>
            </w:r>
          </w:p>
          <w:p w14:paraId="026998E4" w14:textId="77777777" w:rsidR="005C7183" w:rsidRDefault="005C7183" w:rsidP="002F443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W</w:t>
            </w:r>
            <w:r w:rsidR="00AE2927">
              <w:t>eakly genotoxic even at high do</w:t>
            </w:r>
            <w:r>
              <w:t>s</w:t>
            </w:r>
            <w:r w:rsidR="00AE2927">
              <w:t>e</w:t>
            </w:r>
            <w:r>
              <w:t xml:space="preserve"> </w:t>
            </w:r>
            <w:r>
              <w:rPr>
                <w:i/>
              </w:rPr>
              <w:t xml:space="preserve">in vivo </w:t>
            </w:r>
            <w:r>
              <w:t xml:space="preserve">or </w:t>
            </w:r>
            <w:r>
              <w:rPr>
                <w:i/>
              </w:rPr>
              <w:t>in vitro</w:t>
            </w:r>
            <w:r w:rsidR="004F6BA1">
              <w:t>.</w:t>
            </w:r>
          </w:p>
          <w:p w14:paraId="281B02E6" w14:textId="77777777" w:rsidR="00A241A5" w:rsidRPr="00DA352E" w:rsidRDefault="00A241A5" w:rsidP="002F4432">
            <w:pPr>
              <w:pStyle w:val="ListBullet"/>
              <w:numPr>
                <w:ilvl w:val="0"/>
                <w:numId w:val="0"/>
              </w:numPr>
              <w:spacing w:before="60" w:after="60"/>
              <w:ind w:left="1080"/>
              <w:contextualSpacing w:val="0"/>
            </w:pPr>
          </w:p>
        </w:tc>
      </w:tr>
      <w:tr w:rsidR="00C978F0" w:rsidRPr="00DA352E" w14:paraId="7FA8EEE7" w14:textId="77777777" w:rsidTr="005D4FB4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B859B6F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1A409C">
                  <w:t>2016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1A409C">
                  <w:t>Not assigned</w:t>
                </w:r>
              </w:sdtContent>
            </w:sdt>
          </w:p>
        </w:tc>
      </w:tr>
      <w:tr w:rsidR="00C978F0" w:rsidRPr="00DA352E" w14:paraId="297DE065" w14:textId="77777777" w:rsidTr="005D4FB4">
        <w:trPr>
          <w:gridAfter w:val="1"/>
          <w:wAfter w:w="8" w:type="pct"/>
        </w:trPr>
        <w:tc>
          <w:tcPr>
            <w:tcW w:w="4992" w:type="pct"/>
          </w:tcPr>
          <w:p w14:paraId="0EE1FE3F" w14:textId="77777777" w:rsidR="00C978F0" w:rsidRDefault="00F57A7E" w:rsidP="003365A5">
            <w:pPr>
              <w:pStyle w:val="Tabletextprimarysource"/>
            </w:pPr>
            <w:r>
              <w:t>Summary of additional data:</w:t>
            </w:r>
          </w:p>
          <w:p w14:paraId="0EE360C6" w14:textId="77777777" w:rsidR="00F57A7E" w:rsidRDefault="008603D6" w:rsidP="002F443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Carcinogenicity is the relevant toxicological endpoint</w:t>
            </w:r>
          </w:p>
          <w:p w14:paraId="44045403" w14:textId="03DD1A82" w:rsidR="008603D6" w:rsidRDefault="008603D6" w:rsidP="002F443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Increased risk of lung cancer in aerospace workers</w:t>
            </w:r>
          </w:p>
          <w:p w14:paraId="544EA6EC" w14:textId="11C3027A" w:rsidR="00C81D4D" w:rsidRDefault="00C81D4D" w:rsidP="002F443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Induced DNA strand breaks in rat hepatocytes and unscheduled DNA synthesis in mouse hepatocyte</w:t>
            </w:r>
          </w:p>
          <w:p w14:paraId="0142B49A" w14:textId="469E50A8" w:rsidR="00C81D4D" w:rsidRDefault="00C81D4D" w:rsidP="002F4432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Induced DNA strand breaks in liver and lungs </w:t>
            </w:r>
            <w:r w:rsidRPr="005D4FB4">
              <w:rPr>
                <w:i/>
              </w:rPr>
              <w:t>in vivo</w:t>
            </w:r>
            <w:r>
              <w:t xml:space="preserve"> in mice </w:t>
            </w:r>
          </w:p>
          <w:p w14:paraId="42892A0D" w14:textId="17C94D6E" w:rsidR="00FD1946" w:rsidRDefault="00FD1946" w:rsidP="002F4432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Induced the formation of DNA adducts </w:t>
            </w:r>
            <w:r w:rsidRPr="005D4FB4">
              <w:rPr>
                <w:i/>
              </w:rPr>
              <w:t xml:space="preserve">in vitro </w:t>
            </w:r>
            <w:r>
              <w:t xml:space="preserve">and of N7-methylguanine and O6-methylguanine in liver of mice, rats and hamsters treated </w:t>
            </w:r>
            <w:r w:rsidRPr="005D4FB4">
              <w:rPr>
                <w:i/>
              </w:rPr>
              <w:t>in vivo</w:t>
            </w:r>
          </w:p>
          <w:p w14:paraId="2141C6CF" w14:textId="2A030944" w:rsidR="00C81D4D" w:rsidRDefault="00C81D4D" w:rsidP="002F443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Mutagenic to yeast and bacteria and induced DNA damage in bacteria</w:t>
            </w:r>
          </w:p>
          <w:p w14:paraId="7517C6E3" w14:textId="77777777" w:rsidR="008603D6" w:rsidRDefault="008603D6" w:rsidP="002F4432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Characterised as genotoxic; indirect mechanism of </w:t>
            </w:r>
            <w:proofErr w:type="spellStart"/>
            <w:r>
              <w:t>genotoxicity</w:t>
            </w:r>
            <w:proofErr w:type="spellEnd"/>
            <w:r>
              <w:t>; regarding occupational exposure and respiratory tract effects the existence of a threshold cannot be sufficiently supported</w:t>
            </w:r>
            <w:r w:rsidR="004F6BA1">
              <w:t>.</w:t>
            </w:r>
          </w:p>
          <w:p w14:paraId="2C35DD77" w14:textId="77777777" w:rsidR="00A241A5" w:rsidRPr="00DA352E" w:rsidRDefault="00A241A5" w:rsidP="002F4432">
            <w:pPr>
              <w:pStyle w:val="ListBullet"/>
              <w:numPr>
                <w:ilvl w:val="0"/>
                <w:numId w:val="0"/>
              </w:numPr>
              <w:spacing w:before="60" w:after="60"/>
              <w:ind w:left="1080"/>
              <w:contextualSpacing w:val="0"/>
            </w:pPr>
          </w:p>
        </w:tc>
      </w:tr>
      <w:tr w:rsidR="00DA352E" w:rsidRPr="00DA352E" w14:paraId="3A64E78F" w14:textId="77777777" w:rsidTr="005D4FB4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5D164514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1A409C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1A409C">
                  <w:t>NA</w:t>
                </w:r>
                <w:proofErr w:type="spellEnd"/>
              </w:sdtContent>
            </w:sdt>
          </w:p>
        </w:tc>
      </w:tr>
      <w:tr w:rsidR="00DA352E" w:rsidRPr="00DA352E" w14:paraId="3BB13ACB" w14:textId="77777777" w:rsidTr="005D4FB4">
        <w:trPr>
          <w:gridAfter w:val="1"/>
          <w:wAfter w:w="8" w:type="pct"/>
        </w:trPr>
        <w:tc>
          <w:tcPr>
            <w:tcW w:w="4992" w:type="pct"/>
          </w:tcPr>
          <w:p w14:paraId="4C1423E1" w14:textId="77777777" w:rsidR="00DA352E" w:rsidRPr="00DA352E" w:rsidRDefault="001A409C" w:rsidP="003365A5">
            <w:pPr>
              <w:pStyle w:val="Tabletextprimarysource"/>
            </w:pPr>
            <w:r>
              <w:t>No report</w:t>
            </w:r>
            <w:r w:rsidR="004F6BA1">
              <w:t>.</w:t>
            </w:r>
          </w:p>
        </w:tc>
      </w:tr>
      <w:tr w:rsidR="00DA352E" w:rsidRPr="00DA352E" w14:paraId="5E6BB132" w14:textId="77777777" w:rsidTr="005D4FB4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19293F3C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1A409C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1A409C">
                  <w:t>NA</w:t>
                </w:r>
                <w:proofErr w:type="spellEnd"/>
              </w:sdtContent>
            </w:sdt>
          </w:p>
        </w:tc>
      </w:tr>
      <w:tr w:rsidR="00DA352E" w:rsidRPr="00DA352E" w14:paraId="29294FA2" w14:textId="77777777" w:rsidTr="005D4FB4">
        <w:trPr>
          <w:gridAfter w:val="1"/>
          <w:wAfter w:w="8" w:type="pct"/>
        </w:trPr>
        <w:tc>
          <w:tcPr>
            <w:tcW w:w="4992" w:type="pct"/>
          </w:tcPr>
          <w:p w14:paraId="6479A12E" w14:textId="77777777" w:rsidR="00DA352E" w:rsidRPr="00DA352E" w:rsidRDefault="001A409C" w:rsidP="003365A5">
            <w:pPr>
              <w:pStyle w:val="Tabletextprimarysource"/>
            </w:pPr>
            <w:r>
              <w:t>No report</w:t>
            </w:r>
            <w:r w:rsidR="004F6BA1">
              <w:t>.</w:t>
            </w:r>
          </w:p>
        </w:tc>
      </w:tr>
    </w:tbl>
    <w:p w14:paraId="30E0BF3D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2"/>
        <w:gridCol w:w="423"/>
        <w:gridCol w:w="661"/>
        <w:gridCol w:w="6450"/>
      </w:tblGrid>
      <w:tr w:rsidR="004966BF" w:rsidRPr="00263255" w14:paraId="57397247" w14:textId="77777777" w:rsidTr="00696909">
        <w:trPr>
          <w:cantSplit/>
          <w:trHeight w:val="393"/>
          <w:tblHeader/>
        </w:trPr>
        <w:tc>
          <w:tcPr>
            <w:tcW w:w="1492" w:type="dxa"/>
            <w:shd w:val="clear" w:color="auto" w:fill="BFBFBF" w:themeFill="background1" w:themeFillShade="BF"/>
            <w:vAlign w:val="center"/>
          </w:tcPr>
          <w:p w14:paraId="39154248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7F9C83B1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32751EB4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0" w:type="dxa"/>
            <w:shd w:val="clear" w:color="auto" w:fill="BFBFBF" w:themeFill="background1" w:themeFillShade="BF"/>
            <w:vAlign w:val="center"/>
          </w:tcPr>
          <w:p w14:paraId="5227AD8A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12EFD4BB" w14:textId="77777777" w:rsidTr="00696909">
        <w:trPr>
          <w:cantSplit/>
        </w:trPr>
        <w:tc>
          <w:tcPr>
            <w:tcW w:w="1492" w:type="dxa"/>
          </w:tcPr>
          <w:p w14:paraId="51E20441" w14:textId="77777777" w:rsidR="004966BF" w:rsidRPr="004C23F4" w:rsidRDefault="004966BF" w:rsidP="00224EE2">
            <w:pPr>
              <w:pStyle w:val="Tablefont"/>
            </w:pPr>
            <w:r>
              <w:t>US EPA</w:t>
            </w:r>
          </w:p>
        </w:tc>
        <w:tc>
          <w:tcPr>
            <w:tcW w:w="423" w:type="dxa"/>
          </w:tcPr>
          <w:p w14:paraId="66CA121E" w14:textId="77777777" w:rsidR="004966BF" w:rsidRPr="00CE617F" w:rsidRDefault="006808D3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5130AA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7126074D" w14:textId="77777777" w:rsidR="004966BF" w:rsidRPr="004C23F4" w:rsidRDefault="005130AA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2002</w:t>
            </w:r>
          </w:p>
        </w:tc>
        <w:tc>
          <w:tcPr>
            <w:tcW w:w="6450" w:type="dxa"/>
          </w:tcPr>
          <w:p w14:paraId="5AF2FF38" w14:textId="2668BB29" w:rsidR="004966BF" w:rsidRDefault="00696909" w:rsidP="00AE2927">
            <w:pPr>
              <w:pStyle w:val="ListBullet"/>
              <w:spacing w:before="60" w:after="60"/>
              <w:ind w:left="71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Inhalation Unit Risk Factor based on inhalation study in rats; nasal cavity adenoma and adenoma</w:t>
            </w:r>
            <w:r w:rsidR="0052727F">
              <w:rPr>
                <w:rStyle w:val="checkbox"/>
                <w:rFonts w:ascii="Arial" w:hAnsi="Arial" w:cs="Arial"/>
              </w:rPr>
              <w:t xml:space="preserve"> </w:t>
            </w:r>
            <w:r>
              <w:rPr>
                <w:rStyle w:val="checkbox"/>
                <w:rFonts w:ascii="Arial" w:hAnsi="Arial" w:cs="Arial"/>
              </w:rPr>
              <w:t>carcinoma</w:t>
            </w:r>
          </w:p>
          <w:p w14:paraId="3735F710" w14:textId="7E15F7FD" w:rsidR="00696909" w:rsidRPr="00696909" w:rsidRDefault="00696909" w:rsidP="00AE2927">
            <w:pPr>
              <w:pStyle w:val="ListBullet"/>
              <w:spacing w:before="60" w:after="60"/>
              <w:ind w:left="717"/>
              <w:contextualSpacing w:val="0"/>
              <w:rPr>
                <w:rFonts w:cs="Arial"/>
              </w:rPr>
            </w:pPr>
            <w:r>
              <w:t xml:space="preserve">A sufficient number of animals treated for less than lifetime and observed until death; a dose-related increase in incidence </w:t>
            </w:r>
            <w:r w:rsidR="000D78F4">
              <w:t>reported</w:t>
            </w:r>
          </w:p>
          <w:p w14:paraId="2C53F3FC" w14:textId="77777777" w:rsidR="00696909" w:rsidRPr="00696909" w:rsidRDefault="00696909" w:rsidP="00AE2927">
            <w:pPr>
              <w:pStyle w:val="ListBullet"/>
              <w:spacing w:before="60" w:after="60"/>
              <w:ind w:left="717"/>
              <w:contextualSpacing w:val="0"/>
              <w:rPr>
                <w:rStyle w:val="checkbox"/>
                <w:rFonts w:ascii="Arial" w:hAnsi="Arial" w:cs="Arial"/>
              </w:rPr>
            </w:pPr>
            <w:r w:rsidRPr="004F10AF">
              <w:t>Mutagenicity</w:t>
            </w:r>
            <w:r w:rsidRPr="00696909">
              <w:rPr>
                <w:rStyle w:val="checkbox"/>
                <w:rFonts w:ascii="Arial" w:hAnsi="Arial" w:cs="Arial"/>
              </w:rPr>
              <w:t xml:space="preserve"> demonstrated in both </w:t>
            </w:r>
            <w:r w:rsidRPr="00696909">
              <w:rPr>
                <w:rStyle w:val="checkbox"/>
                <w:rFonts w:ascii="Arial" w:hAnsi="Arial" w:cs="Arial"/>
                <w:i/>
              </w:rPr>
              <w:t>in vitro</w:t>
            </w:r>
            <w:r w:rsidRPr="00696909">
              <w:rPr>
                <w:rStyle w:val="checkbox"/>
                <w:rFonts w:ascii="Arial" w:hAnsi="Arial" w:cs="Arial"/>
              </w:rPr>
              <w:t xml:space="preserve"> and </w:t>
            </w:r>
            <w:r w:rsidRPr="00696909">
              <w:rPr>
                <w:rStyle w:val="checkbox"/>
                <w:rFonts w:ascii="Arial" w:hAnsi="Arial" w:cs="Arial"/>
                <w:i/>
              </w:rPr>
              <w:t>in vivo</w:t>
            </w:r>
          </w:p>
          <w:p w14:paraId="2BC3D5DA" w14:textId="77777777" w:rsidR="00696909" w:rsidRPr="004C23F4" w:rsidRDefault="00696909" w:rsidP="00AE2927">
            <w:pPr>
              <w:pStyle w:val="ListBullet"/>
              <w:spacing w:before="60" w:after="60"/>
              <w:ind w:left="71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Classified </w:t>
            </w:r>
            <w:r w:rsidRPr="004F10AF">
              <w:t>as</w:t>
            </w:r>
            <w:r>
              <w:rPr>
                <w:rStyle w:val="checkbox"/>
                <w:rFonts w:ascii="Arial" w:hAnsi="Arial" w:cs="Arial"/>
              </w:rPr>
              <w:t xml:space="preserve"> a </w:t>
            </w:r>
            <w:r>
              <w:t>probable human carcinogen.</w:t>
            </w:r>
          </w:p>
        </w:tc>
      </w:tr>
    </w:tbl>
    <w:bookmarkEnd w:id="1"/>
    <w:p w14:paraId="15C0B6D2" w14:textId="77777777" w:rsidR="007E2A4B" w:rsidRDefault="007E2A4B" w:rsidP="004F10AF">
      <w:pPr>
        <w:pStyle w:val="Heading3"/>
        <w:keepNext w:val="0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10"/>
        <w:gridCol w:w="2416"/>
      </w:tblGrid>
      <w:tr w:rsidR="002E0D61" w14:paraId="3E3A64CF" w14:textId="77777777" w:rsidTr="00610F2E">
        <w:trPr>
          <w:trHeight w:val="454"/>
          <w:tblHeader/>
        </w:trPr>
        <w:tc>
          <w:tcPr>
            <w:tcW w:w="6771" w:type="dxa"/>
            <w:vAlign w:val="center"/>
          </w:tcPr>
          <w:p w14:paraId="1D324233" w14:textId="77777777" w:rsidR="002E0D61" w:rsidRDefault="00B1422A" w:rsidP="004F10AF">
            <w:pPr>
              <w:pStyle w:val="Tablefont"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71" w:type="dxa"/>
                <w:vAlign w:val="center"/>
              </w:tcPr>
              <w:p w14:paraId="2C2262F0" w14:textId="77777777" w:rsidR="002E0D61" w:rsidRDefault="008603D6" w:rsidP="004F10AF">
                <w:pPr>
                  <w:pStyle w:val="Tablefont"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29F5C9E9" w14:textId="77777777" w:rsidTr="006901A2">
        <w:trPr>
          <w:trHeight w:val="454"/>
        </w:trPr>
        <w:tc>
          <w:tcPr>
            <w:tcW w:w="6771" w:type="dxa"/>
            <w:vAlign w:val="center"/>
          </w:tcPr>
          <w:p w14:paraId="613A27F2" w14:textId="77777777" w:rsidR="008A36CF" w:rsidRDefault="008A36CF" w:rsidP="004F10AF">
            <w:pPr>
              <w:pStyle w:val="Tablefont"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71" w:type="dxa"/>
                <w:vAlign w:val="center"/>
              </w:tcPr>
              <w:p w14:paraId="0F1B6B73" w14:textId="77777777" w:rsidR="008A36CF" w:rsidRDefault="008603D6" w:rsidP="004F10AF">
                <w:pPr>
                  <w:pStyle w:val="Tablefont"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7D65DF1B" w14:textId="77777777" w:rsidTr="006901A2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771" w:type="dxa"/>
                <w:vAlign w:val="center"/>
              </w:tcPr>
              <w:p w14:paraId="554FACC9" w14:textId="77777777" w:rsidR="008A36CF" w:rsidRPr="006901A2" w:rsidRDefault="008603D6" w:rsidP="004F10AF">
                <w:pPr>
                  <w:pStyle w:val="Tablefont"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a non-threshold based genotoxic carcinogen.</w:t>
                </w:r>
              </w:p>
            </w:tc>
          </w:sdtContent>
        </w:sdt>
        <w:tc>
          <w:tcPr>
            <w:tcW w:w="2471" w:type="dxa"/>
            <w:vAlign w:val="center"/>
          </w:tcPr>
          <w:p w14:paraId="6CA47D40" w14:textId="77777777" w:rsidR="008A36CF" w:rsidRDefault="008A36CF" w:rsidP="004F10AF">
            <w:pPr>
              <w:pStyle w:val="Tablefont"/>
              <w:keepLines/>
              <w:spacing w:before="40" w:after="40"/>
            </w:pPr>
          </w:p>
        </w:tc>
      </w:tr>
      <w:tr w:rsidR="008A36CF" w14:paraId="6A0A2749" w14:textId="77777777" w:rsidTr="006901A2">
        <w:trPr>
          <w:trHeight w:val="454"/>
        </w:trPr>
        <w:tc>
          <w:tcPr>
            <w:tcW w:w="6771" w:type="dxa"/>
            <w:vAlign w:val="center"/>
          </w:tcPr>
          <w:p w14:paraId="482D0D83" w14:textId="77777777" w:rsidR="008A36CF" w:rsidRDefault="008A36CF" w:rsidP="004F10AF">
            <w:pPr>
              <w:pStyle w:val="Tablefont"/>
              <w:keepLines/>
              <w:spacing w:before="40" w:after="40"/>
            </w:pPr>
            <w:r w:rsidRPr="008A36CF">
              <w:t>Is a cancer slope factor or inhalation unit risk value available?</w:t>
            </w:r>
          </w:p>
        </w:tc>
        <w:sdt>
          <w:sdtPr>
            <w:id w:val="1304347970"/>
            <w:placeholder>
              <w:docPart w:val="047AD93791DC493F8562BB3488160D64"/>
            </w:placeholder>
            <w:comboBox>
              <w:listItem w:value="Choose an item."/>
              <w:listItem w:displayText="Yes" w:value="Yes"/>
              <w:listItem w:displayText="No" w:value="No"/>
              <w:listItem w:displayText="NA" w:value="NA"/>
            </w:comboBox>
          </w:sdtPr>
          <w:sdtEndPr/>
          <w:sdtContent>
            <w:tc>
              <w:tcPr>
                <w:tcW w:w="2471" w:type="dxa"/>
                <w:vAlign w:val="center"/>
              </w:tcPr>
              <w:p w14:paraId="036C3A6D" w14:textId="77777777" w:rsidR="008A36CF" w:rsidRDefault="008603D6" w:rsidP="004F10AF">
                <w:pPr>
                  <w:pStyle w:val="Tablefont"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1BC6AC06" w14:textId="77777777" w:rsidTr="006901A2">
        <w:trPr>
          <w:trHeight w:val="454"/>
        </w:trPr>
        <w:sdt>
          <w:sdtPr>
            <w:alias w:val="Dropdown"/>
            <w:tag w:val="Dropdown"/>
            <w:id w:val="-1733531363"/>
            <w:placeholder>
              <w:docPart w:val="7B0BAA2441D5427984E6018FB38900E7"/>
            </w:placeholder>
            <w:comboBox>
              <w:listItem w:value="Choose an item."/>
              <w:listItem w:displayText="Cancer slope factor (1/(mg/kg/day))" w:value="Cancer slope factor (1/(mg/kg/day))"/>
              <w:listItem w:displayText="Inhalation unit risk value (1/(µg/m³))" w:value="Inhalation unit risk value (1/(µg/m³))"/>
            </w:comboBox>
          </w:sdtPr>
          <w:sdtEndPr/>
          <w:sdtContent>
            <w:tc>
              <w:tcPr>
                <w:tcW w:w="6771" w:type="dxa"/>
                <w:vAlign w:val="center"/>
              </w:tcPr>
              <w:p w14:paraId="2292047F" w14:textId="77777777" w:rsidR="008A36CF" w:rsidRDefault="008603D6" w:rsidP="004F10AF">
                <w:pPr>
                  <w:pStyle w:val="Tablefont"/>
                  <w:keepLines/>
                  <w:spacing w:before="40" w:after="40"/>
                </w:pPr>
                <w:r>
                  <w:t>Inhalation unit risk value (1/(µg/m³))</w:t>
                </w:r>
              </w:p>
            </w:tc>
          </w:sdtContent>
        </w:sdt>
        <w:sdt>
          <w:sdtPr>
            <w:alias w:val="SlopeFactor"/>
            <w:tag w:val="SlopeFactor"/>
            <w:id w:val="-1925646767"/>
            <w:placeholder>
              <w:docPart w:val="5C1D38B030D146B59436754F8399D502"/>
            </w:placeholder>
          </w:sdtPr>
          <w:sdtEndPr/>
          <w:sdtContent>
            <w:tc>
              <w:tcPr>
                <w:tcW w:w="2471" w:type="dxa"/>
                <w:vAlign w:val="center"/>
              </w:tcPr>
              <w:p w14:paraId="56C341F8" w14:textId="1010181A" w:rsidR="008A36CF" w:rsidRDefault="00687F55" w:rsidP="004F10AF">
                <w:pPr>
                  <w:pStyle w:val="Tablefont"/>
                  <w:keepLines/>
                  <w:spacing w:before="40" w:after="40"/>
                </w:pPr>
                <w:r>
                  <w:t>4.9 x 10</w:t>
                </w:r>
                <w:r>
                  <w:softHyphen/>
                </w:r>
                <w:r>
                  <w:rPr>
                    <w:vertAlign w:val="superscript"/>
                  </w:rPr>
                  <w:t>-3</w:t>
                </w:r>
              </w:p>
            </w:tc>
          </w:sdtContent>
        </w:sdt>
      </w:tr>
      <w:tr w:rsidR="008A36CF" w14:paraId="4FE47647" w14:textId="77777777" w:rsidTr="006901A2">
        <w:trPr>
          <w:trHeight w:val="454"/>
        </w:trPr>
        <w:tc>
          <w:tcPr>
            <w:tcW w:w="6771" w:type="dxa"/>
            <w:vAlign w:val="center"/>
          </w:tcPr>
          <w:p w14:paraId="2FC22F5B" w14:textId="77777777" w:rsidR="008A36CF" w:rsidRDefault="008A36CF" w:rsidP="004F10AF">
            <w:pPr>
              <w:pStyle w:val="Tablefont"/>
              <w:keepLines/>
              <w:spacing w:before="40" w:after="40"/>
            </w:pPr>
            <w:r>
              <w:t>Calculated TWA value (</w:t>
            </w:r>
            <w:r>
              <w:rPr>
                <w:rFonts w:cs="Arial"/>
              </w:rPr>
              <w:t>µ</w:t>
            </w:r>
            <w:r>
              <w:t>g/m</w:t>
            </w:r>
            <w:r w:rsidRPr="008A36CF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471" w:type="dxa"/>
            <w:vAlign w:val="center"/>
          </w:tcPr>
          <w:p w14:paraId="479F9358" w14:textId="77777777" w:rsidR="008A36CF" w:rsidRDefault="00687F55" w:rsidP="004F10AF">
            <w:pPr>
              <w:pStyle w:val="Tablefont"/>
              <w:keepLines/>
              <w:spacing w:before="40" w:after="40"/>
            </w:pPr>
            <w:r>
              <w:t>0.02</w:t>
            </w:r>
          </w:p>
        </w:tc>
      </w:tr>
    </w:tbl>
    <w:bookmarkEnd w:id="2"/>
    <w:p w14:paraId="0A9A5D6F" w14:textId="77777777" w:rsidR="00687890" w:rsidRPr="004C23F4" w:rsidRDefault="00B479A9" w:rsidP="004F6BA1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10751AA2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5EFF246B" w14:textId="77777777" w:rsidR="00687890" w:rsidRPr="004C23F4" w:rsidRDefault="00687890" w:rsidP="004F10AF">
            <w:pPr>
              <w:pStyle w:val="Tableheader"/>
              <w:keepNext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7D250671" w14:textId="77777777" w:rsidR="00687890" w:rsidRPr="004C23F4" w:rsidRDefault="00687890" w:rsidP="004F10AF">
            <w:pPr>
              <w:pStyle w:val="Tableheader"/>
              <w:keepNext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5C759EEC" w14:textId="77777777" w:rsidTr="00812887">
        <w:trPr>
          <w:cantSplit/>
        </w:trPr>
        <w:tc>
          <w:tcPr>
            <w:tcW w:w="3227" w:type="dxa"/>
          </w:tcPr>
          <w:p w14:paraId="778B7CCF" w14:textId="77777777" w:rsidR="004079B4" w:rsidRPr="004C23F4" w:rsidRDefault="00084513" w:rsidP="004F10AF">
            <w:pPr>
              <w:pStyle w:val="Tablefont"/>
              <w:keepNext/>
            </w:pPr>
            <w:r w:rsidRPr="004C23F4">
              <w:t>SWA</w:t>
            </w:r>
          </w:p>
        </w:tc>
        <w:tc>
          <w:tcPr>
            <w:tcW w:w="6015" w:type="dxa"/>
          </w:tcPr>
          <w:p w14:paraId="3D4007BC" w14:textId="77777777" w:rsidR="00687890" w:rsidRPr="00DD2F9B" w:rsidRDefault="00A237BC" w:rsidP="004F10AF">
            <w:pPr>
              <w:pStyle w:val="Tablefont"/>
              <w:keepNext/>
            </w:pPr>
            <w:proofErr w:type="spellStart"/>
            <w:r w:rsidRPr="00A237BC">
              <w:t>Carc</w:t>
            </w:r>
            <w:proofErr w:type="spellEnd"/>
            <w:r w:rsidRPr="00A237BC">
              <w:t>. 2</w:t>
            </w:r>
          </w:p>
        </w:tc>
      </w:tr>
      <w:tr w:rsidR="007925F0" w:rsidRPr="004C23F4" w14:paraId="208F0E98" w14:textId="77777777" w:rsidTr="00812887">
        <w:trPr>
          <w:cantSplit/>
        </w:trPr>
        <w:tc>
          <w:tcPr>
            <w:tcW w:w="3227" w:type="dxa"/>
          </w:tcPr>
          <w:p w14:paraId="275EA598" w14:textId="77777777" w:rsidR="004079B4" w:rsidRPr="004C23F4" w:rsidRDefault="007925F0" w:rsidP="004F10AF">
            <w:pPr>
              <w:pStyle w:val="Tablefont"/>
              <w:keepNext/>
            </w:pPr>
            <w:r>
              <w:t>HCIS</w:t>
            </w:r>
          </w:p>
        </w:tc>
        <w:tc>
          <w:tcPr>
            <w:tcW w:w="6015" w:type="dxa"/>
          </w:tcPr>
          <w:p w14:paraId="7503743C" w14:textId="77777777" w:rsidR="007925F0" w:rsidRPr="00DD2F9B" w:rsidRDefault="00CA787C" w:rsidP="004F10AF">
            <w:pPr>
              <w:keepNext/>
            </w:pPr>
            <w:r>
              <w:t>Carcinogenicity – category 1B</w:t>
            </w:r>
            <w:r w:rsidR="00065512">
              <w:t xml:space="preserve">, </w:t>
            </w:r>
            <w:r>
              <w:t>Skin sensitisation – category 1</w:t>
            </w:r>
          </w:p>
        </w:tc>
      </w:tr>
      <w:tr w:rsidR="00AF483F" w:rsidRPr="004C23F4" w14:paraId="7B53C115" w14:textId="77777777" w:rsidTr="00812887">
        <w:trPr>
          <w:cantSplit/>
        </w:trPr>
        <w:tc>
          <w:tcPr>
            <w:tcW w:w="3227" w:type="dxa"/>
          </w:tcPr>
          <w:p w14:paraId="2B2FAD2B" w14:textId="77777777" w:rsidR="00AF483F" w:rsidRPr="004C23F4" w:rsidRDefault="00AF483F" w:rsidP="004F10AF">
            <w:pPr>
              <w:pStyle w:val="Tablefont"/>
              <w:keepNext/>
            </w:pPr>
            <w:r>
              <w:t>NICNAS</w:t>
            </w:r>
          </w:p>
        </w:tc>
        <w:tc>
          <w:tcPr>
            <w:tcW w:w="6015" w:type="dxa"/>
          </w:tcPr>
          <w:p w14:paraId="5F131D31" w14:textId="77777777" w:rsidR="00AF483F" w:rsidRPr="00DD2F9B" w:rsidRDefault="001A409C" w:rsidP="004F10AF">
            <w:pPr>
              <w:pStyle w:val="Tablefont"/>
              <w:keepNext/>
            </w:pPr>
            <w:proofErr w:type="spellStart"/>
            <w:r w:rsidRPr="001A409C">
              <w:t>Carc</w:t>
            </w:r>
            <w:proofErr w:type="spellEnd"/>
            <w:r w:rsidRPr="001A409C">
              <w:t>. Cat 2</w:t>
            </w:r>
          </w:p>
        </w:tc>
      </w:tr>
      <w:tr w:rsidR="00687890" w:rsidRPr="004C23F4" w14:paraId="496EF23E" w14:textId="77777777" w:rsidTr="00812887">
        <w:trPr>
          <w:cantSplit/>
        </w:trPr>
        <w:tc>
          <w:tcPr>
            <w:tcW w:w="3227" w:type="dxa"/>
          </w:tcPr>
          <w:p w14:paraId="57232C20" w14:textId="77777777" w:rsidR="004079B4" w:rsidRPr="004C23F4" w:rsidRDefault="00687890" w:rsidP="004F10AF">
            <w:pPr>
              <w:pStyle w:val="Tablefont"/>
              <w:keepNext/>
            </w:pPr>
            <w:r w:rsidRPr="004C23F4">
              <w:t>EU Annex</w:t>
            </w:r>
          </w:p>
        </w:tc>
        <w:tc>
          <w:tcPr>
            <w:tcW w:w="6015" w:type="dxa"/>
          </w:tcPr>
          <w:p w14:paraId="7B60BE3C" w14:textId="77777777" w:rsidR="00687890" w:rsidRPr="00DD2F9B" w:rsidRDefault="00CA787C" w:rsidP="004F10AF">
            <w:pPr>
              <w:keepNext/>
            </w:pPr>
            <w:r>
              <w:t>Carcinogenicity – category 1B</w:t>
            </w:r>
            <w:r w:rsidR="001A409C">
              <w:t xml:space="preserve">, </w:t>
            </w:r>
            <w:r w:rsidR="00630BE9">
              <w:t>Skin sensitisation – category 1</w:t>
            </w:r>
          </w:p>
        </w:tc>
      </w:tr>
      <w:tr w:rsidR="00E41A26" w:rsidRPr="004C23F4" w14:paraId="1B5EE354" w14:textId="77777777" w:rsidTr="00812887">
        <w:trPr>
          <w:cantSplit/>
        </w:trPr>
        <w:tc>
          <w:tcPr>
            <w:tcW w:w="3227" w:type="dxa"/>
          </w:tcPr>
          <w:p w14:paraId="40500479" w14:textId="77777777" w:rsidR="00E41A26" w:rsidRDefault="00E41A26" w:rsidP="004F10AF">
            <w:pPr>
              <w:pStyle w:val="Tablefont"/>
              <w:keepNext/>
            </w:pPr>
            <w:r>
              <w:t>ECHA</w:t>
            </w:r>
          </w:p>
        </w:tc>
        <w:tc>
          <w:tcPr>
            <w:tcW w:w="6015" w:type="dxa"/>
          </w:tcPr>
          <w:p w14:paraId="58C86887" w14:textId="77777777" w:rsidR="00E41A26" w:rsidRPr="00DD2F9B" w:rsidRDefault="00630BE9" w:rsidP="004F10AF">
            <w:pPr>
              <w:pStyle w:val="Tablefont"/>
              <w:keepNext/>
            </w:pPr>
            <w:r>
              <w:t>Carcinogenicity – category 1B</w:t>
            </w:r>
          </w:p>
        </w:tc>
      </w:tr>
      <w:tr w:rsidR="002E0D61" w:rsidRPr="004C23F4" w14:paraId="3D810D74" w14:textId="77777777" w:rsidTr="00812887">
        <w:trPr>
          <w:cantSplit/>
        </w:trPr>
        <w:tc>
          <w:tcPr>
            <w:tcW w:w="3227" w:type="dxa"/>
          </w:tcPr>
          <w:p w14:paraId="2243D0A7" w14:textId="77777777" w:rsidR="004079B4" w:rsidRPr="004C23F4" w:rsidRDefault="002E0D61" w:rsidP="004F10AF">
            <w:pPr>
              <w:pStyle w:val="Tablefont"/>
              <w:keepNext/>
            </w:pPr>
            <w:r>
              <w:t>ACGIH</w:t>
            </w:r>
          </w:p>
        </w:tc>
        <w:tc>
          <w:tcPr>
            <w:tcW w:w="6015" w:type="dxa"/>
          </w:tcPr>
          <w:p w14:paraId="1EA866EB" w14:textId="77777777" w:rsidR="002E0D61" w:rsidRPr="00DD2F9B" w:rsidRDefault="00630BE9" w:rsidP="004F10AF">
            <w:pPr>
              <w:keepNext/>
            </w:pPr>
            <w:r>
              <w:t>Carcinogenicity – A3</w:t>
            </w:r>
            <w:r w:rsidR="00065512">
              <w:t>, Skin</w:t>
            </w:r>
          </w:p>
        </w:tc>
      </w:tr>
      <w:tr w:rsidR="002E0D61" w:rsidRPr="004C23F4" w14:paraId="1DF0C79A" w14:textId="77777777" w:rsidTr="00812887">
        <w:trPr>
          <w:cantSplit/>
        </w:trPr>
        <w:tc>
          <w:tcPr>
            <w:tcW w:w="3227" w:type="dxa"/>
          </w:tcPr>
          <w:p w14:paraId="1AEDEAF1" w14:textId="77777777" w:rsidR="004079B4" w:rsidRPr="004C23F4" w:rsidRDefault="002E0D61" w:rsidP="004F10AF">
            <w:pPr>
              <w:pStyle w:val="Tablefont"/>
              <w:keepNext/>
            </w:pPr>
            <w:r>
              <w:t>DFG</w:t>
            </w:r>
          </w:p>
        </w:tc>
        <w:tc>
          <w:tcPr>
            <w:tcW w:w="6015" w:type="dxa"/>
          </w:tcPr>
          <w:p w14:paraId="345AE430" w14:textId="77777777" w:rsidR="002E0D61" w:rsidRPr="00DD2F9B" w:rsidRDefault="00630BE9" w:rsidP="004F10AF">
            <w:pPr>
              <w:keepNext/>
            </w:pPr>
            <w:r>
              <w:t>Carcinogenicity – 2</w:t>
            </w:r>
            <w:r w:rsidR="001A409C">
              <w:t>, H</w:t>
            </w:r>
            <w:r>
              <w:t xml:space="preserve"> (skin)</w:t>
            </w:r>
            <w:r w:rsidR="001A409C">
              <w:t xml:space="preserve">, </w:t>
            </w:r>
            <w:proofErr w:type="spellStart"/>
            <w:r w:rsidR="001A409C">
              <w:t>Sh</w:t>
            </w:r>
            <w:proofErr w:type="spellEnd"/>
            <w:r>
              <w:t xml:space="preserve"> (dermal sensitiser)</w:t>
            </w:r>
          </w:p>
        </w:tc>
      </w:tr>
      <w:tr w:rsidR="002E0D61" w:rsidRPr="004C23F4" w14:paraId="63A30FE9" w14:textId="77777777" w:rsidTr="00812887">
        <w:trPr>
          <w:cantSplit/>
        </w:trPr>
        <w:tc>
          <w:tcPr>
            <w:tcW w:w="3227" w:type="dxa"/>
          </w:tcPr>
          <w:p w14:paraId="39262155" w14:textId="77777777" w:rsidR="004079B4" w:rsidRPr="004C23F4" w:rsidRDefault="002E0D61" w:rsidP="004F10AF">
            <w:pPr>
              <w:pStyle w:val="Tablefont"/>
              <w:keepNext/>
            </w:pPr>
            <w:r>
              <w:t>SCOEL</w:t>
            </w:r>
          </w:p>
        </w:tc>
        <w:tc>
          <w:tcPr>
            <w:tcW w:w="6015" w:type="dxa"/>
          </w:tcPr>
          <w:p w14:paraId="06D9912D" w14:textId="77777777" w:rsidR="002E0D61" w:rsidRPr="00DD2F9B" w:rsidRDefault="00630BE9" w:rsidP="004F10AF">
            <w:pPr>
              <w:keepNext/>
            </w:pPr>
            <w:r>
              <w:t>Carcinogenicity – B</w:t>
            </w:r>
            <w:r w:rsidR="001A409C">
              <w:t>, Skin</w:t>
            </w:r>
          </w:p>
        </w:tc>
      </w:tr>
      <w:tr w:rsidR="002E0D61" w:rsidRPr="004C23F4" w14:paraId="7408555E" w14:textId="77777777" w:rsidTr="00812887">
        <w:trPr>
          <w:cantSplit/>
        </w:trPr>
        <w:tc>
          <w:tcPr>
            <w:tcW w:w="3227" w:type="dxa"/>
          </w:tcPr>
          <w:p w14:paraId="01A65010" w14:textId="77777777" w:rsidR="004079B4" w:rsidRDefault="002E0D61" w:rsidP="004F10AF">
            <w:pPr>
              <w:pStyle w:val="Tablefont"/>
              <w:keepNext/>
            </w:pPr>
            <w:r>
              <w:t>HCOTN</w:t>
            </w:r>
          </w:p>
        </w:tc>
        <w:tc>
          <w:tcPr>
            <w:tcW w:w="6015" w:type="dxa"/>
          </w:tcPr>
          <w:p w14:paraId="645A374C" w14:textId="77777777" w:rsidR="002E0D61" w:rsidRPr="00DD2F9B" w:rsidRDefault="001A409C" w:rsidP="004F10AF">
            <w:pPr>
              <w:pStyle w:val="Tablefont"/>
              <w:keepNext/>
            </w:pPr>
            <w:r>
              <w:t>NA</w:t>
            </w:r>
          </w:p>
        </w:tc>
      </w:tr>
      <w:tr w:rsidR="00386093" w:rsidRPr="004C23F4" w14:paraId="52624555" w14:textId="77777777" w:rsidTr="00812887">
        <w:trPr>
          <w:cantSplit/>
        </w:trPr>
        <w:tc>
          <w:tcPr>
            <w:tcW w:w="3227" w:type="dxa"/>
          </w:tcPr>
          <w:p w14:paraId="7EBFFEFD" w14:textId="77777777" w:rsidR="004079B4" w:rsidRDefault="00386093" w:rsidP="004F10AF">
            <w:pPr>
              <w:pStyle w:val="Tablefont"/>
              <w:keepNext/>
            </w:pPr>
            <w:r>
              <w:t>IARC</w:t>
            </w:r>
          </w:p>
        </w:tc>
        <w:tc>
          <w:tcPr>
            <w:tcW w:w="6015" w:type="dxa"/>
          </w:tcPr>
          <w:p w14:paraId="26A63C41" w14:textId="77777777" w:rsidR="00386093" w:rsidRPr="00DD2F9B" w:rsidRDefault="00630BE9" w:rsidP="004F10AF">
            <w:pPr>
              <w:keepNext/>
            </w:pPr>
            <w:r>
              <w:t>Carcinogenicity – Group 2A</w:t>
            </w:r>
          </w:p>
        </w:tc>
      </w:tr>
      <w:tr w:rsidR="00386093" w:rsidRPr="004C23F4" w14:paraId="0A91DB5B" w14:textId="77777777" w:rsidTr="00812887">
        <w:trPr>
          <w:cantSplit/>
        </w:trPr>
        <w:tc>
          <w:tcPr>
            <w:tcW w:w="3227" w:type="dxa"/>
          </w:tcPr>
          <w:p w14:paraId="1F0A9ECE" w14:textId="77777777" w:rsidR="004079B4" w:rsidRDefault="00386093" w:rsidP="004F6BA1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757AFEE7" w14:textId="77777777" w:rsidR="00386093" w:rsidRPr="00DD2F9B" w:rsidRDefault="00CD7498">
            <w:pPr>
              <w:pStyle w:val="Tablefont"/>
              <w:keepNext/>
            </w:pPr>
            <w:r w:rsidRPr="00CD7498">
              <w:t>—</w:t>
            </w:r>
          </w:p>
        </w:tc>
      </w:tr>
    </w:tbl>
    <w:bookmarkEnd w:id="3"/>
    <w:p w14:paraId="1898FA38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FC3E6BF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6EAE373D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9781443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676A2988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941" w:type="dxa"/>
              <w:tblLook w:val="04A0" w:firstRow="1" w:lastRow="0" w:firstColumn="1" w:lastColumn="0" w:noHBand="0" w:noVBand="1"/>
            </w:tblPr>
            <w:tblGrid>
              <w:gridCol w:w="3826"/>
              <w:gridCol w:w="1129"/>
              <w:gridCol w:w="1129"/>
              <w:gridCol w:w="2726"/>
            </w:tblGrid>
            <w:tr w:rsidR="00696909" w:rsidRPr="00696909" w14:paraId="12F3C811" w14:textId="77777777" w:rsidTr="00696909">
              <w:trPr>
                <w:trHeight w:val="338"/>
              </w:trPr>
              <w:tc>
                <w:tcPr>
                  <w:tcW w:w="38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C8A0464" w14:textId="77777777" w:rsidR="00696909" w:rsidRPr="00696909" w:rsidRDefault="00696909" w:rsidP="0069690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969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45D73317" w14:textId="77777777" w:rsidR="00696909" w:rsidRPr="00696909" w:rsidRDefault="00696909" w:rsidP="0069690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696909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CFCD1F" w14:textId="77777777" w:rsidR="00696909" w:rsidRPr="00696909" w:rsidRDefault="00696909" w:rsidP="0069690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69690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DFD2150" w14:textId="77777777" w:rsidR="00696909" w:rsidRPr="00696909" w:rsidRDefault="00696909" w:rsidP="0069690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969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696909" w:rsidRPr="00696909" w14:paraId="77997AA4" w14:textId="77777777" w:rsidTr="00696909">
              <w:trPr>
                <w:trHeight w:val="338"/>
              </w:trPr>
              <w:tc>
                <w:tcPr>
                  <w:tcW w:w="38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4EEB06" w14:textId="77777777" w:rsidR="00696909" w:rsidRPr="00696909" w:rsidRDefault="00696909" w:rsidP="0069690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969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6969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6969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479B1D85" w14:textId="77777777" w:rsidR="00696909" w:rsidRPr="00696909" w:rsidRDefault="00696909" w:rsidP="0069690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696909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4C85714" w14:textId="77777777" w:rsidR="00696909" w:rsidRPr="00696909" w:rsidRDefault="00696909" w:rsidP="0069690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69690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4C152FD" w14:textId="77777777" w:rsidR="00696909" w:rsidRPr="00696909" w:rsidRDefault="00696909" w:rsidP="0069690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969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696909" w:rsidRPr="00696909" w14:paraId="588CDAD0" w14:textId="77777777" w:rsidTr="00696909">
              <w:trPr>
                <w:trHeight w:val="338"/>
              </w:trPr>
              <w:tc>
                <w:tcPr>
                  <w:tcW w:w="38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602D166" w14:textId="77777777" w:rsidR="00696909" w:rsidRPr="00696909" w:rsidRDefault="00696909" w:rsidP="0069690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969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5281E94" w14:textId="77777777" w:rsidR="00696909" w:rsidRPr="00696909" w:rsidRDefault="00696909" w:rsidP="0069690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969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F29FC84" w14:textId="77777777" w:rsidR="00696909" w:rsidRPr="00696909" w:rsidRDefault="00696909" w:rsidP="0069690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69690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8C92B3E" w14:textId="77777777" w:rsidR="00696909" w:rsidRPr="00696909" w:rsidRDefault="00696909" w:rsidP="0069690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969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696909" w:rsidRPr="00696909" w14:paraId="2262EBD2" w14:textId="77777777" w:rsidTr="00696909">
              <w:trPr>
                <w:trHeight w:val="338"/>
              </w:trPr>
              <w:tc>
                <w:tcPr>
                  <w:tcW w:w="38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EB34FFB" w14:textId="77777777" w:rsidR="00696909" w:rsidRPr="00696909" w:rsidRDefault="00696909" w:rsidP="0069690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969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6969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6969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6969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6969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01011AC" w14:textId="77777777" w:rsidR="00696909" w:rsidRPr="00696909" w:rsidRDefault="00696909" w:rsidP="0069690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969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82C3E1" w14:textId="77777777" w:rsidR="00696909" w:rsidRPr="00696909" w:rsidRDefault="00696909" w:rsidP="0069690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69690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A18B1E" w14:textId="77777777" w:rsidR="00696909" w:rsidRPr="00696909" w:rsidRDefault="00696909" w:rsidP="0069690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969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696909" w:rsidRPr="00696909" w14:paraId="3A715D46" w14:textId="77777777" w:rsidTr="00696909">
              <w:trPr>
                <w:trHeight w:val="338"/>
              </w:trPr>
              <w:tc>
                <w:tcPr>
                  <w:tcW w:w="38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7FD9CBF" w14:textId="77777777" w:rsidR="00696909" w:rsidRPr="00696909" w:rsidRDefault="00696909" w:rsidP="0069690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696909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6969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7333D6" w14:textId="77777777" w:rsidR="00696909" w:rsidRPr="00696909" w:rsidRDefault="00696909" w:rsidP="0069690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969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9987A86" w14:textId="77777777" w:rsidR="00696909" w:rsidRPr="00696909" w:rsidRDefault="00696909" w:rsidP="0069690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69690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9A14217" w14:textId="77777777" w:rsidR="00696909" w:rsidRPr="00696909" w:rsidRDefault="00696909" w:rsidP="0069690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969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696909" w:rsidRPr="00696909" w14:paraId="316BFFD9" w14:textId="77777777" w:rsidTr="00696909">
              <w:trPr>
                <w:trHeight w:val="338"/>
              </w:trPr>
              <w:tc>
                <w:tcPr>
                  <w:tcW w:w="38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A141615" w14:textId="77777777" w:rsidR="00696909" w:rsidRPr="00696909" w:rsidRDefault="00696909" w:rsidP="0069690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969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F9FDA53" w14:textId="77777777" w:rsidR="00696909" w:rsidRPr="00696909" w:rsidRDefault="00696909" w:rsidP="0069690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969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28792EC" w14:textId="77777777" w:rsidR="00696909" w:rsidRPr="00696909" w:rsidRDefault="00696909" w:rsidP="0069690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69690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61C295E" w14:textId="77777777" w:rsidR="00696909" w:rsidRPr="00696909" w:rsidRDefault="00696909" w:rsidP="0069690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969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696909" w:rsidRPr="00696909" w14:paraId="1AB124F4" w14:textId="77777777" w:rsidTr="00696909">
              <w:trPr>
                <w:trHeight w:val="338"/>
              </w:trPr>
              <w:tc>
                <w:tcPr>
                  <w:tcW w:w="38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742F5AF" w14:textId="77777777" w:rsidR="00696909" w:rsidRPr="00696909" w:rsidRDefault="00696909" w:rsidP="0069690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969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ED809D8" w14:textId="77777777" w:rsidR="00696909" w:rsidRPr="00696909" w:rsidRDefault="00696909" w:rsidP="0069690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69690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0FEAA6A" w14:textId="77777777" w:rsidR="00696909" w:rsidRPr="00696909" w:rsidRDefault="00696909" w:rsidP="0069690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69690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2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DC8399" w14:textId="77777777" w:rsidR="00696909" w:rsidRPr="00696909" w:rsidRDefault="00696909" w:rsidP="00696909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696909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18E36A1A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6EC8282F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0"/>
        <w:gridCol w:w="4766"/>
      </w:tblGrid>
      <w:tr w:rsidR="00EB3D1B" w14:paraId="3ECD4A53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0FBA94DA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03ED39C1" w14:textId="77777777" w:rsidR="00EB3D1B" w:rsidRDefault="00AE2927" w:rsidP="00EB3D1B">
                <w:pPr>
                  <w:pStyle w:val="Tablefont"/>
                </w:pPr>
                <w:r>
                  <w:t>No, the chemical is a genotoxic carcinogen</w:t>
                </w:r>
              </w:p>
            </w:tc>
          </w:sdtContent>
        </w:sdt>
      </w:tr>
    </w:tbl>
    <w:p w14:paraId="64A9283E" w14:textId="77777777" w:rsidR="00687890" w:rsidRPr="004C23F4" w:rsidRDefault="00B479A9" w:rsidP="004F6BA1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7D4BDD6B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879C769" w14:textId="77777777" w:rsidR="001B79E5" w:rsidRDefault="001B79E5" w:rsidP="004F10AF">
            <w:pPr>
              <w:pStyle w:val="Tablefont"/>
              <w:keepNext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02E3EEC6" w14:textId="77777777" w:rsidR="001B79E5" w:rsidRDefault="001A409C" w:rsidP="004F10AF">
                <w:pPr>
                  <w:pStyle w:val="Tablefont"/>
                  <w:keepNext/>
                </w:pPr>
                <w:r>
                  <w:t>32.05</w:t>
                </w:r>
              </w:p>
            </w:tc>
          </w:sdtContent>
        </w:sdt>
      </w:tr>
      <w:tr w:rsidR="00A31D99" w:rsidRPr="004C23F4" w14:paraId="3071A4A0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27A5A9E" w14:textId="77777777" w:rsidR="00A31D99" w:rsidRPr="00263255" w:rsidRDefault="00A31D99" w:rsidP="004F10AF">
            <w:pPr>
              <w:pStyle w:val="Tablefont"/>
              <w:keepNext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0AF33CD6" w14:textId="77777777" w:rsidR="00A31D99" w:rsidRDefault="00A0643F" w:rsidP="004F10AF">
            <w:pPr>
              <w:pStyle w:val="Tablefont"/>
              <w:keepNext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2935F63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2C56186" w14:textId="77777777" w:rsidR="00687890" w:rsidRPr="00263255" w:rsidRDefault="00687890" w:rsidP="004F10AF">
            <w:pPr>
              <w:pStyle w:val="Tablefont"/>
              <w:keepNext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93B0B86" w14:textId="77777777" w:rsidR="00687890" w:rsidRPr="004C23F4" w:rsidRDefault="00E46BCB" w:rsidP="004F10AF">
                <w:pPr>
                  <w:pStyle w:val="Tablefont"/>
                  <w:keepNext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4FE1EB8" w14:textId="77777777" w:rsidTr="00EA6243">
        <w:trPr>
          <w:cantSplit/>
        </w:trPr>
        <w:tc>
          <w:tcPr>
            <w:tcW w:w="4077" w:type="dxa"/>
            <w:vAlign w:val="center"/>
          </w:tcPr>
          <w:p w14:paraId="163349FD" w14:textId="77777777" w:rsidR="00687890" w:rsidRPr="00263255" w:rsidRDefault="00687890" w:rsidP="004F10AF">
            <w:pPr>
              <w:pStyle w:val="Tablefont"/>
              <w:keepNext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8AA369E" w14:textId="77777777" w:rsidR="00687890" w:rsidRPr="004C23F4" w:rsidRDefault="00A20751" w:rsidP="004F10AF">
                <w:pPr>
                  <w:pStyle w:val="Tablefont"/>
                  <w:keepNext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A935C27" w14:textId="77777777" w:rsidTr="00EA6243">
        <w:trPr>
          <w:cantSplit/>
        </w:trPr>
        <w:tc>
          <w:tcPr>
            <w:tcW w:w="4077" w:type="dxa"/>
            <w:vAlign w:val="center"/>
          </w:tcPr>
          <w:p w14:paraId="63ED5215" w14:textId="77777777" w:rsidR="00687890" w:rsidRPr="00263255" w:rsidRDefault="00687890" w:rsidP="004F10AF">
            <w:pPr>
              <w:pStyle w:val="Tablefont"/>
              <w:keepNext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272D648" w14:textId="77777777" w:rsidR="00687890" w:rsidRPr="004C23F4" w:rsidRDefault="00687890" w:rsidP="004F10AF">
                <w:pPr>
                  <w:pStyle w:val="Tablefont"/>
                  <w:keepNext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789EDD8" w14:textId="77777777" w:rsidTr="00EA6243">
        <w:trPr>
          <w:cantSplit/>
        </w:trPr>
        <w:tc>
          <w:tcPr>
            <w:tcW w:w="4077" w:type="dxa"/>
            <w:vAlign w:val="center"/>
          </w:tcPr>
          <w:p w14:paraId="72430F65" w14:textId="77777777" w:rsidR="00E06F40" w:rsidRPr="00263255" w:rsidRDefault="00E06F40" w:rsidP="004F10AF">
            <w:pPr>
              <w:pStyle w:val="Tablefont"/>
              <w:keepNext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11B27D9F" w14:textId="77777777" w:rsidR="00E06F40" w:rsidRPr="00A006A0" w:rsidRDefault="006808D3" w:rsidP="004F10AF">
            <w:pPr>
              <w:pStyle w:val="Tablefont"/>
              <w:keepNext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67DC1">
                  <w:sym w:font="Wingdings" w:char="F0FC"/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17629F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519F0FB1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3D34F945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44B8E4E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EE17E0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5E29CC78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04960944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6B169941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5D024B3F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C0D9ACF" w14:textId="77777777" w:rsidR="00567DC1" w:rsidRDefault="00567DC1" w:rsidP="00567DC1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(1999) Hydrazine, hydrazine hydrate and hydrazine salts – MAK value documentation.</w:t>
      </w:r>
    </w:p>
    <w:p w14:paraId="70F8D8C1" w14:textId="77777777" w:rsidR="004F6BA1" w:rsidRDefault="004F6BA1" w:rsidP="004F6BA1">
      <w:r w:rsidRPr="002022B6">
        <w:t>EU Scientific Committee on Occupational Exposure Limits (SCOEL)</w:t>
      </w:r>
      <w:r>
        <w:t xml:space="preserve"> (2016) Recommendation from the Scientific Committee on Occupational Exposure Limits for hydrazine. SCOEL/REC/164.</w:t>
      </w:r>
    </w:p>
    <w:p w14:paraId="15A050FD" w14:textId="77777777" w:rsidR="00567DC1" w:rsidRDefault="00567DC1" w:rsidP="00567DC1">
      <w:r w:rsidRPr="00567DC1">
        <w:t>European Chemicals Agency Regulation (ECHA) No 1907/2006 of the European Parliament and of the Council of 18 December 2006 concerning the Registration, Evaluation, Authorisation and Restriction of Chemicals (REACH).</w:t>
      </w:r>
    </w:p>
    <w:p w14:paraId="424FAA8A" w14:textId="77777777" w:rsidR="00567DC1" w:rsidRPr="00AE2927" w:rsidRDefault="00567DC1" w:rsidP="00567DC1">
      <w:r w:rsidRPr="00567DC1">
        <w:t xml:space="preserve">International </w:t>
      </w:r>
      <w:r w:rsidRPr="00AE2927">
        <w:t>Agency for Research on Cancer (IARC) (2018) some industrial chemicals. IARC Monographs on the evaluation of the carcinogenic risk to humans.</w:t>
      </w:r>
    </w:p>
    <w:p w14:paraId="054E458E" w14:textId="77777777" w:rsidR="00567DC1" w:rsidRPr="00AE2927" w:rsidRDefault="00CA787C" w:rsidP="00567DC1">
      <w:r w:rsidRPr="00AE2927">
        <w:t xml:space="preserve">National Industrial Chemicals Notification and Assessment Scheme (NICNAS) (2018) Hydrazine: Human health </w:t>
      </w:r>
      <w:sdt>
        <w:sdtPr>
          <w:id w:val="-1295753243"/>
          <w:placeholder>
            <w:docPart w:val="458650CAA2084B72AF821C1A8D1B1426"/>
          </w:placeholder>
          <w:temporary/>
          <w:showingPlcHdr/>
        </w:sdtPr>
        <w:sdtEndPr/>
        <w:sdtContent>
          <w:r w:rsidRPr="00AE2927">
            <w:t>tier II</w:t>
          </w:r>
        </w:sdtContent>
      </w:sdt>
      <w:r w:rsidRPr="00AE2927">
        <w:t xml:space="preserve"> assessment – IMAP report.</w:t>
      </w:r>
    </w:p>
    <w:p w14:paraId="26CF0EC3" w14:textId="77777777" w:rsidR="004F6BA1" w:rsidRDefault="004F6BA1" w:rsidP="004F6BA1">
      <w:r w:rsidRPr="00AE2927">
        <w:t>Tenth Adaptation to Technical Progress Commission Regulation (EU)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70760ED3" w14:textId="77777777" w:rsidR="00AE2927" w:rsidRDefault="00AE2927" w:rsidP="00AE2927">
      <w:r>
        <w:t xml:space="preserve">US Environmental Protection Authority (US EPA) (2002) </w:t>
      </w:r>
      <w:r w:rsidRPr="003448DD">
        <w:t>Integrated R</w:t>
      </w:r>
      <w:r>
        <w:t xml:space="preserve">isk Information System (IRIS) </w:t>
      </w:r>
      <w:r w:rsidRPr="003448DD">
        <w:t>Chemical Assessment Summary</w:t>
      </w:r>
      <w:r>
        <w:t xml:space="preserve"> – Hydrazine/Hydrazine </w:t>
      </w:r>
      <w:proofErr w:type="spellStart"/>
      <w:r>
        <w:t>sulfate</w:t>
      </w:r>
      <w:proofErr w:type="spellEnd"/>
      <w:r>
        <w:t>.</w:t>
      </w:r>
    </w:p>
    <w:p w14:paraId="7C23B97F" w14:textId="77777777" w:rsidR="00AE2927" w:rsidRPr="00AE2927" w:rsidRDefault="00AE2927" w:rsidP="004F6BA1"/>
    <w:p w14:paraId="01903F4B" w14:textId="77777777" w:rsidR="00567DC1" w:rsidRPr="00351FE0" w:rsidRDefault="00567DC1" w:rsidP="004F6BA1"/>
    <w:sectPr w:rsidR="00567DC1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5B70D6" w16cid:durableId="219E3FD9"/>
  <w16cid:commentId w16cid:paraId="61208E1F" w16cid:durableId="219E3E93"/>
  <w16cid:commentId w16cid:paraId="4C8C4345" w16cid:durableId="21C301FA"/>
  <w16cid:commentId w16cid:paraId="544AD10D" w16cid:durableId="21C301FB"/>
  <w16cid:commentId w16cid:paraId="16C33E14" w16cid:durableId="219E3EC2"/>
  <w16cid:commentId w16cid:paraId="2001A290" w16cid:durableId="219E43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D3039" w14:textId="77777777" w:rsidR="00177654" w:rsidRDefault="00177654" w:rsidP="00F43AD5">
      <w:pPr>
        <w:spacing w:after="0" w:line="240" w:lineRule="auto"/>
      </w:pPr>
      <w:r>
        <w:separator/>
      </w:r>
    </w:p>
  </w:endnote>
  <w:endnote w:type="continuationSeparator" w:id="0">
    <w:p w14:paraId="3E9146A3" w14:textId="77777777" w:rsidR="00177654" w:rsidRDefault="00177654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C665A" w14:textId="77777777" w:rsidR="008B3F3A" w:rsidRDefault="008B3F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0CCB9DC" w14:textId="77777777" w:rsidR="008A36CF" w:rsidRDefault="00C95C41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Hydrazine</w:t>
        </w:r>
        <w:r w:rsidR="008A36CF">
          <w:rPr>
            <w:b/>
            <w:sz w:val="18"/>
            <w:szCs w:val="18"/>
          </w:rPr>
          <w:t xml:space="preserve"> (</w:t>
        </w:r>
        <w:r w:rsidR="003E3E5E">
          <w:rPr>
            <w:b/>
            <w:sz w:val="18"/>
            <w:szCs w:val="18"/>
          </w:rPr>
          <w:t>302-01-2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4902EBF0" w14:textId="3FA9FF5B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6808D3">
          <w:rPr>
            <w:noProof/>
            <w:sz w:val="18"/>
            <w:szCs w:val="18"/>
          </w:rPr>
          <w:t>6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6412" w14:textId="77777777" w:rsidR="008B3F3A" w:rsidRDefault="008B3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8C2B1" w14:textId="77777777" w:rsidR="00177654" w:rsidRDefault="00177654" w:rsidP="00F43AD5">
      <w:pPr>
        <w:spacing w:after="0" w:line="240" w:lineRule="auto"/>
      </w:pPr>
      <w:r>
        <w:separator/>
      </w:r>
    </w:p>
  </w:footnote>
  <w:footnote w:type="continuationSeparator" w:id="0">
    <w:p w14:paraId="0003B482" w14:textId="77777777" w:rsidR="00177654" w:rsidRDefault="00177654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A7194" w14:textId="77777777" w:rsidR="008B3F3A" w:rsidRDefault="008B3F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414DD" w14:textId="7F8D0F30" w:rsidR="000A4DEF" w:rsidRDefault="006808D3" w:rsidP="000A4DEF">
    <w:pPr>
      <w:pStyle w:val="Header"/>
      <w:jc w:val="right"/>
    </w:pPr>
    <w:sdt>
      <w:sdtPr>
        <w:id w:val="-1909068766"/>
        <w:docPartObj>
          <w:docPartGallery w:val="Watermarks"/>
          <w:docPartUnique/>
        </w:docPartObj>
      </w:sdtPr>
      <w:sdtEndPr/>
      <w:sdtContent>
        <w:r>
          <w:pict w14:anchorId="52589ED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1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A4DEF">
      <w:rPr>
        <w:noProof/>
        <w:lang w:eastAsia="en-AU"/>
      </w:rPr>
      <w:drawing>
        <wp:inline distT="0" distB="0" distL="0" distR="0" wp14:anchorId="2CD2F740" wp14:editId="6377A1F5">
          <wp:extent cx="2941955" cy="588645"/>
          <wp:effectExtent l="0" t="0" r="0" b="1905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97DCEA" w14:textId="51CA20C9" w:rsidR="008A36CF" w:rsidRPr="000A4DEF" w:rsidRDefault="008A36CF" w:rsidP="000A4D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7C997" w14:textId="77777777" w:rsidR="008B3F3A" w:rsidRDefault="008B3F3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8F745" w14:textId="2F5EE8E1" w:rsidR="000A4DEF" w:rsidRDefault="006808D3" w:rsidP="000A4DEF">
    <w:pPr>
      <w:pStyle w:val="Header"/>
      <w:jc w:val="right"/>
    </w:pPr>
    <w:sdt>
      <w:sdtPr>
        <w:id w:val="325022419"/>
        <w:docPartObj>
          <w:docPartGallery w:val="Watermarks"/>
          <w:docPartUnique/>
        </w:docPartObj>
      </w:sdtPr>
      <w:sdtEndPr/>
      <w:sdtContent>
        <w:r>
          <w:pict w14:anchorId="79AE201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42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A4DEF">
      <w:rPr>
        <w:noProof/>
        <w:lang w:eastAsia="en-AU"/>
      </w:rPr>
      <w:drawing>
        <wp:inline distT="0" distB="0" distL="0" distR="0" wp14:anchorId="28113080" wp14:editId="1D17A698">
          <wp:extent cx="2941955" cy="588645"/>
          <wp:effectExtent l="0" t="0" r="0" b="1905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082174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6ECAA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B1284"/>
    <w:multiLevelType w:val="hybridMultilevel"/>
    <w:tmpl w:val="084461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5E536F"/>
    <w:multiLevelType w:val="hybridMultilevel"/>
    <w:tmpl w:val="A1A6E49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8018C"/>
    <w:multiLevelType w:val="hybridMultilevel"/>
    <w:tmpl w:val="007859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BD112F"/>
    <w:multiLevelType w:val="hybridMultilevel"/>
    <w:tmpl w:val="C22C96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3D88"/>
    <w:rsid w:val="00032B88"/>
    <w:rsid w:val="00046DF5"/>
    <w:rsid w:val="00052060"/>
    <w:rsid w:val="0005574A"/>
    <w:rsid w:val="00055FE1"/>
    <w:rsid w:val="00056EC2"/>
    <w:rsid w:val="00060B48"/>
    <w:rsid w:val="00065512"/>
    <w:rsid w:val="00067F32"/>
    <w:rsid w:val="00071807"/>
    <w:rsid w:val="000803E1"/>
    <w:rsid w:val="00084513"/>
    <w:rsid w:val="00084859"/>
    <w:rsid w:val="00092D94"/>
    <w:rsid w:val="000A4DEF"/>
    <w:rsid w:val="000B0868"/>
    <w:rsid w:val="000B2BF1"/>
    <w:rsid w:val="000B3E12"/>
    <w:rsid w:val="000B3E78"/>
    <w:rsid w:val="000B7B48"/>
    <w:rsid w:val="000C096D"/>
    <w:rsid w:val="000C139A"/>
    <w:rsid w:val="000C2053"/>
    <w:rsid w:val="000C248C"/>
    <w:rsid w:val="000D291C"/>
    <w:rsid w:val="000D78F4"/>
    <w:rsid w:val="000E5A54"/>
    <w:rsid w:val="000E63D3"/>
    <w:rsid w:val="000E67CF"/>
    <w:rsid w:val="0010461E"/>
    <w:rsid w:val="00106FAA"/>
    <w:rsid w:val="00112D61"/>
    <w:rsid w:val="00113443"/>
    <w:rsid w:val="001269A7"/>
    <w:rsid w:val="00131092"/>
    <w:rsid w:val="001323B8"/>
    <w:rsid w:val="00140E6A"/>
    <w:rsid w:val="00146545"/>
    <w:rsid w:val="00146B75"/>
    <w:rsid w:val="0015266D"/>
    <w:rsid w:val="0015288A"/>
    <w:rsid w:val="001563E5"/>
    <w:rsid w:val="00160F47"/>
    <w:rsid w:val="00161DE6"/>
    <w:rsid w:val="00174500"/>
    <w:rsid w:val="00177654"/>
    <w:rsid w:val="00177CA1"/>
    <w:rsid w:val="00183823"/>
    <w:rsid w:val="00183942"/>
    <w:rsid w:val="001A009E"/>
    <w:rsid w:val="001A1287"/>
    <w:rsid w:val="001A3859"/>
    <w:rsid w:val="001A3C9D"/>
    <w:rsid w:val="001A409C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D2432"/>
    <w:rsid w:val="002E0D61"/>
    <w:rsid w:val="002E4C7B"/>
    <w:rsid w:val="002F4432"/>
    <w:rsid w:val="00305BBC"/>
    <w:rsid w:val="0030740C"/>
    <w:rsid w:val="00314520"/>
    <w:rsid w:val="00315833"/>
    <w:rsid w:val="003215EE"/>
    <w:rsid w:val="003224BF"/>
    <w:rsid w:val="003241A8"/>
    <w:rsid w:val="003253F0"/>
    <w:rsid w:val="00331487"/>
    <w:rsid w:val="003337DA"/>
    <w:rsid w:val="00334EFB"/>
    <w:rsid w:val="00335CDE"/>
    <w:rsid w:val="003365A5"/>
    <w:rsid w:val="00347192"/>
    <w:rsid w:val="0034744C"/>
    <w:rsid w:val="0035092E"/>
    <w:rsid w:val="00351FE0"/>
    <w:rsid w:val="00352615"/>
    <w:rsid w:val="0035412B"/>
    <w:rsid w:val="00355975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2C31"/>
    <w:rsid w:val="003D4FA3"/>
    <w:rsid w:val="003E0807"/>
    <w:rsid w:val="003E3E5E"/>
    <w:rsid w:val="003E51FB"/>
    <w:rsid w:val="003E6B39"/>
    <w:rsid w:val="003F07E1"/>
    <w:rsid w:val="003F7FA4"/>
    <w:rsid w:val="004030BC"/>
    <w:rsid w:val="00403F7D"/>
    <w:rsid w:val="004047F4"/>
    <w:rsid w:val="00406785"/>
    <w:rsid w:val="004079B4"/>
    <w:rsid w:val="004158DC"/>
    <w:rsid w:val="00417A56"/>
    <w:rsid w:val="00420957"/>
    <w:rsid w:val="00422A10"/>
    <w:rsid w:val="00426F17"/>
    <w:rsid w:val="00430179"/>
    <w:rsid w:val="004414B5"/>
    <w:rsid w:val="00444482"/>
    <w:rsid w:val="00444B42"/>
    <w:rsid w:val="00445E44"/>
    <w:rsid w:val="004474E3"/>
    <w:rsid w:val="004509E2"/>
    <w:rsid w:val="004512F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2F5"/>
    <w:rsid w:val="004966BF"/>
    <w:rsid w:val="00497984"/>
    <w:rsid w:val="004A484E"/>
    <w:rsid w:val="004A5088"/>
    <w:rsid w:val="004B7573"/>
    <w:rsid w:val="004C1E3F"/>
    <w:rsid w:val="004C23F4"/>
    <w:rsid w:val="004C3475"/>
    <w:rsid w:val="004C58B6"/>
    <w:rsid w:val="004D07FC"/>
    <w:rsid w:val="004D16A3"/>
    <w:rsid w:val="004D4AA1"/>
    <w:rsid w:val="004D6D68"/>
    <w:rsid w:val="004E04BE"/>
    <w:rsid w:val="004E2762"/>
    <w:rsid w:val="004E5EDD"/>
    <w:rsid w:val="004F10AF"/>
    <w:rsid w:val="004F1177"/>
    <w:rsid w:val="004F448A"/>
    <w:rsid w:val="004F493D"/>
    <w:rsid w:val="004F65E8"/>
    <w:rsid w:val="004F6BA1"/>
    <w:rsid w:val="0050005E"/>
    <w:rsid w:val="00502B88"/>
    <w:rsid w:val="005130AA"/>
    <w:rsid w:val="005142C4"/>
    <w:rsid w:val="0051509C"/>
    <w:rsid w:val="0052727F"/>
    <w:rsid w:val="005272E2"/>
    <w:rsid w:val="0052798D"/>
    <w:rsid w:val="0053108F"/>
    <w:rsid w:val="00532B56"/>
    <w:rsid w:val="00534B10"/>
    <w:rsid w:val="005434DB"/>
    <w:rsid w:val="005446A2"/>
    <w:rsid w:val="00544D2F"/>
    <w:rsid w:val="0054667A"/>
    <w:rsid w:val="00551BD8"/>
    <w:rsid w:val="00567DC1"/>
    <w:rsid w:val="00581055"/>
    <w:rsid w:val="00591E38"/>
    <w:rsid w:val="005A19C5"/>
    <w:rsid w:val="005A3034"/>
    <w:rsid w:val="005A462D"/>
    <w:rsid w:val="005B253B"/>
    <w:rsid w:val="005B771D"/>
    <w:rsid w:val="005C5D16"/>
    <w:rsid w:val="005C7183"/>
    <w:rsid w:val="005D088E"/>
    <w:rsid w:val="005D3193"/>
    <w:rsid w:val="005D4A6E"/>
    <w:rsid w:val="005D4FB4"/>
    <w:rsid w:val="005E6979"/>
    <w:rsid w:val="005E75CB"/>
    <w:rsid w:val="006013C1"/>
    <w:rsid w:val="0060669E"/>
    <w:rsid w:val="00610F2E"/>
    <w:rsid w:val="00611399"/>
    <w:rsid w:val="00624C4E"/>
    <w:rsid w:val="00625200"/>
    <w:rsid w:val="00630BE9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08D3"/>
    <w:rsid w:val="006867F3"/>
    <w:rsid w:val="00687890"/>
    <w:rsid w:val="00687F55"/>
    <w:rsid w:val="006901A2"/>
    <w:rsid w:val="00690368"/>
    <w:rsid w:val="0069079C"/>
    <w:rsid w:val="00690B53"/>
    <w:rsid w:val="00695B72"/>
    <w:rsid w:val="00696909"/>
    <w:rsid w:val="00696E0C"/>
    <w:rsid w:val="006B160A"/>
    <w:rsid w:val="006B2F22"/>
    <w:rsid w:val="006B4E6C"/>
    <w:rsid w:val="006B50B6"/>
    <w:rsid w:val="006D5762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4403A"/>
    <w:rsid w:val="00750212"/>
    <w:rsid w:val="00754779"/>
    <w:rsid w:val="0075716D"/>
    <w:rsid w:val="00765F14"/>
    <w:rsid w:val="00770E31"/>
    <w:rsid w:val="007770F1"/>
    <w:rsid w:val="00782A09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6DA6"/>
    <w:rsid w:val="00857A8A"/>
    <w:rsid w:val="008603D6"/>
    <w:rsid w:val="008630EE"/>
    <w:rsid w:val="00864D13"/>
    <w:rsid w:val="00871CD5"/>
    <w:rsid w:val="008745A2"/>
    <w:rsid w:val="00874C7F"/>
    <w:rsid w:val="008768A8"/>
    <w:rsid w:val="0088521A"/>
    <w:rsid w:val="0088798F"/>
    <w:rsid w:val="00887E4B"/>
    <w:rsid w:val="008915C8"/>
    <w:rsid w:val="00893A64"/>
    <w:rsid w:val="008A36CF"/>
    <w:rsid w:val="008A3BC4"/>
    <w:rsid w:val="008B3F3A"/>
    <w:rsid w:val="008B403C"/>
    <w:rsid w:val="008B7983"/>
    <w:rsid w:val="008C2511"/>
    <w:rsid w:val="008D026D"/>
    <w:rsid w:val="008D23AB"/>
    <w:rsid w:val="008D3EAE"/>
    <w:rsid w:val="008D4B8B"/>
    <w:rsid w:val="008D5A78"/>
    <w:rsid w:val="008E7B64"/>
    <w:rsid w:val="008F0DC2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5053"/>
    <w:rsid w:val="0093760E"/>
    <w:rsid w:val="00946044"/>
    <w:rsid w:val="0094660B"/>
    <w:rsid w:val="00946A33"/>
    <w:rsid w:val="0095260E"/>
    <w:rsid w:val="009578DD"/>
    <w:rsid w:val="00961124"/>
    <w:rsid w:val="009621B6"/>
    <w:rsid w:val="00967CED"/>
    <w:rsid w:val="00974F2D"/>
    <w:rsid w:val="00977524"/>
    <w:rsid w:val="00977E88"/>
    <w:rsid w:val="00984920"/>
    <w:rsid w:val="009868BD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448B"/>
    <w:rsid w:val="009C5874"/>
    <w:rsid w:val="009D3B5A"/>
    <w:rsid w:val="009E0C05"/>
    <w:rsid w:val="009E0D1C"/>
    <w:rsid w:val="009E2214"/>
    <w:rsid w:val="009E355A"/>
    <w:rsid w:val="009E4311"/>
    <w:rsid w:val="009E63E2"/>
    <w:rsid w:val="009F04D2"/>
    <w:rsid w:val="009F05CF"/>
    <w:rsid w:val="009F0E57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37BC"/>
    <w:rsid w:val="00A241A5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2686"/>
    <w:rsid w:val="00A93057"/>
    <w:rsid w:val="00A968B0"/>
    <w:rsid w:val="00AB2672"/>
    <w:rsid w:val="00AB2817"/>
    <w:rsid w:val="00AB43C4"/>
    <w:rsid w:val="00AB5F09"/>
    <w:rsid w:val="00AC32E7"/>
    <w:rsid w:val="00AC3A9F"/>
    <w:rsid w:val="00AC6D2F"/>
    <w:rsid w:val="00AE2745"/>
    <w:rsid w:val="00AE2927"/>
    <w:rsid w:val="00AE2F64"/>
    <w:rsid w:val="00AE58BA"/>
    <w:rsid w:val="00AF3EB9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238F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77EBF"/>
    <w:rsid w:val="00C81D4D"/>
    <w:rsid w:val="00C850A0"/>
    <w:rsid w:val="00C85A86"/>
    <w:rsid w:val="00C95C41"/>
    <w:rsid w:val="00C978F0"/>
    <w:rsid w:val="00CA58FE"/>
    <w:rsid w:val="00CA787C"/>
    <w:rsid w:val="00CB1CB1"/>
    <w:rsid w:val="00CB6BC1"/>
    <w:rsid w:val="00CB6CB8"/>
    <w:rsid w:val="00CC1A68"/>
    <w:rsid w:val="00CC2123"/>
    <w:rsid w:val="00CD2BFD"/>
    <w:rsid w:val="00CD7498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3B46"/>
    <w:rsid w:val="00E37CFD"/>
    <w:rsid w:val="00E41A26"/>
    <w:rsid w:val="00E46BCB"/>
    <w:rsid w:val="00E51CAF"/>
    <w:rsid w:val="00E55239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BF0"/>
    <w:rsid w:val="00EB3D1B"/>
    <w:rsid w:val="00EC2571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57A7E"/>
    <w:rsid w:val="00F6491C"/>
    <w:rsid w:val="00F67BBB"/>
    <w:rsid w:val="00F87D92"/>
    <w:rsid w:val="00F90AA7"/>
    <w:rsid w:val="00F92498"/>
    <w:rsid w:val="00F92B67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1946"/>
    <w:rsid w:val="00FD3110"/>
    <w:rsid w:val="00FF521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3FD04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567DC1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856DA6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4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1A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1A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1A5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047AD93791DC493F8562BB3488160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F63B6-C115-4EF7-97B0-A1A4995B6C1D}"/>
      </w:docPartPr>
      <w:docPartBody>
        <w:p w:rsidR="00D21A9F" w:rsidRDefault="00D21A9F">
          <w:pPr>
            <w:pStyle w:val="047AD93791DC493F8562BB3488160D64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7B0BAA2441D5427984E6018FB3890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75C92-832B-40AB-8BE2-B7067B457426}"/>
      </w:docPartPr>
      <w:docPartBody>
        <w:p w:rsidR="00D21A9F" w:rsidRDefault="00D21A9F">
          <w:pPr>
            <w:pStyle w:val="7B0BAA2441D5427984E6018FB38900E7"/>
          </w:pPr>
          <w:r w:rsidRPr="00CA109A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1D38B030D146B59436754F8399D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D45D3-FCC7-4128-9931-F2D9B6FFD50C}"/>
      </w:docPartPr>
      <w:docPartBody>
        <w:p w:rsidR="00D21A9F" w:rsidRDefault="00D21A9F">
          <w:pPr>
            <w:pStyle w:val="5C1D38B030D146B59436754F8399D502"/>
          </w:pPr>
          <w:r w:rsidRPr="00121186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458650CAA2084B72AF821C1A8D1B1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D025C-D0F0-49E9-9692-B88793FBE0A0}"/>
      </w:docPartPr>
      <w:docPartBody>
        <w:p w:rsidR="00542E64" w:rsidRDefault="00453A70" w:rsidP="00453A70">
          <w:pPr>
            <w:pStyle w:val="458650CAA2084B72AF821C1A8D1B1426"/>
          </w:pPr>
          <w:r>
            <w:rPr>
              <w:color w:val="00B050"/>
            </w:rPr>
            <w:t>tier </w:t>
          </w:r>
          <w:r w:rsidRPr="0071660C">
            <w:rPr>
              <w:color w:val="00B050"/>
            </w:rPr>
            <w:t>II</w:t>
          </w:r>
        </w:p>
      </w:docPartBody>
    </w:docPart>
    <w:docPart>
      <w:docPartPr>
        <w:name w:val="932CFF6B682240F48F43681E952EC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1A211-2FB5-4989-A1D1-1C09752C32D3}"/>
      </w:docPartPr>
      <w:docPartBody>
        <w:p w:rsidR="0088119E" w:rsidRDefault="00194958" w:rsidP="00194958">
          <w:pPr>
            <w:pStyle w:val="932CFF6B682240F48F43681E952ECFE7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83F60"/>
    <w:rsid w:val="00194958"/>
    <w:rsid w:val="002A44C1"/>
    <w:rsid w:val="00433C38"/>
    <w:rsid w:val="00453A70"/>
    <w:rsid w:val="00542E64"/>
    <w:rsid w:val="0088119E"/>
    <w:rsid w:val="00D21A9F"/>
    <w:rsid w:val="00E1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4958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44EA401974F644389113700D24B766F8">
    <w:name w:val="44EA401974F644389113700D24B766F8"/>
    <w:rsid w:val="00453A70"/>
    <w:rPr>
      <w:lang w:val="en-US" w:eastAsia="en-US"/>
    </w:rPr>
  </w:style>
  <w:style w:type="paragraph" w:customStyle="1" w:styleId="536DED80C7CE430DBF27AED9E99C8813">
    <w:name w:val="536DED80C7CE430DBF27AED9E99C8813"/>
    <w:rsid w:val="00453A70"/>
    <w:rPr>
      <w:lang w:val="en-US" w:eastAsia="en-US"/>
    </w:rPr>
  </w:style>
  <w:style w:type="paragraph" w:customStyle="1" w:styleId="B8DE9BAEBA184ACDBD8F428141912A7D">
    <w:name w:val="B8DE9BAEBA184ACDBD8F428141912A7D"/>
    <w:rsid w:val="00453A70"/>
    <w:rPr>
      <w:lang w:val="en-US" w:eastAsia="en-US"/>
    </w:rPr>
  </w:style>
  <w:style w:type="paragraph" w:customStyle="1" w:styleId="3D3989410B24486881B6F8568CB5A6AF">
    <w:name w:val="3D3989410B24486881B6F8568CB5A6AF"/>
    <w:rsid w:val="00453A70"/>
    <w:rPr>
      <w:lang w:val="en-US" w:eastAsia="en-US"/>
    </w:rPr>
  </w:style>
  <w:style w:type="paragraph" w:customStyle="1" w:styleId="5ACA6F6E589B422FB91DB76E0CDA16DC">
    <w:name w:val="5ACA6F6E589B422FB91DB76E0CDA16DC"/>
    <w:rsid w:val="00453A70"/>
    <w:rPr>
      <w:lang w:val="en-US" w:eastAsia="en-US"/>
    </w:rPr>
  </w:style>
  <w:style w:type="paragraph" w:customStyle="1" w:styleId="0CAB3B6D3F274205BD38D07A8926C355">
    <w:name w:val="0CAB3B6D3F274205BD38D07A8926C355"/>
    <w:rsid w:val="00453A70"/>
    <w:rPr>
      <w:lang w:val="en-US" w:eastAsia="en-US"/>
    </w:rPr>
  </w:style>
  <w:style w:type="paragraph" w:customStyle="1" w:styleId="4A2756BDA07E4322A57927E01AE4E440">
    <w:name w:val="4A2756BDA07E4322A57927E01AE4E440"/>
    <w:rsid w:val="00453A70"/>
    <w:rPr>
      <w:lang w:val="en-US" w:eastAsia="en-US"/>
    </w:rPr>
  </w:style>
  <w:style w:type="paragraph" w:customStyle="1" w:styleId="3ECD1654A725488C8EBAD645FA44B94A">
    <w:name w:val="3ECD1654A725488C8EBAD645FA44B94A"/>
    <w:rsid w:val="00453A70"/>
    <w:rPr>
      <w:lang w:val="en-US" w:eastAsia="en-US"/>
    </w:rPr>
  </w:style>
  <w:style w:type="paragraph" w:customStyle="1" w:styleId="DE90970D35F04A8183693AA497C5EC08">
    <w:name w:val="DE90970D35F04A8183693AA497C5EC08"/>
    <w:rsid w:val="00453A70"/>
    <w:rPr>
      <w:lang w:val="en-US" w:eastAsia="en-US"/>
    </w:rPr>
  </w:style>
  <w:style w:type="paragraph" w:customStyle="1" w:styleId="3E2343B2B41042779530E56F22237DFA">
    <w:name w:val="3E2343B2B41042779530E56F22237DFA"/>
    <w:rsid w:val="00453A70"/>
    <w:rPr>
      <w:lang w:val="en-US" w:eastAsia="en-US"/>
    </w:rPr>
  </w:style>
  <w:style w:type="paragraph" w:customStyle="1" w:styleId="B754800A950E4FEC8BCBCCB8F4BB8477">
    <w:name w:val="B754800A950E4FEC8BCBCCB8F4BB8477"/>
    <w:rsid w:val="00453A70"/>
    <w:rPr>
      <w:lang w:val="en-US" w:eastAsia="en-US"/>
    </w:rPr>
  </w:style>
  <w:style w:type="paragraph" w:customStyle="1" w:styleId="CE27CA29F290450A948FEF3B87918A3E">
    <w:name w:val="CE27CA29F290450A948FEF3B87918A3E"/>
    <w:rsid w:val="00453A70"/>
    <w:rPr>
      <w:lang w:val="en-US" w:eastAsia="en-US"/>
    </w:rPr>
  </w:style>
  <w:style w:type="paragraph" w:customStyle="1" w:styleId="EBCA7E7BBE01432B91EBA794C31527CA">
    <w:name w:val="EBCA7E7BBE01432B91EBA794C31527CA"/>
    <w:rsid w:val="00453A70"/>
    <w:rPr>
      <w:lang w:val="en-US" w:eastAsia="en-US"/>
    </w:rPr>
  </w:style>
  <w:style w:type="paragraph" w:customStyle="1" w:styleId="3EB603251DB14A4E900B6A65A8B7C845">
    <w:name w:val="3EB603251DB14A4E900B6A65A8B7C845"/>
    <w:rsid w:val="00453A70"/>
    <w:rPr>
      <w:lang w:val="en-US" w:eastAsia="en-US"/>
    </w:rPr>
  </w:style>
  <w:style w:type="paragraph" w:customStyle="1" w:styleId="442F750AD7A04A2A830BE12EB3114E9A">
    <w:name w:val="442F750AD7A04A2A830BE12EB3114E9A"/>
    <w:rsid w:val="00453A70"/>
    <w:rPr>
      <w:lang w:val="en-US" w:eastAsia="en-US"/>
    </w:rPr>
  </w:style>
  <w:style w:type="paragraph" w:customStyle="1" w:styleId="458650CAA2084B72AF821C1A8D1B1426">
    <w:name w:val="458650CAA2084B72AF821C1A8D1B1426"/>
    <w:rsid w:val="00453A70"/>
    <w:rPr>
      <w:lang w:val="en-US" w:eastAsia="en-US"/>
    </w:rPr>
  </w:style>
  <w:style w:type="paragraph" w:customStyle="1" w:styleId="BB6600C1ADAF447284C2321BB1567758">
    <w:name w:val="BB6600C1ADAF447284C2321BB1567758"/>
    <w:rsid w:val="00453A70"/>
    <w:rPr>
      <w:lang w:val="en-US" w:eastAsia="en-US"/>
    </w:rPr>
  </w:style>
  <w:style w:type="paragraph" w:customStyle="1" w:styleId="9088CD84469E4234872F9DEDE0F8B764">
    <w:name w:val="9088CD84469E4234872F9DEDE0F8B764"/>
    <w:rsid w:val="00453A70"/>
    <w:rPr>
      <w:lang w:val="en-US" w:eastAsia="en-US"/>
    </w:rPr>
  </w:style>
  <w:style w:type="paragraph" w:customStyle="1" w:styleId="E56A0067A83E4461A21A1D3CED1FE85E">
    <w:name w:val="E56A0067A83E4461A21A1D3CED1FE85E"/>
    <w:rsid w:val="00083F60"/>
  </w:style>
  <w:style w:type="paragraph" w:customStyle="1" w:styleId="CE6A319F296A4E279D2C2255D8827941">
    <w:name w:val="CE6A319F296A4E279D2C2255D8827941"/>
    <w:rsid w:val="00083F60"/>
  </w:style>
  <w:style w:type="paragraph" w:customStyle="1" w:styleId="932CFF6B682240F48F43681E952ECFE7">
    <w:name w:val="932CFF6B682240F48F43681E952ECFE7"/>
    <w:rsid w:val="00194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E2526-6152-431B-A8FC-129D2168EBA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bf54d604-3e62-4e70-ba33-9e9084b96a6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683E13-2CCF-4517-BDE1-86C8DDA28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16804-FC48-40BA-A047-429127CD8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0EC5E1-9761-4C4A-828B-80107D06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C01D9874.dotm</Template>
  <TotalTime>0</TotalTime>
  <Pages>6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2019-12-01T21:46:00Z</dcterms:created>
  <dcterms:modified xsi:type="dcterms:W3CDTF">2020-01-30T04:07:00Z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