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CBFEEE0" w14:textId="1E8FBB13" w:rsidR="00BD499F" w:rsidRPr="004C23F4" w:rsidRDefault="001D035A" w:rsidP="00B40C60">
          <w:pPr>
            <w:pStyle w:val="Heading1"/>
            <w:jc w:val="center"/>
            <w:rPr>
              <w:rFonts w:ascii="Arial" w:hAnsi="Arial" w:cs="Arial"/>
            </w:rPr>
          </w:pPr>
          <w:r w:rsidRPr="001D035A">
            <w:rPr>
              <w:rFonts w:ascii="Arial" w:hAnsi="Arial" w:cs="Arial"/>
            </w:rPr>
            <w:t>Isoamyl alcohol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2FFB7571" w14:textId="77777777" w:rsidTr="00B76A41">
        <w:trPr>
          <w:cantSplit/>
          <w:tblHeader/>
        </w:trPr>
        <w:tc>
          <w:tcPr>
            <w:tcW w:w="4077" w:type="dxa"/>
          </w:tcPr>
          <w:p w14:paraId="6A3BFB9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A2F9F35" w14:textId="0B6B15B8" w:rsidR="00F43AD5" w:rsidRPr="00717D45" w:rsidRDefault="00184187" w:rsidP="00B76A41">
            <w:pPr>
              <w:pStyle w:val="Tablefont"/>
            </w:pPr>
            <w:r w:rsidRPr="00184187">
              <w:t>123-51-3</w:t>
            </w:r>
          </w:p>
        </w:tc>
      </w:tr>
      <w:tr w:rsidR="00F43AD5" w:rsidRPr="004C23F4" w14:paraId="4DCEAF5C" w14:textId="77777777" w:rsidTr="00B76A41">
        <w:trPr>
          <w:cantSplit/>
        </w:trPr>
        <w:tc>
          <w:tcPr>
            <w:tcW w:w="4077" w:type="dxa"/>
          </w:tcPr>
          <w:p w14:paraId="5CD54AF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DA8BFB0" w14:textId="12F64670" w:rsidR="00F43AD5" w:rsidRPr="00717D45" w:rsidRDefault="00D3795C" w:rsidP="00B76A41">
            <w:pPr>
              <w:pStyle w:val="Tablefont"/>
            </w:pPr>
            <w:proofErr w:type="spellStart"/>
            <w:r>
              <w:t>Isobutylcarbinol</w:t>
            </w:r>
            <w:proofErr w:type="spellEnd"/>
            <w:r>
              <w:t xml:space="preserve">, </w:t>
            </w:r>
            <w:proofErr w:type="spellStart"/>
            <w:r>
              <w:t>isopentyl</w:t>
            </w:r>
            <w:proofErr w:type="spellEnd"/>
            <w:r>
              <w:t xml:space="preserve"> alcohol, 3-methyl-1-butanol, primary </w:t>
            </w:r>
            <w:proofErr w:type="spellStart"/>
            <w:r>
              <w:t>isoamyl</w:t>
            </w:r>
            <w:proofErr w:type="spellEnd"/>
            <w:r>
              <w:t xml:space="preserve"> alcohol</w:t>
            </w:r>
          </w:p>
        </w:tc>
      </w:tr>
      <w:tr w:rsidR="00F43AD5" w:rsidRPr="004C23F4" w14:paraId="71EADFA9" w14:textId="77777777" w:rsidTr="00B76A41">
        <w:trPr>
          <w:cantSplit/>
        </w:trPr>
        <w:tc>
          <w:tcPr>
            <w:tcW w:w="4077" w:type="dxa"/>
          </w:tcPr>
          <w:p w14:paraId="0D2A2FF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67F04E0" w14:textId="3F1FFC1E" w:rsidR="00F43AD5" w:rsidRPr="00717D45" w:rsidRDefault="00D3795C" w:rsidP="00B76A41">
            <w:pPr>
              <w:pStyle w:val="Tablefont"/>
            </w:pPr>
            <w:r>
              <w:t>C</w:t>
            </w:r>
            <w:r w:rsidRPr="00D3795C">
              <w:rPr>
                <w:vertAlign w:val="subscript"/>
              </w:rPr>
              <w:t>5</w:t>
            </w:r>
            <w:r>
              <w:t>H</w:t>
            </w:r>
            <w:r w:rsidRPr="00D3795C">
              <w:rPr>
                <w:vertAlign w:val="subscript"/>
              </w:rPr>
              <w:t>12</w:t>
            </w:r>
            <w:r>
              <w:t>O</w:t>
            </w:r>
          </w:p>
        </w:tc>
      </w:tr>
      <w:tr w:rsidR="00F43AD5" w:rsidRPr="004C23F4" w14:paraId="304570E4" w14:textId="77777777" w:rsidTr="00B76A41">
        <w:trPr>
          <w:cantSplit/>
        </w:trPr>
        <w:tc>
          <w:tcPr>
            <w:tcW w:w="4077" w:type="dxa"/>
          </w:tcPr>
          <w:p w14:paraId="5A9351E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0B8E566" w14:textId="0E51EECB" w:rsidR="00F43AD5" w:rsidRPr="00B40C60" w:rsidRDefault="00D3795C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7308B7D0" w14:textId="6065D93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C282F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9F48374" w14:textId="77777777" w:rsidTr="00D37848">
        <w:trPr>
          <w:cantSplit/>
          <w:tblHeader/>
        </w:trPr>
        <w:tc>
          <w:tcPr>
            <w:tcW w:w="4005" w:type="dxa"/>
            <w:vAlign w:val="center"/>
          </w:tcPr>
          <w:p w14:paraId="3080905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F2F058B" w14:textId="151DC1BC" w:rsidR="002C7AFE" w:rsidRPr="00EB3D1B" w:rsidRDefault="003C282F" w:rsidP="00017C82">
            <w:pPr>
              <w:pStyle w:val="Tablefont"/>
              <w:rPr>
                <w:b/>
              </w:rPr>
            </w:pPr>
            <w:r w:rsidRPr="003C282F">
              <w:rPr>
                <w:b/>
              </w:rPr>
              <w:t>20 ppm (73 mg/m</w:t>
            </w:r>
            <w:r w:rsidRPr="003C282F">
              <w:rPr>
                <w:b/>
                <w:vertAlign w:val="superscript"/>
              </w:rPr>
              <w:t>3</w:t>
            </w:r>
            <w:r w:rsidRPr="003C282F">
              <w:rPr>
                <w:b/>
              </w:rPr>
              <w:t>)</w:t>
            </w:r>
          </w:p>
        </w:tc>
      </w:tr>
      <w:tr w:rsidR="002C7AFE" w:rsidRPr="004C23F4" w14:paraId="4CB6236E" w14:textId="77777777" w:rsidTr="00D37848">
        <w:trPr>
          <w:cantSplit/>
        </w:trPr>
        <w:tc>
          <w:tcPr>
            <w:tcW w:w="4005" w:type="dxa"/>
            <w:vAlign w:val="center"/>
          </w:tcPr>
          <w:p w14:paraId="1463F0C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919C562" w14:textId="23CA95D4" w:rsidR="002C7AFE" w:rsidRPr="00EB3D1B" w:rsidRDefault="003C28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80 ppm </w:t>
            </w:r>
            <w:r w:rsidRPr="003C282F">
              <w:rPr>
                <w:b/>
              </w:rPr>
              <w:t>(292 mg/m</w:t>
            </w:r>
            <w:r w:rsidRPr="003C282F">
              <w:rPr>
                <w:b/>
                <w:vertAlign w:val="superscript"/>
              </w:rPr>
              <w:t>3</w:t>
            </w:r>
            <w:r w:rsidRPr="003C282F">
              <w:rPr>
                <w:b/>
              </w:rPr>
              <w:t>)</w:t>
            </w:r>
          </w:p>
        </w:tc>
      </w:tr>
      <w:tr w:rsidR="002C7AFE" w:rsidRPr="004C23F4" w14:paraId="3D4CA024" w14:textId="77777777" w:rsidTr="00D37848">
        <w:trPr>
          <w:cantSplit/>
        </w:trPr>
        <w:tc>
          <w:tcPr>
            <w:tcW w:w="4005" w:type="dxa"/>
            <w:vAlign w:val="center"/>
          </w:tcPr>
          <w:p w14:paraId="027A233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2A55F7A" w14:textId="3269B70C" w:rsidR="002C7AFE" w:rsidRPr="00EB3D1B" w:rsidRDefault="003C28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7F77C3F" w14:textId="77777777" w:rsidTr="00D37848">
        <w:trPr>
          <w:cantSplit/>
        </w:trPr>
        <w:tc>
          <w:tcPr>
            <w:tcW w:w="4005" w:type="dxa"/>
          </w:tcPr>
          <w:p w14:paraId="3FA8673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A8D40B0" w14:textId="0D6EFA9B" w:rsidR="002C7AFE" w:rsidRPr="00EB3D1B" w:rsidRDefault="003C282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5016B2F" w14:textId="77777777" w:rsidTr="00D37848">
        <w:trPr>
          <w:cantSplit/>
        </w:trPr>
        <w:tc>
          <w:tcPr>
            <w:tcW w:w="4005" w:type="dxa"/>
            <w:vAlign w:val="center"/>
          </w:tcPr>
          <w:p w14:paraId="4C6674B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197BB84" w14:textId="575564E1" w:rsidR="002C7AFE" w:rsidRPr="00EB3D1B" w:rsidRDefault="00D3795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500 ppm </w:t>
            </w:r>
          </w:p>
        </w:tc>
      </w:tr>
      <w:tr w:rsidR="00D37848" w:rsidRPr="004C23F4" w14:paraId="0BFF61C8" w14:textId="77777777" w:rsidTr="006612A8">
        <w:trPr>
          <w:cantSplit/>
        </w:trPr>
        <w:tc>
          <w:tcPr>
            <w:tcW w:w="9026" w:type="dxa"/>
            <w:gridSpan w:val="2"/>
            <w:vAlign w:val="center"/>
          </w:tcPr>
          <w:p w14:paraId="2C567626" w14:textId="75DF864B" w:rsidR="00D37848" w:rsidRPr="004D1043" w:rsidRDefault="00D37848" w:rsidP="00017C82">
            <w:pPr>
              <w:pStyle w:val="Tablefont"/>
              <w:rPr>
                <w:b/>
              </w:rPr>
            </w:pPr>
            <w:r w:rsidRPr="004D1043">
              <w:rPr>
                <w:b/>
              </w:rPr>
              <w:t>Sampling and analysis:</w:t>
            </w:r>
            <w:r w:rsidRPr="004D1043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977D3B74BE064DA4890AE45463A9040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4D1043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F56DE3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F6828BD" w14:textId="77777777" w:rsidR="007A28BF" w:rsidRDefault="003C282F" w:rsidP="000C139A">
      <w:pPr>
        <w:rPr>
          <w:rFonts w:cs="Arial"/>
        </w:rPr>
      </w:pPr>
      <w:r w:rsidRPr="003C282F">
        <w:rPr>
          <w:rFonts w:cs="Arial"/>
        </w:rPr>
        <w:t xml:space="preserve">A TWA of </w:t>
      </w:r>
      <w:r>
        <w:rPr>
          <w:rFonts w:cs="Arial"/>
        </w:rPr>
        <w:t>20</w:t>
      </w:r>
      <w:r w:rsidRPr="003C282F">
        <w:rPr>
          <w:rFonts w:cs="Arial"/>
        </w:rPr>
        <w:t xml:space="preserve"> ppm (</w:t>
      </w:r>
      <w:r>
        <w:rPr>
          <w:rFonts w:cs="Arial"/>
        </w:rPr>
        <w:t>73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3C282F">
        <w:rPr>
          <w:rFonts w:cs="Arial"/>
        </w:rPr>
        <w:t xml:space="preserve"> is recommended to protect for</w:t>
      </w:r>
      <w:r>
        <w:rPr>
          <w:rFonts w:cs="Arial"/>
        </w:rPr>
        <w:t xml:space="preserve"> local irritation effects </w:t>
      </w:r>
      <w:r w:rsidRPr="003C282F">
        <w:rPr>
          <w:rFonts w:cs="Arial"/>
        </w:rPr>
        <w:t xml:space="preserve">in exposed workers. </w:t>
      </w:r>
    </w:p>
    <w:p w14:paraId="0B34CF20" w14:textId="66552B34" w:rsidR="003C282F" w:rsidRPr="003C282F" w:rsidRDefault="003C282F" w:rsidP="000C139A">
      <w:pPr>
        <w:rPr>
          <w:rFonts w:cs="Arial"/>
        </w:rPr>
      </w:pPr>
      <w:r>
        <w:rPr>
          <w:rFonts w:cs="Arial"/>
        </w:rPr>
        <w:t>A STEL of 80 ppm (292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irritation </w:t>
      </w:r>
      <w:r w:rsidR="00762C8D">
        <w:rPr>
          <w:rFonts w:cs="Arial"/>
        </w:rPr>
        <w:t>in acutely exposed workers</w:t>
      </w:r>
      <w:r>
        <w:rPr>
          <w:rFonts w:cs="Arial"/>
        </w:rPr>
        <w:t>.</w:t>
      </w:r>
    </w:p>
    <w:p w14:paraId="11654E8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6829BA8" w14:textId="326D2EB0" w:rsidR="006639B4" w:rsidRDefault="00267745" w:rsidP="006639B4">
      <w:pPr>
        <w:rPr>
          <w:rFonts w:cs="Arial"/>
        </w:rPr>
      </w:pPr>
      <w:proofErr w:type="spellStart"/>
      <w:r>
        <w:rPr>
          <w:rFonts w:cs="Arial"/>
        </w:rPr>
        <w:t>Isoamyl</w:t>
      </w:r>
      <w:proofErr w:type="spellEnd"/>
      <w:r>
        <w:rPr>
          <w:rFonts w:cs="Arial"/>
        </w:rPr>
        <w:t xml:space="preserve"> </w:t>
      </w:r>
      <w:r w:rsidR="00E67225">
        <w:rPr>
          <w:rFonts w:cs="Arial"/>
        </w:rPr>
        <w:t>alcohol is used as a solvent</w:t>
      </w:r>
      <w:r>
        <w:rPr>
          <w:rFonts w:cs="Arial"/>
        </w:rPr>
        <w:t xml:space="preserve"> in the manufacture of photographic and pharmaceutical chemicals. </w:t>
      </w:r>
      <w:r w:rsidR="00760C20">
        <w:rPr>
          <w:rFonts w:cs="Arial"/>
        </w:rPr>
        <w:t>The critical effect</w:t>
      </w:r>
      <w:r>
        <w:rPr>
          <w:rFonts w:cs="Arial"/>
        </w:rPr>
        <w:t xml:space="preserve"> </w:t>
      </w:r>
      <w:r w:rsidR="00A61FE4">
        <w:rPr>
          <w:rFonts w:cs="Arial"/>
        </w:rPr>
        <w:t xml:space="preserve">of exposure </w:t>
      </w:r>
      <w:r w:rsidR="00760C20">
        <w:rPr>
          <w:rFonts w:cs="Arial"/>
        </w:rPr>
        <w:t>is</w:t>
      </w:r>
      <w:r>
        <w:rPr>
          <w:rFonts w:cs="Arial"/>
        </w:rPr>
        <w:t xml:space="preserve"> irritation of the upper respiratory tract and eyes</w:t>
      </w:r>
      <w:r w:rsidR="00760C20">
        <w:rPr>
          <w:rFonts w:cs="Arial"/>
        </w:rPr>
        <w:t>.</w:t>
      </w:r>
    </w:p>
    <w:p w14:paraId="106EF0FD" w14:textId="71F4FBDF" w:rsidR="00693FF1" w:rsidRDefault="00543621" w:rsidP="006639B4">
      <w:pPr>
        <w:rPr>
          <w:rFonts w:cs="Arial"/>
        </w:rPr>
      </w:pPr>
      <w:r>
        <w:rPr>
          <w:rFonts w:cs="Arial"/>
        </w:rPr>
        <w:t>The human toxicological database is limited</w:t>
      </w:r>
      <w:r w:rsidR="00B645B9">
        <w:rPr>
          <w:rFonts w:cs="Arial"/>
        </w:rPr>
        <w:t>, but the available acute sensory data suggest</w:t>
      </w:r>
      <w:r w:rsidR="00D37848">
        <w:rPr>
          <w:rFonts w:cs="Arial"/>
        </w:rPr>
        <w:t>s</w:t>
      </w:r>
      <w:r w:rsidR="00B645B9">
        <w:rPr>
          <w:rFonts w:cs="Arial"/>
        </w:rPr>
        <w:t xml:space="preserve"> </w:t>
      </w:r>
      <w:r w:rsidR="003C282F">
        <w:rPr>
          <w:rFonts w:cs="Arial"/>
        </w:rPr>
        <w:t xml:space="preserve">mild </w:t>
      </w:r>
      <w:r w:rsidR="00B645B9">
        <w:rPr>
          <w:rFonts w:cs="Arial"/>
        </w:rPr>
        <w:t xml:space="preserve">throat irritation begins at 100 ppm followed by eye and upper respiratory tract irritation above 150 ppm (ACGIH, 2018; DFG, </w:t>
      </w:r>
      <w:r w:rsidR="00DA49D7">
        <w:rPr>
          <w:rFonts w:cs="Arial"/>
        </w:rPr>
        <w:t>2008</w:t>
      </w:r>
      <w:r w:rsidR="00B645B9">
        <w:rPr>
          <w:rFonts w:cs="Arial"/>
        </w:rPr>
        <w:t xml:space="preserve">; HCOTN, 2003). </w:t>
      </w:r>
      <w:r>
        <w:rPr>
          <w:rFonts w:cs="Arial"/>
        </w:rPr>
        <w:t>A NOAE</w:t>
      </w:r>
      <w:r w:rsidR="00E0351D">
        <w:rPr>
          <w:rFonts w:cs="Arial"/>
        </w:rPr>
        <w:t>C</w:t>
      </w:r>
      <w:r>
        <w:rPr>
          <w:rFonts w:cs="Arial"/>
        </w:rPr>
        <w:t xml:space="preserve"> of 50 p</w:t>
      </w:r>
      <w:r w:rsidR="00B645B9">
        <w:rPr>
          <w:rFonts w:cs="Arial"/>
        </w:rPr>
        <w:t xml:space="preserve">pm for </w:t>
      </w:r>
      <w:r w:rsidR="00760C20">
        <w:rPr>
          <w:rFonts w:cs="Arial"/>
        </w:rPr>
        <w:t>eye irritation</w:t>
      </w:r>
      <w:r w:rsidR="00B645B9">
        <w:rPr>
          <w:rFonts w:cs="Arial"/>
        </w:rPr>
        <w:t xml:space="preserve"> with a corresponding LOAE</w:t>
      </w:r>
      <w:r w:rsidR="00E0351D">
        <w:rPr>
          <w:rFonts w:cs="Arial"/>
        </w:rPr>
        <w:t>C</w:t>
      </w:r>
      <w:r w:rsidR="00B645B9">
        <w:rPr>
          <w:rFonts w:cs="Arial"/>
        </w:rPr>
        <w:t xml:space="preserve"> of 225 ppm </w:t>
      </w:r>
      <w:r w:rsidR="005D1177">
        <w:rPr>
          <w:rFonts w:cs="Arial"/>
        </w:rPr>
        <w:t xml:space="preserve">are reported </w:t>
      </w:r>
      <w:r w:rsidR="00B645B9">
        <w:rPr>
          <w:rFonts w:cs="Arial"/>
        </w:rPr>
        <w:t xml:space="preserve">in a </w:t>
      </w:r>
      <w:r w:rsidR="00471D9B">
        <w:rPr>
          <w:rFonts w:cs="Arial"/>
        </w:rPr>
        <w:t xml:space="preserve">90 </w:t>
      </w:r>
      <w:r w:rsidR="007A28BF">
        <w:rPr>
          <w:rFonts w:cs="Arial"/>
        </w:rPr>
        <w:t>day</w:t>
      </w:r>
      <w:r w:rsidR="00B645B9">
        <w:rPr>
          <w:rFonts w:cs="Arial"/>
        </w:rPr>
        <w:t xml:space="preserve"> inhalation study </w:t>
      </w:r>
      <w:r w:rsidR="005D1177">
        <w:rPr>
          <w:rFonts w:cs="Arial"/>
        </w:rPr>
        <w:t xml:space="preserve">with </w:t>
      </w:r>
      <w:r w:rsidR="00B645B9">
        <w:rPr>
          <w:rFonts w:cs="Arial"/>
        </w:rPr>
        <w:t xml:space="preserve">rats </w:t>
      </w:r>
      <w:r w:rsidR="005D1177">
        <w:rPr>
          <w:rFonts w:cs="Arial"/>
        </w:rPr>
        <w:t xml:space="preserve">(DFG, </w:t>
      </w:r>
      <w:r w:rsidR="00DA49D7">
        <w:rPr>
          <w:rFonts w:cs="Arial"/>
        </w:rPr>
        <w:t xml:space="preserve">2008, </w:t>
      </w:r>
      <w:r w:rsidR="00E0351D">
        <w:rPr>
          <w:rFonts w:cs="Arial"/>
        </w:rPr>
        <w:t>2016)</w:t>
      </w:r>
      <w:r w:rsidR="00B645B9">
        <w:rPr>
          <w:rFonts w:cs="Arial"/>
        </w:rPr>
        <w:t xml:space="preserve">. </w:t>
      </w:r>
    </w:p>
    <w:p w14:paraId="36E2EF96" w14:textId="242BD751" w:rsidR="00760C20" w:rsidRPr="004C23F4" w:rsidRDefault="005D1177" w:rsidP="006639B4">
      <w:pPr>
        <w:rPr>
          <w:rFonts w:cs="Arial"/>
        </w:rPr>
      </w:pPr>
      <w:r>
        <w:rPr>
          <w:rFonts w:cs="Arial"/>
        </w:rPr>
        <w:t>Due to the limited information on human exposure, specifically the absence of a NO</w:t>
      </w:r>
      <w:r w:rsidR="00E67225">
        <w:rPr>
          <w:rFonts w:cs="Arial"/>
        </w:rPr>
        <w:t xml:space="preserve">AEC for </w:t>
      </w:r>
      <w:proofErr w:type="spellStart"/>
      <w:r w:rsidR="00E67225">
        <w:rPr>
          <w:rFonts w:cs="Arial"/>
        </w:rPr>
        <w:t>irritational</w:t>
      </w:r>
      <w:proofErr w:type="spellEnd"/>
      <w:r w:rsidR="00E67225">
        <w:rPr>
          <w:rFonts w:cs="Arial"/>
        </w:rPr>
        <w:t xml:space="preserve"> endpoints, </w:t>
      </w:r>
      <w:r>
        <w:rPr>
          <w:rFonts w:cs="Arial"/>
        </w:rPr>
        <w:t xml:space="preserve">the recommended TWA </w:t>
      </w:r>
      <w:r w:rsidR="006612A8">
        <w:rPr>
          <w:rFonts w:cs="Arial"/>
        </w:rPr>
        <w:t xml:space="preserve">of 20 ppm </w:t>
      </w:r>
      <w:r w:rsidR="004D1043">
        <w:rPr>
          <w:rFonts w:cs="Arial"/>
        </w:rPr>
        <w:t>by DFG (2008, 2016)</w:t>
      </w:r>
      <w:r>
        <w:rPr>
          <w:rFonts w:cs="Arial"/>
        </w:rPr>
        <w:t xml:space="preserve"> </w:t>
      </w:r>
      <w:r w:rsidR="00E53535">
        <w:rPr>
          <w:rFonts w:cs="Arial"/>
        </w:rPr>
        <w:t xml:space="preserve">is </w:t>
      </w:r>
      <w:r>
        <w:rPr>
          <w:rFonts w:cs="Arial"/>
        </w:rPr>
        <w:t>based on t</w:t>
      </w:r>
      <w:r w:rsidR="00B645B9">
        <w:rPr>
          <w:rFonts w:cs="Arial"/>
        </w:rPr>
        <w:t>he NOAE</w:t>
      </w:r>
      <w:r w:rsidR="00E0351D">
        <w:rPr>
          <w:rFonts w:cs="Arial"/>
        </w:rPr>
        <w:t>C</w:t>
      </w:r>
      <w:r>
        <w:rPr>
          <w:rFonts w:cs="Arial"/>
        </w:rPr>
        <w:t xml:space="preserve"> for eye irritation in rats</w:t>
      </w:r>
      <w:r w:rsidR="00B645B9">
        <w:rPr>
          <w:rFonts w:cs="Arial"/>
        </w:rPr>
        <w:t xml:space="preserve">. </w:t>
      </w:r>
      <w:r w:rsidR="006612A8">
        <w:rPr>
          <w:rFonts w:cs="Arial"/>
        </w:rPr>
        <w:t xml:space="preserve">Based on the onset of </w:t>
      </w:r>
      <w:r w:rsidR="00DA49D7">
        <w:rPr>
          <w:rFonts w:cs="Arial"/>
        </w:rPr>
        <w:t xml:space="preserve">mild </w:t>
      </w:r>
      <w:r w:rsidR="006612A8">
        <w:rPr>
          <w:rFonts w:cs="Arial"/>
        </w:rPr>
        <w:t>irritation in humans at 100 ppm, t</w:t>
      </w:r>
      <w:r w:rsidR="00760C20">
        <w:rPr>
          <w:rFonts w:cs="Arial"/>
        </w:rPr>
        <w:t xml:space="preserve">he recommended STEL of 80 ppm is </w:t>
      </w:r>
      <w:r w:rsidR="006612A8">
        <w:rPr>
          <w:rFonts w:cs="Arial"/>
        </w:rPr>
        <w:t>expected to be protective of these effects</w:t>
      </w:r>
      <w:r w:rsidR="003C282F">
        <w:rPr>
          <w:rFonts w:cs="Arial"/>
        </w:rPr>
        <w:t>.</w:t>
      </w:r>
    </w:p>
    <w:p w14:paraId="0B9A7D9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313C357" w14:textId="138264EB" w:rsidR="00D3795C" w:rsidRDefault="00D3795C" w:rsidP="00D3795C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D37848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4839AF21" w14:textId="7AB1020A" w:rsidR="00D3795C" w:rsidRDefault="00D3795C" w:rsidP="00D3795C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D37848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0B3127A9" w14:textId="4B2C697E" w:rsidR="005E6979" w:rsidRPr="004C23F4" w:rsidRDefault="007A28BF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</w:t>
      </w:r>
      <w:r w:rsidR="00D3795C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D3795C">
        <w:rPr>
          <w:rFonts w:cs="Arial"/>
        </w:rPr>
        <w:t>to recommend a skin notation.</w:t>
      </w:r>
    </w:p>
    <w:p w14:paraId="77CB2DA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8A410E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23CA158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92A2E3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1E4E21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0675E0" w14:textId="36CE17E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3795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3795C">
                  <w:t>TWA: 100 ppm (361 mg/m</w:t>
                </w:r>
                <w:r w:rsidR="00D3795C" w:rsidRPr="00D3795C">
                  <w:rPr>
                    <w:vertAlign w:val="superscript"/>
                  </w:rPr>
                  <w:t>3</w:t>
                </w:r>
                <w:r w:rsidR="00D3795C">
                  <w:t>); STEL: 125 ppm (452 mg/m</w:t>
                </w:r>
                <w:r w:rsidR="00D3795C" w:rsidRPr="00D3795C">
                  <w:rPr>
                    <w:vertAlign w:val="superscript"/>
                  </w:rPr>
                  <w:t>3</w:t>
                </w:r>
                <w:r w:rsidR="00D3795C">
                  <w:t>)</w:t>
                </w:r>
              </w:sdtContent>
            </w:sdt>
          </w:p>
        </w:tc>
      </w:tr>
      <w:tr w:rsidR="00C978F0" w:rsidRPr="00DA352E" w14:paraId="2DDDC7D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C2BD1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2D1B5C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047854D" w14:textId="6A359676" w:rsidR="00C978F0" w:rsidRPr="00DA352E" w:rsidRDefault="00DA352E" w:rsidP="00D3795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jc w:val="center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3795C">
                  <w:t>2001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3795C">
                  <w:t>TLV-TWA: 100 ppm (361 mg/m</w:t>
                </w:r>
                <w:r w:rsidR="00D3795C" w:rsidRPr="00D3795C">
                  <w:rPr>
                    <w:vertAlign w:val="superscript"/>
                  </w:rPr>
                  <w:t>3</w:t>
                </w:r>
                <w:r w:rsidR="00D3795C">
                  <w:t>); TLV-STEL: 125 ppm (452 mg/m</w:t>
                </w:r>
                <w:r w:rsidR="00D3795C" w:rsidRPr="00D3795C">
                  <w:rPr>
                    <w:vertAlign w:val="superscript"/>
                  </w:rPr>
                  <w:t>3</w:t>
                </w:r>
                <w:r w:rsidR="00D3795C">
                  <w:t>)</w:t>
                </w:r>
              </w:sdtContent>
            </w:sdt>
          </w:p>
        </w:tc>
      </w:tr>
      <w:tr w:rsidR="00C978F0" w:rsidRPr="00DA352E" w14:paraId="2FBC74C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FD741E6" w14:textId="0BE17286" w:rsidR="00C978F0" w:rsidRDefault="00267745" w:rsidP="003365A5">
            <w:pPr>
              <w:pStyle w:val="Tabletextprimarysource"/>
            </w:pPr>
            <w:r>
              <w:t>TLV-TWA intended to minimise potential for irritation of the eyes and upper respiratory tract and possible corneal damage.</w:t>
            </w:r>
          </w:p>
          <w:p w14:paraId="049F7B2E" w14:textId="0A536C5B" w:rsidR="00267745" w:rsidRDefault="00267745" w:rsidP="003365A5">
            <w:pPr>
              <w:pStyle w:val="Tabletextprimarysource"/>
            </w:pPr>
            <w:r>
              <w:t>Summary of data:</w:t>
            </w:r>
          </w:p>
          <w:p w14:paraId="3D70A2DF" w14:textId="62F32A83" w:rsidR="00267745" w:rsidRDefault="00267745" w:rsidP="003365A5">
            <w:pPr>
              <w:pStyle w:val="Tabletextprimarysource"/>
            </w:pPr>
            <w:r>
              <w:t xml:space="preserve">TLV-TWA based on </w:t>
            </w:r>
            <w:r w:rsidR="001F2192">
              <w:t>reports of throat irritation in briefly exposed volunteers above 100 ppm and eye and upper respiratory tract irritation above 150 ppm. Limited exposure data available, the TLV-TWA is therefore supported by analogy to</w:t>
            </w:r>
            <w:r>
              <w:t xml:space="preserve"> sim</w:t>
            </w:r>
            <w:r w:rsidR="001F2192">
              <w:t xml:space="preserve">ilarly acting </w:t>
            </w:r>
            <w:r w:rsidR="001F2192" w:rsidRPr="007A28BF">
              <w:rPr>
                <w:i/>
              </w:rPr>
              <w:t>n</w:t>
            </w:r>
            <w:r w:rsidR="001F2192">
              <w:t>-butyl alcohol</w:t>
            </w:r>
            <w:r>
              <w:t>.</w:t>
            </w:r>
            <w:r w:rsidR="001F2192">
              <w:t xml:space="preserve"> </w:t>
            </w:r>
          </w:p>
          <w:p w14:paraId="67FD8DE9" w14:textId="3895B682" w:rsidR="00267745" w:rsidRDefault="00267745" w:rsidP="003365A5">
            <w:pPr>
              <w:pStyle w:val="Tabletextprimarysource"/>
            </w:pPr>
            <w:r>
              <w:t>Human data:</w:t>
            </w:r>
          </w:p>
          <w:p w14:paraId="62875E3C" w14:textId="2D9F2FE8" w:rsidR="00267745" w:rsidRDefault="00A95083" w:rsidP="00267745">
            <w:pPr>
              <w:pStyle w:val="Tabletextprimarysource"/>
              <w:numPr>
                <w:ilvl w:val="0"/>
                <w:numId w:val="2"/>
              </w:numPr>
            </w:pPr>
            <w:r>
              <w:t>Odour threshold: 0.042 ppm</w:t>
            </w:r>
          </w:p>
          <w:p w14:paraId="4EFD8FC7" w14:textId="7D655BF4" w:rsidR="001F2192" w:rsidRDefault="001F2192" w:rsidP="00267745">
            <w:pPr>
              <w:pStyle w:val="Tabletextprimarysource"/>
              <w:numPr>
                <w:ilvl w:val="0"/>
                <w:numId w:val="2"/>
              </w:numPr>
            </w:pPr>
            <w:r>
              <w:t>Ingestion of 30 mL lethal in adults</w:t>
            </w:r>
          </w:p>
          <w:p w14:paraId="34859BB9" w14:textId="2B20C952" w:rsidR="001F2192" w:rsidRDefault="001F2192" w:rsidP="00267745">
            <w:pPr>
              <w:pStyle w:val="Tabletextprimarysource"/>
              <w:numPr>
                <w:ilvl w:val="0"/>
                <w:numId w:val="2"/>
              </w:numPr>
            </w:pPr>
            <w:r>
              <w:t>Slight throat irritation at 100 ppm in volunteer study (3–5 min)</w:t>
            </w:r>
          </w:p>
          <w:p w14:paraId="23D827E1" w14:textId="5E2A1F2E" w:rsidR="001F2192" w:rsidRDefault="007A28BF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u</w:t>
            </w:r>
            <w:r w:rsidR="001F2192">
              <w:t>pper respiratory tract and eye irritation at 150 ppm</w:t>
            </w:r>
          </w:p>
          <w:p w14:paraId="6662D53B" w14:textId="59169725" w:rsidR="001F2192" w:rsidRDefault="007A28BF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proofErr w:type="gramStart"/>
            <w:r>
              <w:t>e</w:t>
            </w:r>
            <w:r w:rsidR="001F2192">
              <w:t>xposure</w:t>
            </w:r>
            <w:proofErr w:type="gramEnd"/>
            <w:r w:rsidR="001F2192">
              <w:t xml:space="preserve"> to </w:t>
            </w:r>
            <w:r w:rsidR="001F2192" w:rsidRPr="007A28BF">
              <w:rPr>
                <w:i/>
              </w:rPr>
              <w:t>n</w:t>
            </w:r>
            <w:r w:rsidR="001F2192">
              <w:t>-butyl alcohol at 25 ppm caused mild eye, throat and nose irritation; objectionable at 50 ppm</w:t>
            </w:r>
            <w:r>
              <w:t>.</w:t>
            </w:r>
          </w:p>
          <w:p w14:paraId="09D491C3" w14:textId="21DC431A" w:rsidR="00267745" w:rsidRDefault="00267745" w:rsidP="003365A5">
            <w:pPr>
              <w:pStyle w:val="Tabletextprimarysource"/>
            </w:pPr>
            <w:r>
              <w:t>Animal data:</w:t>
            </w:r>
          </w:p>
          <w:p w14:paraId="0FBBFB9E" w14:textId="47973FC8" w:rsidR="00267745" w:rsidRDefault="00267745" w:rsidP="00267745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5,770 mg/kg (rats), 3,440 mg/kg (rabbits)</w:t>
            </w:r>
          </w:p>
          <w:p w14:paraId="0F581BBB" w14:textId="4419757F" w:rsidR="00267745" w:rsidRDefault="007A28BF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n</w:t>
            </w:r>
            <w:r w:rsidR="001F2192">
              <w:t>arcosis, s</w:t>
            </w:r>
            <w:r w:rsidR="00267745">
              <w:t>tupor and loss of voluntary movement reported at sub-lethal doses</w:t>
            </w:r>
          </w:p>
          <w:p w14:paraId="18278F9A" w14:textId="68EB119E" w:rsidR="00267745" w:rsidRDefault="00267745" w:rsidP="00267745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 w:rsidR="007A28BF">
              <w:t>:</w:t>
            </w:r>
            <w:r>
              <w:t xml:space="preserve"> &gt;2,000 ppm </w:t>
            </w:r>
            <w:r w:rsidR="00A95083">
              <w:t>(rats, 8 h)</w:t>
            </w:r>
          </w:p>
          <w:p w14:paraId="4D76094F" w14:textId="147D48F4" w:rsidR="00A95083" w:rsidRDefault="00A95083" w:rsidP="00267745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3,240 mg/kg (rabbits</w:t>
            </w:r>
            <w:r w:rsidR="007A28BF">
              <w:t>, dermal</w:t>
            </w:r>
            <w:r>
              <w:t>); severe burns and corneal damage when applied to eyes</w:t>
            </w:r>
          </w:p>
          <w:p w14:paraId="360A0AC7" w14:textId="5865D313" w:rsidR="00A95083" w:rsidRDefault="00A95083" w:rsidP="00A95083">
            <w:pPr>
              <w:pStyle w:val="Tabletextprimarysource"/>
              <w:numPr>
                <w:ilvl w:val="0"/>
                <w:numId w:val="1"/>
              </w:numPr>
            </w:pPr>
            <w:r>
              <w:t>Carcinomas reported in liver</w:t>
            </w:r>
            <w:r w:rsidR="00783FF2">
              <w:t xml:space="preserve"> and </w:t>
            </w:r>
            <w:r w:rsidR="00E0351D">
              <w:t xml:space="preserve">forestomach </w:t>
            </w:r>
            <w:r>
              <w:t>and leukaemia in chronic gavage study at 81.3</w:t>
            </w:r>
            <w:r w:rsidR="00783FF2">
              <w:t> </w:t>
            </w:r>
            <w:r>
              <w:t>mg/kg (rats, 2 times/</w:t>
            </w:r>
            <w:proofErr w:type="spellStart"/>
            <w:r>
              <w:t>wk</w:t>
            </w:r>
            <w:proofErr w:type="spellEnd"/>
            <w:r>
              <w:t xml:space="preserve">, until total dose of 22 g administered </w:t>
            </w:r>
            <w:r>
              <w:rPr>
                <w:rFonts w:cs="Arial"/>
              </w:rPr>
              <w:t>≈</w:t>
            </w:r>
            <w:r>
              <w:t xml:space="preserve">2 </w:t>
            </w:r>
            <w:proofErr w:type="spellStart"/>
            <w:r>
              <w:t>yr</w:t>
            </w:r>
            <w:proofErr w:type="spellEnd"/>
            <w:r>
              <w:t>); average survival time: 527 d</w:t>
            </w:r>
          </w:p>
          <w:p w14:paraId="62C41902" w14:textId="06232DDC" w:rsidR="009927A5" w:rsidRDefault="009927A5" w:rsidP="009927A5">
            <w:pPr>
              <w:pStyle w:val="Tabletextprimarysource"/>
              <w:numPr>
                <w:ilvl w:val="0"/>
                <w:numId w:val="1"/>
              </w:numPr>
            </w:pPr>
            <w:r>
              <w:t>No mutagenicity or ADME data presented.</w:t>
            </w:r>
          </w:p>
          <w:p w14:paraId="554F4653" w14:textId="77777777" w:rsidR="00E53535" w:rsidRDefault="00E53535" w:rsidP="003365A5">
            <w:pPr>
              <w:pStyle w:val="Tabletextprimarysource"/>
            </w:pPr>
          </w:p>
          <w:p w14:paraId="6C0416B7" w14:textId="3267DB27" w:rsidR="00267745" w:rsidRDefault="00267745" w:rsidP="003365A5">
            <w:pPr>
              <w:pStyle w:val="Tabletextprimarysource"/>
            </w:pPr>
            <w:r>
              <w:t>Insufficient data to recommend notations for carcinogenicity, skin absorption and sensitisation.</w:t>
            </w:r>
          </w:p>
          <w:p w14:paraId="0237BF8F" w14:textId="721A0A25" w:rsidR="007B5E95" w:rsidRPr="00DA352E" w:rsidRDefault="007B5E95" w:rsidP="003365A5">
            <w:pPr>
              <w:pStyle w:val="Tabletextprimarysource"/>
            </w:pPr>
          </w:p>
        </w:tc>
      </w:tr>
      <w:tr w:rsidR="00C978F0" w:rsidRPr="00DA352E" w14:paraId="6573A34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D8564C" w14:textId="635281EA" w:rsidR="00C978F0" w:rsidRPr="00A74797" w:rsidRDefault="00DA352E" w:rsidP="000F60EB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F60EB">
                  <w:t>2008, 2016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74797">
                  <w:t>MAK: 20 ppm</w:t>
                </w:r>
              </w:sdtContent>
            </w:sdt>
            <w:r w:rsidR="00A74797">
              <w:t xml:space="preserve"> (73 mg/m</w:t>
            </w:r>
            <w:r w:rsidR="00A74797">
              <w:rPr>
                <w:vertAlign w:val="superscript"/>
              </w:rPr>
              <w:t>3</w:t>
            </w:r>
            <w:r w:rsidR="00A74797">
              <w:t>)</w:t>
            </w:r>
          </w:p>
        </w:tc>
      </w:tr>
      <w:tr w:rsidR="00C978F0" w:rsidRPr="00DA352E" w14:paraId="43C84EDF" w14:textId="77777777" w:rsidTr="007A28BF">
        <w:trPr>
          <w:gridAfter w:val="1"/>
          <w:wAfter w:w="8" w:type="pct"/>
        </w:trPr>
        <w:tc>
          <w:tcPr>
            <w:tcW w:w="0" w:type="pct"/>
          </w:tcPr>
          <w:p w14:paraId="0D4BD8B4" w14:textId="77777777" w:rsidR="00D37848" w:rsidRDefault="00DD5608" w:rsidP="003365A5">
            <w:pPr>
              <w:pStyle w:val="Tabletextprimarysource"/>
            </w:pPr>
            <w:r>
              <w:t>Summary of additional data:</w:t>
            </w:r>
          </w:p>
          <w:p w14:paraId="76372DC1" w14:textId="30DF02F9" w:rsidR="00DD5608" w:rsidRDefault="00C15D61" w:rsidP="003365A5">
            <w:pPr>
              <w:pStyle w:val="Tabletextprimarysource"/>
            </w:pPr>
            <w:r>
              <w:t>Assessment grouped wi</w:t>
            </w:r>
            <w:r w:rsidR="007A28BF">
              <w:t xml:space="preserve">th other </w:t>
            </w:r>
            <w:proofErr w:type="spellStart"/>
            <w:r w:rsidR="007A28BF">
              <w:t>pentyl</w:t>
            </w:r>
            <w:proofErr w:type="spellEnd"/>
            <w:r w:rsidR="007A28BF">
              <w:t xml:space="preserve"> alcohol isomers;</w:t>
            </w:r>
            <w:r>
              <w:t xml:space="preserve"> 2</w:t>
            </w:r>
            <w:proofErr w:type="gramStart"/>
            <w:r>
              <w:t>,2</w:t>
            </w:r>
            <w:proofErr w:type="gramEnd"/>
            <w:r>
              <w:t xml:space="preserve">-dimethyl-1-propanol has the most sensitive endpoints. </w:t>
            </w:r>
            <w:r w:rsidR="00252697">
              <w:t xml:space="preserve">All isomers exhibit local irritation as the critical endpoint. </w:t>
            </w:r>
            <w:r w:rsidR="00DD5608">
              <w:t>MAK derived from NOAEC of 50 ppm for lachrymation and upper respiratory tract irritation</w:t>
            </w:r>
            <w:r>
              <w:t xml:space="preserve"> with a corresponding LOAEC of 225 ppm</w:t>
            </w:r>
            <w:r w:rsidR="00DD5608">
              <w:t xml:space="preserve"> in a sub</w:t>
            </w:r>
            <w:r w:rsidR="00FA6EF6">
              <w:t>-</w:t>
            </w:r>
            <w:r w:rsidR="00DD5608">
              <w:t>chronic inhalation study with rats.</w:t>
            </w:r>
            <w:r>
              <w:t xml:space="preserve"> The NOAEC is halved and rounded down to account for inter- and intra</w:t>
            </w:r>
            <w:r w:rsidR="00651FAE">
              <w:t xml:space="preserve">- </w:t>
            </w:r>
            <w:r>
              <w:t>species differences and translation from experimental conditions to the workplace.</w:t>
            </w:r>
            <w:r w:rsidR="000D4EF1">
              <w:t xml:space="preserve"> Previous excursion factor of 4 </w:t>
            </w:r>
            <w:r w:rsidR="000F60EB">
              <w:t xml:space="preserve">(established in 2007) </w:t>
            </w:r>
            <w:r w:rsidR="000D4EF1">
              <w:t xml:space="preserve">revised to 2 in 2016 based on analogy to </w:t>
            </w:r>
            <w:r w:rsidR="00693FF1">
              <w:t xml:space="preserve">acutely irritating effects of </w:t>
            </w:r>
            <w:r w:rsidR="000D4EF1">
              <w:t>other short-chain aliphatic alcohols.</w:t>
            </w:r>
          </w:p>
          <w:p w14:paraId="3470DF21" w14:textId="77777777" w:rsidR="00C15D61" w:rsidRDefault="00C15D61" w:rsidP="003365A5">
            <w:pPr>
              <w:pStyle w:val="Tabletextprimarysource"/>
            </w:pPr>
            <w:r>
              <w:t>Human data:</w:t>
            </w:r>
          </w:p>
          <w:p w14:paraId="79FCB5F0" w14:textId="12651A07" w:rsidR="00890484" w:rsidRDefault="00890484" w:rsidP="00C15D61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>Slight eye irritation at 0.3 ppm in chamber study (n=5, 2 h); no adverse effects to lung function or nasal irritation reported, results of this study not considered substantial enough to warrant re-evaluation of the current MAK</w:t>
            </w:r>
          </w:p>
          <w:p w14:paraId="0D18521F" w14:textId="079C1425" w:rsidR="002E2203" w:rsidRDefault="002E2203" w:rsidP="00C15D61">
            <w:pPr>
              <w:pStyle w:val="Tabletextprimarysource"/>
              <w:numPr>
                <w:ilvl w:val="0"/>
                <w:numId w:val="1"/>
              </w:numPr>
            </w:pPr>
            <w:r>
              <w:t>Erythema from occlusive dermal application at 25 µL of 75% aqueous solution (n=12, 5</w:t>
            </w:r>
            <w:r w:rsidR="00783FF2">
              <w:t> </w:t>
            </w:r>
            <w:r>
              <w:t>min)</w:t>
            </w:r>
          </w:p>
          <w:p w14:paraId="16B1E558" w14:textId="7AFF21D3" w:rsidR="002E2203" w:rsidRDefault="002E2203" w:rsidP="00C15D6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Some positive sensitisation results from patch test studies do not warrant a dermal sensitiser notation; positive results </w:t>
            </w:r>
            <w:r w:rsidR="007A28BF">
              <w:t>likely</w:t>
            </w:r>
            <w:r>
              <w:t xml:space="preserve"> associated with cross-reaction in individuals with ethyl alcohol allergy</w:t>
            </w:r>
            <w:r w:rsidR="007A28BF">
              <w:t>.</w:t>
            </w:r>
          </w:p>
          <w:p w14:paraId="54E210B1" w14:textId="77777777" w:rsidR="00890484" w:rsidRDefault="00890484" w:rsidP="00890484">
            <w:pPr>
              <w:pStyle w:val="Tabletextprimarysource"/>
            </w:pPr>
            <w:r>
              <w:t>Animal data:</w:t>
            </w:r>
          </w:p>
          <w:p w14:paraId="5A8C2B15" w14:textId="77777777" w:rsidR="00890484" w:rsidRDefault="00890484" w:rsidP="00890484">
            <w:pPr>
              <w:pStyle w:val="Tabletextprimarysource"/>
              <w:numPr>
                <w:ilvl w:val="0"/>
                <w:numId w:val="1"/>
              </w:numPr>
            </w:pPr>
            <w:r>
              <w:t>Good solubility in muscle, brain, lung, kidney, liver, spleen and blood tissue (rabbits, humans)</w:t>
            </w:r>
          </w:p>
          <w:p w14:paraId="623B8345" w14:textId="1626E733" w:rsidR="00C15D61" w:rsidRDefault="00890484" w:rsidP="00890484">
            <w:pPr>
              <w:pStyle w:val="Tabletextprimarysource"/>
              <w:numPr>
                <w:ilvl w:val="0"/>
                <w:numId w:val="1"/>
              </w:numPr>
            </w:pPr>
            <w:r>
              <w:t>Peak blood levels reached after 1 h and elimination within 4 h</w:t>
            </w:r>
            <w:r w:rsidR="002E2203">
              <w:t>; blood half-life of 1-pentanol: 12 min, excreted primarily in urine</w:t>
            </w:r>
          </w:p>
          <w:p w14:paraId="409D4C3B" w14:textId="1963B0B0" w:rsidR="002E2203" w:rsidRDefault="002E2203" w:rsidP="00890484">
            <w:pPr>
              <w:pStyle w:val="Tabletextprimarysource"/>
              <w:numPr>
                <w:ilvl w:val="0"/>
                <w:numId w:val="1"/>
              </w:numPr>
            </w:pPr>
            <w:r>
              <w:t>Sub</w:t>
            </w:r>
            <w:r w:rsidR="00FA6EF6">
              <w:t>-</w:t>
            </w:r>
            <w:r>
              <w:t>chronic inhalation study with exposure groups 50, 225, 1,000 ppm (mice, rats, dogs, 6</w:t>
            </w:r>
            <w:r w:rsidR="00783FF2">
              <w:t> </w:t>
            </w:r>
            <w:r>
              <w:t>h/d, 5 d/</w:t>
            </w:r>
            <w:proofErr w:type="spellStart"/>
            <w:r>
              <w:t>wk</w:t>
            </w:r>
            <w:proofErr w:type="spellEnd"/>
            <w:r>
              <w:t>, 90 d) reported;</w:t>
            </w:r>
          </w:p>
          <w:p w14:paraId="61DEE5A7" w14:textId="0B463040" w:rsidR="002E2203" w:rsidRDefault="002E2203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 xml:space="preserve">NOAEC (mice): </w:t>
            </w:r>
            <w:r w:rsidR="00252697">
              <w:t>1,000 ppm</w:t>
            </w:r>
          </w:p>
          <w:p w14:paraId="16E78E7E" w14:textId="77777777" w:rsidR="002E2203" w:rsidRDefault="00252697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NOAEC (dogs): 225 ppm for lachrymation</w:t>
            </w:r>
          </w:p>
          <w:p w14:paraId="497FF29E" w14:textId="77777777" w:rsidR="00252697" w:rsidRDefault="00252697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NOAEC (rats): 50 ppm, LOAEL: 225 ppm for lachrymation after 37</w:t>
            </w:r>
            <w:r w:rsidRPr="00252697">
              <w:rPr>
                <w:vertAlign w:val="superscript"/>
              </w:rPr>
              <w:t>th</w:t>
            </w:r>
            <w:r>
              <w:t xml:space="preserve"> exposure</w:t>
            </w:r>
          </w:p>
          <w:p w14:paraId="5CA817C4" w14:textId="2800A8DD" w:rsidR="00E671E1" w:rsidRDefault="00E671E1" w:rsidP="00E671E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Limited number of mutagenicity studies suggest </w:t>
            </w:r>
            <w:proofErr w:type="spellStart"/>
            <w:r>
              <w:t>pentanol</w:t>
            </w:r>
            <w:proofErr w:type="spellEnd"/>
            <w:r>
              <w:t xml:space="preserve"> isomers are non-genotoxic </w:t>
            </w:r>
            <w:r w:rsidR="00C11D44">
              <w:rPr>
                <w:i/>
              </w:rPr>
              <w:t>in </w:t>
            </w:r>
            <w:r>
              <w:rPr>
                <w:i/>
              </w:rPr>
              <w:t>vitro</w:t>
            </w:r>
            <w:r>
              <w:t xml:space="preserve"> or </w:t>
            </w:r>
            <w:r>
              <w:rPr>
                <w:i/>
              </w:rPr>
              <w:t>in vivo</w:t>
            </w:r>
            <w:r>
              <w:t xml:space="preserve">. </w:t>
            </w:r>
          </w:p>
          <w:p w14:paraId="204CF7BA" w14:textId="219B44B8" w:rsidR="007B5E95" w:rsidRPr="00DA352E" w:rsidRDefault="007B5E95" w:rsidP="008E5FE9">
            <w:pPr>
              <w:pStyle w:val="Tabletextprimarysource"/>
              <w:ind w:left="720"/>
            </w:pPr>
          </w:p>
        </w:tc>
      </w:tr>
      <w:tr w:rsidR="00C978F0" w:rsidRPr="00DA352E" w14:paraId="23B33D1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686929B" w14:textId="4443FE3B" w:rsidR="00C978F0" w:rsidRPr="00DA352E" w:rsidRDefault="00DA352E" w:rsidP="007A28B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3795C">
                  <w:t>2016</w:t>
                </w:r>
              </w:sdtContent>
            </w:sdt>
            <w:r w:rsidR="00D37848">
              <w:t xml:space="preserve"> </w:t>
            </w:r>
            <w:r w:rsidR="007A28BF">
              <w:t xml:space="preserve">                   </w:t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3795C" w:rsidRPr="00D3795C">
                  <w:t>TWA</w:t>
                </w:r>
                <w:r w:rsidR="00D3795C">
                  <w:t xml:space="preserve">: </w:t>
                </w:r>
                <w:r w:rsidR="00362178">
                  <w:t>5 ppm (18 mg/m</w:t>
                </w:r>
                <w:r w:rsidR="00362178" w:rsidRPr="00362178">
                  <w:rPr>
                    <w:vertAlign w:val="superscript"/>
                  </w:rPr>
                  <w:t>3</w:t>
                </w:r>
                <w:r w:rsidR="00362178">
                  <w:t xml:space="preserve">); </w:t>
                </w:r>
                <w:r w:rsidR="003B7516">
                  <w:t>STEL:</w:t>
                </w:r>
                <w:r w:rsidR="00362178">
                  <w:t xml:space="preserve"> 10 ppm (37 mg/m</w:t>
                </w:r>
                <w:r w:rsidR="00362178" w:rsidRPr="00362178">
                  <w:rPr>
                    <w:vertAlign w:val="superscript"/>
                  </w:rPr>
                  <w:t>3</w:t>
                </w:r>
                <w:r w:rsidR="00362178">
                  <w:t>)</w:t>
                </w:r>
              </w:sdtContent>
            </w:sdt>
          </w:p>
        </w:tc>
      </w:tr>
      <w:tr w:rsidR="00C978F0" w:rsidRPr="00DA352E" w14:paraId="3EAC1B8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CBA576" w14:textId="3E4D334E" w:rsidR="00C978F0" w:rsidRDefault="0092217B" w:rsidP="003365A5">
            <w:pPr>
              <w:pStyle w:val="Tabletextprimarysource"/>
            </w:pPr>
            <w:r>
              <w:t>Summary of additional data:</w:t>
            </w:r>
          </w:p>
          <w:p w14:paraId="32B60377" w14:textId="2BB0F3F7" w:rsidR="007D1F5C" w:rsidRDefault="00D16F92" w:rsidP="003365A5">
            <w:pPr>
              <w:pStyle w:val="Tabletextprimarysource"/>
            </w:pPr>
            <w:r>
              <w:t xml:space="preserve">Critical effect is local irritation. Recommended OEL based on weight of evidence including </w:t>
            </w:r>
            <w:r w:rsidR="00666E7B">
              <w:t xml:space="preserve">reports of </w:t>
            </w:r>
            <w:r>
              <w:t xml:space="preserve">human sensory data that </w:t>
            </w:r>
            <w:r w:rsidR="00666E7B">
              <w:t xml:space="preserve">suggest irritation occurs at 25 ppm and </w:t>
            </w:r>
            <w:r>
              <w:t>100 ppm, the proportionality between increasing carbon chain length and median respiratory depression (RD</w:t>
            </w:r>
            <w:r>
              <w:rPr>
                <w:vertAlign w:val="subscript"/>
              </w:rPr>
              <w:t>50</w:t>
            </w:r>
            <w:r>
              <w:t xml:space="preserve">) in mice and the </w:t>
            </w:r>
            <w:proofErr w:type="spellStart"/>
            <w:r>
              <w:t>irritational</w:t>
            </w:r>
            <w:proofErr w:type="spellEnd"/>
            <w:r>
              <w:t xml:space="preserve"> potency of longer and shorter chain alcohols. </w:t>
            </w:r>
          </w:p>
          <w:p w14:paraId="2579305C" w14:textId="332CCA8D" w:rsidR="00D16F92" w:rsidRDefault="00D16F92" w:rsidP="003365A5">
            <w:pPr>
              <w:pStyle w:val="Tabletextprimarysource"/>
            </w:pPr>
            <w:proofErr w:type="gramStart"/>
            <w:r w:rsidRPr="008F7965">
              <w:rPr>
                <w:i/>
              </w:rPr>
              <w:t>n</w:t>
            </w:r>
            <w:r>
              <w:t>-</w:t>
            </w:r>
            <w:proofErr w:type="spellStart"/>
            <w:r>
              <w:t>Octanol</w:t>
            </w:r>
            <w:proofErr w:type="spellEnd"/>
            <w:proofErr w:type="gramEnd"/>
            <w:r>
              <w:t xml:space="preserve"> has an irritation threshold of 6.4 ppm in humans versus </w:t>
            </w:r>
            <w:r w:rsidRPr="008F7965">
              <w:rPr>
                <w:i/>
              </w:rPr>
              <w:t>n</w:t>
            </w:r>
            <w:r>
              <w:t>-butanol at 25 ppm. Recommended TWA and STEL are therefore set at 5 and 10 ppm, respectively, to protect for local irritation.</w:t>
            </w:r>
          </w:p>
          <w:p w14:paraId="0196A372" w14:textId="40EF0B28" w:rsidR="00D16F92" w:rsidRPr="00D16F92" w:rsidRDefault="00D16F92" w:rsidP="003365A5">
            <w:pPr>
              <w:pStyle w:val="Tabletextprimarysource"/>
            </w:pPr>
            <w:r>
              <w:t>Skin notation not warranted for exposure below the recommended OEL.</w:t>
            </w:r>
          </w:p>
          <w:p w14:paraId="352C7AF7" w14:textId="77777777" w:rsidR="0092217B" w:rsidRDefault="0092217B" w:rsidP="003365A5">
            <w:pPr>
              <w:pStyle w:val="Tabletextprimarysource"/>
            </w:pPr>
            <w:r>
              <w:t>Human data:</w:t>
            </w:r>
          </w:p>
          <w:p w14:paraId="647AA2B3" w14:textId="3E12C746" w:rsidR="0092217B" w:rsidRDefault="0092217B" w:rsidP="0092217B">
            <w:pPr>
              <w:pStyle w:val="Tabletextprimarysource"/>
              <w:numPr>
                <w:ilvl w:val="0"/>
                <w:numId w:val="1"/>
              </w:numPr>
            </w:pPr>
            <w:r>
              <w:t>Throat irritation at 25</w:t>
            </w:r>
            <w:r w:rsidR="007D1F5C">
              <w:t xml:space="preserve"> </w:t>
            </w:r>
            <w:r>
              <w:t>ppm during mouth-only exposure (n=3</w:t>
            </w:r>
            <w:r w:rsidR="007D1F5C">
              <w:t>, 3–5 min</w:t>
            </w:r>
            <w:r>
              <w:t>)</w:t>
            </w:r>
          </w:p>
          <w:p w14:paraId="58C1D082" w14:textId="5599EBBD" w:rsidR="0092217B" w:rsidRDefault="0092217B" w:rsidP="0092217B">
            <w:pPr>
              <w:pStyle w:val="Tabletextprimarysource"/>
              <w:numPr>
                <w:ilvl w:val="0"/>
                <w:numId w:val="1"/>
              </w:numPr>
            </w:pPr>
            <w:r>
              <w:t>Chamber study (also cited by DFG, 2016) reported very mild eye irritation at 0.3 ppm (5</w:t>
            </w:r>
            <w:r w:rsidR="00783FF2">
              <w:t> </w:t>
            </w:r>
            <w:r>
              <w:t>mm on 100 mm analogue scale versus 3 mm for fresh air)</w:t>
            </w:r>
            <w:r w:rsidR="007C2BE1">
              <w:t>; agency considers 0.3 ppm to be a NOAEL</w:t>
            </w:r>
          </w:p>
          <w:p w14:paraId="3BB829B3" w14:textId="5E07C3F8" w:rsidR="003B7516" w:rsidRDefault="003B7516" w:rsidP="003B7516">
            <w:pPr>
              <w:pStyle w:val="Tabletextprimarysource"/>
              <w:numPr>
                <w:ilvl w:val="0"/>
                <w:numId w:val="1"/>
              </w:numPr>
            </w:pPr>
            <w:r>
              <w:t>No sensitisation in maximisation test with 8% in petrolatum (n=25)</w:t>
            </w:r>
            <w:r w:rsidR="008F7965">
              <w:t>.</w:t>
            </w:r>
          </w:p>
          <w:p w14:paraId="1ACAD6E7" w14:textId="77777777" w:rsidR="0092217B" w:rsidRDefault="0092217B" w:rsidP="0092217B">
            <w:pPr>
              <w:pStyle w:val="Tabletextprimarysource"/>
            </w:pPr>
            <w:r>
              <w:t>Animal data:</w:t>
            </w:r>
          </w:p>
          <w:p w14:paraId="3868F447" w14:textId="4C034BB0" w:rsidR="0092217B" w:rsidRDefault="00D16F92" w:rsidP="0092217B">
            <w:pPr>
              <w:pStyle w:val="Tabletextprimarysource"/>
              <w:numPr>
                <w:ilvl w:val="0"/>
                <w:numId w:val="1"/>
              </w:numPr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>:</w:t>
            </w:r>
            <w:r w:rsidR="0092217B">
              <w:t xml:space="preserve"> 730 ppm (mice)</w:t>
            </w:r>
          </w:p>
          <w:p w14:paraId="44227EC9" w14:textId="15D80705" w:rsidR="0092217B" w:rsidRDefault="0092217B" w:rsidP="0092217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Reduced </w:t>
            </w:r>
            <w:proofErr w:type="spellStart"/>
            <w:r>
              <w:t>bw</w:t>
            </w:r>
            <w:proofErr w:type="spellEnd"/>
            <w:r>
              <w:t xml:space="preserve"> gain and eye irritation at 2,725 ppm in developmental study (rabbits</w:t>
            </w:r>
            <w:r w:rsidR="003B7516">
              <w:t>, 6 h/d, gestation d 7–19</w:t>
            </w:r>
            <w:r>
              <w:t>)</w:t>
            </w:r>
          </w:p>
          <w:p w14:paraId="5A895EB2" w14:textId="0D9516ED" w:rsidR="0092217B" w:rsidRDefault="008F7965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m</w:t>
            </w:r>
            <w:r w:rsidR="0092217B">
              <w:t>aternal NOAEL: 681 ppm; foetal NOAEL: 2,725 ppm</w:t>
            </w:r>
          </w:p>
          <w:p w14:paraId="05E0B782" w14:textId="1F4F3799" w:rsidR="003B7516" w:rsidRDefault="003B7516" w:rsidP="0092217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Slight haematological alterations at 1,068 mg/kg/d </w:t>
            </w:r>
            <w:r w:rsidR="0092217B">
              <w:t xml:space="preserve">in repeat </w:t>
            </w:r>
            <w:r w:rsidR="007D1F5C">
              <w:t>feeding study</w:t>
            </w:r>
            <w:r>
              <w:t xml:space="preserve"> (male rats, drinking water, 90 d)</w:t>
            </w:r>
          </w:p>
          <w:p w14:paraId="15E27590" w14:textId="1CD0EA47" w:rsidR="0092217B" w:rsidRDefault="003B7516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NOAEL: 295 mg/kg/d</w:t>
            </w:r>
          </w:p>
          <w:p w14:paraId="4B06FA52" w14:textId="501BDE77" w:rsidR="007D1F5C" w:rsidRDefault="007D1F5C" w:rsidP="0092217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Weight of evidence suggests substance is non-genotoxic </w:t>
            </w:r>
            <w:r>
              <w:rPr>
                <w:i/>
              </w:rPr>
              <w:t>in vitro</w:t>
            </w:r>
            <w:r>
              <w:t xml:space="preserve"> and </w:t>
            </w:r>
            <w:r>
              <w:rPr>
                <w:i/>
              </w:rPr>
              <w:t>in vivo</w:t>
            </w:r>
            <w:r w:rsidR="00D37848">
              <w:t>.</w:t>
            </w:r>
          </w:p>
          <w:p w14:paraId="68BA5AB7" w14:textId="77777777" w:rsidR="003B7516" w:rsidRDefault="003B7516" w:rsidP="003B7516">
            <w:pPr>
              <w:pStyle w:val="Tabletextprimarysource"/>
            </w:pPr>
            <w:r>
              <w:t>Insufficient data to evaluate carcinogenicity</w:t>
            </w:r>
            <w:r w:rsidR="008F7965">
              <w:t>.</w:t>
            </w:r>
          </w:p>
          <w:p w14:paraId="2E3B9411" w14:textId="71BC8800" w:rsidR="00FA20BD" w:rsidRPr="00DA352E" w:rsidRDefault="00FA20BD" w:rsidP="003B7516">
            <w:pPr>
              <w:pStyle w:val="Tabletextprimarysource"/>
            </w:pPr>
          </w:p>
        </w:tc>
      </w:tr>
      <w:tr w:rsidR="00DA352E" w:rsidRPr="00DA352E" w14:paraId="6FECA91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A9E615" w14:textId="7F07A68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6217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62178">
                  <w:t>NA</w:t>
                </w:r>
                <w:proofErr w:type="spellEnd"/>
              </w:sdtContent>
            </w:sdt>
          </w:p>
        </w:tc>
      </w:tr>
      <w:tr w:rsidR="00DA352E" w:rsidRPr="00DA352E" w14:paraId="3307D9D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20B68B" w14:textId="58324DCD" w:rsidR="00DA352E" w:rsidRPr="00DA352E" w:rsidRDefault="00362178" w:rsidP="003365A5">
            <w:pPr>
              <w:pStyle w:val="Tabletextprimarysource"/>
            </w:pPr>
            <w:r>
              <w:t>No report</w:t>
            </w:r>
            <w:r w:rsidR="00D37848">
              <w:t>.</w:t>
            </w:r>
          </w:p>
        </w:tc>
      </w:tr>
      <w:tr w:rsidR="00DA352E" w:rsidRPr="00DA352E" w14:paraId="547BEEB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F3C39A3" w14:textId="35F7303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62178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62178" w:rsidRPr="00362178">
                  <w:t>TWA 8 hours</w:t>
                </w:r>
                <w:r w:rsidR="00362178">
                  <w:t>: 27 ppm (100 mg/m</w:t>
                </w:r>
                <w:r w:rsidR="00362178" w:rsidRPr="00362178">
                  <w:rPr>
                    <w:vertAlign w:val="superscript"/>
                  </w:rPr>
                  <w:t>3</w:t>
                </w:r>
                <w:r w:rsidR="00362178">
                  <w:t>)</w:t>
                </w:r>
              </w:sdtContent>
            </w:sdt>
          </w:p>
        </w:tc>
      </w:tr>
      <w:tr w:rsidR="00DA352E" w:rsidRPr="00DA352E" w14:paraId="5BC0295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D10756" w14:textId="528FEA6E" w:rsidR="007C2BE1" w:rsidRDefault="00C63C8F" w:rsidP="003365A5">
            <w:pPr>
              <w:pStyle w:val="Tabletextprimarysource"/>
            </w:pPr>
            <w:r>
              <w:t>Summary of additional data:</w:t>
            </w:r>
          </w:p>
          <w:p w14:paraId="77008924" w14:textId="1A5DABD6" w:rsidR="00C63C8F" w:rsidRDefault="003372F2" w:rsidP="003365A5">
            <w:pPr>
              <w:pStyle w:val="Tabletextprimarysource"/>
            </w:pPr>
            <w:r>
              <w:t xml:space="preserve">Health-based recommended </w:t>
            </w:r>
            <w:r w:rsidR="008F7965">
              <w:t>OEL</w:t>
            </w:r>
            <w:r>
              <w:t xml:space="preserve"> (HBROEL) derived from NOAEL of 1,000</w:t>
            </w:r>
            <w:r w:rsidR="00D37848">
              <w:t xml:space="preserve"> </w:t>
            </w:r>
            <w:r>
              <w:t>mg/kg/d in repeat gavage study with rats. A factor of 7/5 is applied to translate from a continuous exposure study to intermittent, 5 d/</w:t>
            </w:r>
            <w:proofErr w:type="spellStart"/>
            <w:r>
              <w:t>wk</w:t>
            </w:r>
            <w:proofErr w:type="spellEnd"/>
            <w:r>
              <w:t xml:space="preserve"> workplace exposure, to </w:t>
            </w:r>
            <w:r w:rsidR="00F52F8A">
              <w:t>obtain</w:t>
            </w:r>
            <w:r>
              <w:t xml:space="preserve"> a NAEL of 1,400 mg/kg. An </w:t>
            </w:r>
            <w:proofErr w:type="spellStart"/>
            <w:r>
              <w:t>allometric</w:t>
            </w:r>
            <w:proofErr w:type="spellEnd"/>
            <w:r>
              <w:t xml:space="preserve"> scaling factor of 4 is applied followed by an overall factor of 18 to account for inter- and </w:t>
            </w:r>
            <w:proofErr w:type="spellStart"/>
            <w:r>
              <w:t>intraspecies</w:t>
            </w:r>
            <w:proofErr w:type="spellEnd"/>
            <w:r>
              <w:t xml:space="preserve"> variation and translation from experimental conditions to the workplace to </w:t>
            </w:r>
            <w:r w:rsidR="00F52F8A">
              <w:t>obtain</w:t>
            </w:r>
            <w:r>
              <w:t xml:space="preserve"> a NAEL of 19.4</w:t>
            </w:r>
            <w:r w:rsidR="00783FF2">
              <w:t> </w:t>
            </w:r>
            <w:r>
              <w:t xml:space="preserve">mg/kg. An </w:t>
            </w:r>
            <w:r w:rsidR="00FA6EF6">
              <w:t xml:space="preserve">equivalent inhalational concentration (NOAEC) of </w:t>
            </w:r>
            <w:r w:rsidR="00FA6EF6">
              <w:rPr>
                <w:rFonts w:cs="Arial"/>
              </w:rPr>
              <w:t>≡</w:t>
            </w:r>
            <w:r w:rsidR="00FA6EF6">
              <w:t>27 ppm</w:t>
            </w:r>
            <w:r>
              <w:t xml:space="preserve"> </w:t>
            </w:r>
            <w:r w:rsidR="00FA6EF6">
              <w:t xml:space="preserve">from </w:t>
            </w:r>
            <w:r>
              <w:t xml:space="preserve">this NAEL </w:t>
            </w:r>
            <w:r w:rsidR="00FA6EF6">
              <w:t xml:space="preserve">is calculated </w:t>
            </w:r>
            <w:r>
              <w:t>assuming 100% absorption in a 70 kg individual with a respiratory volume of 10 m</w:t>
            </w:r>
            <w:r>
              <w:rPr>
                <w:vertAlign w:val="superscript"/>
              </w:rPr>
              <w:t>3</w:t>
            </w:r>
            <w:r>
              <w:t xml:space="preserve"> during a</w:t>
            </w:r>
            <w:r w:rsidR="00D37848">
              <w:t>n</w:t>
            </w:r>
            <w:r>
              <w:t xml:space="preserve"> 8</w:t>
            </w:r>
            <w:r w:rsidR="00D37848">
              <w:t xml:space="preserve"> </w:t>
            </w:r>
            <w:r w:rsidR="008F7965">
              <w:t>h shift.</w:t>
            </w:r>
          </w:p>
          <w:p w14:paraId="4B5B9FED" w14:textId="37DA909E" w:rsidR="003372F2" w:rsidRDefault="003372F2" w:rsidP="003365A5">
            <w:pPr>
              <w:pStyle w:val="Tabletextprimarysource"/>
            </w:pPr>
            <w:r>
              <w:t>Human data:</w:t>
            </w:r>
          </w:p>
          <w:p w14:paraId="56EAC10F" w14:textId="1951C5EE" w:rsidR="003372F2" w:rsidRPr="003372F2" w:rsidRDefault="003372F2" w:rsidP="003372F2">
            <w:pPr>
              <w:pStyle w:val="Tabletextprimarysource"/>
              <w:numPr>
                <w:ilvl w:val="0"/>
                <w:numId w:val="1"/>
              </w:numPr>
            </w:pPr>
            <w:r>
              <w:t>Volunteer inhalation study (cited in ACGIH, 2018) and mouth-only exposure study (cited in SCOEL, 2016) not considered in assessment due to lack of subjective measurements and methodological shortcomings)</w:t>
            </w:r>
            <w:r w:rsidR="008F7965">
              <w:t>.</w:t>
            </w:r>
          </w:p>
          <w:p w14:paraId="117786AA" w14:textId="77777777" w:rsidR="00DA352E" w:rsidRDefault="00BF043B" w:rsidP="003365A5">
            <w:pPr>
              <w:pStyle w:val="Tabletextprimarysource"/>
            </w:pPr>
            <w:r>
              <w:t>Animal data:</w:t>
            </w:r>
          </w:p>
          <w:p w14:paraId="38EA4F19" w14:textId="46BF40FD" w:rsidR="00C63C8F" w:rsidRDefault="00C63C8F" w:rsidP="00BF043B">
            <w:pPr>
              <w:pStyle w:val="Tabletextprimarysource"/>
              <w:numPr>
                <w:ilvl w:val="0"/>
                <w:numId w:val="1"/>
              </w:numPr>
            </w:pPr>
            <w:r>
              <w:t>Repeat gavage study with treatment groups 150, 500 and 1,000 mg/kg/d (rats, 7 d/</w:t>
            </w:r>
            <w:proofErr w:type="spellStart"/>
            <w:r>
              <w:t>wk</w:t>
            </w:r>
            <w:proofErr w:type="spellEnd"/>
            <w:r>
              <w:t>, 17</w:t>
            </w:r>
            <w:r w:rsidR="00783FF2">
              <w:t> </w:t>
            </w:r>
            <w:proofErr w:type="spellStart"/>
            <w:r w:rsidR="008F7965">
              <w:t>wk</w:t>
            </w:r>
            <w:proofErr w:type="spellEnd"/>
            <w:r w:rsidR="008F7965">
              <w:t>) reported;</w:t>
            </w:r>
          </w:p>
          <w:p w14:paraId="2F1CD1B4" w14:textId="7823E155" w:rsidR="00C63C8F" w:rsidRDefault="00FA6EF6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>S</w:t>
            </w:r>
            <w:r w:rsidR="00C63C8F">
              <w:t>light</w:t>
            </w:r>
            <w:r>
              <w:t>,</w:t>
            </w:r>
            <w:r w:rsidR="00C63C8F">
              <w:t xml:space="preserve"> but statistically significant</w:t>
            </w:r>
            <w:r>
              <w:t>,</w:t>
            </w:r>
            <w:r w:rsidR="00C63C8F">
              <w:t xml:space="preserve"> reduction in </w:t>
            </w:r>
            <w:r>
              <w:t xml:space="preserve">body weight </w:t>
            </w:r>
            <w:r w:rsidR="00C63C8F">
              <w:t>attributed to decreased food consumption due to high concentrations in feed</w:t>
            </w:r>
          </w:p>
          <w:p w14:paraId="2C5EDB6E" w14:textId="1388839A" w:rsidR="00C63C8F" w:rsidRDefault="00C63C8F" w:rsidP="007A28BF">
            <w:pPr>
              <w:pStyle w:val="Tabletextprimarysource"/>
              <w:numPr>
                <w:ilvl w:val="1"/>
                <w:numId w:val="2"/>
              </w:numPr>
              <w:ind w:left="1154" w:hanging="425"/>
            </w:pPr>
            <w:r>
              <w:t xml:space="preserve">NOAEL: 1,000 mg/kg/d; </w:t>
            </w:r>
            <w:r w:rsidR="00FA6EF6">
              <w:t xml:space="preserve">body weight </w:t>
            </w:r>
            <w:r>
              <w:t xml:space="preserve">reduction not </w:t>
            </w:r>
            <w:r w:rsidR="003372F2">
              <w:t>considered</w:t>
            </w:r>
            <w:r>
              <w:t xml:space="preserve"> substance-related by cited study or by agency</w:t>
            </w:r>
          </w:p>
          <w:p w14:paraId="68745078" w14:textId="77777777" w:rsidR="00BF043B" w:rsidRDefault="00BF043B" w:rsidP="00BF043B">
            <w:pPr>
              <w:pStyle w:val="Tabletextprimarysource"/>
              <w:numPr>
                <w:ilvl w:val="0"/>
                <w:numId w:val="1"/>
              </w:numPr>
            </w:pPr>
            <w:r>
              <w:t>Equivocal mutagenicity results; increased chromosomal aberrations in bone marrow cells at 1/5 LD</w:t>
            </w:r>
            <w:r>
              <w:rPr>
                <w:vertAlign w:val="subscript"/>
              </w:rPr>
              <w:t>50</w:t>
            </w:r>
            <w:r>
              <w:t xml:space="preserve"> in rats</w:t>
            </w:r>
            <w:r w:rsidR="00C63C8F">
              <w:t xml:space="preserve">, negative results </w:t>
            </w:r>
            <w:r w:rsidR="00C63C8F">
              <w:rPr>
                <w:i/>
              </w:rPr>
              <w:t>in vitro</w:t>
            </w:r>
            <w:r w:rsidR="00C63C8F">
              <w:t xml:space="preserve"> with and without metabolic activation in bacterial cell lines and in human cell via a Comet assay</w:t>
            </w:r>
            <w:r w:rsidR="00E345CA">
              <w:t>.</w:t>
            </w:r>
          </w:p>
          <w:p w14:paraId="3181CDC7" w14:textId="7BEDAF8B" w:rsidR="00783FF2" w:rsidRPr="00DA352E" w:rsidRDefault="00783FF2" w:rsidP="008E5FE9">
            <w:pPr>
              <w:pStyle w:val="Tabletextprimarysource"/>
              <w:ind w:left="720"/>
            </w:pPr>
          </w:p>
        </w:tc>
      </w:tr>
    </w:tbl>
    <w:p w14:paraId="75FE53C7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9026" w:type="dxa"/>
        <w:tblInd w:w="-108" w:type="dxa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108"/>
        <w:gridCol w:w="314"/>
        <w:gridCol w:w="108"/>
        <w:gridCol w:w="553"/>
        <w:gridCol w:w="108"/>
        <w:gridCol w:w="6344"/>
      </w:tblGrid>
      <w:tr w:rsidR="00543621" w:rsidRPr="00263255" w14:paraId="1242A16C" w14:textId="77777777" w:rsidTr="008F7965">
        <w:trPr>
          <w:cantSplit/>
          <w:trHeight w:val="393"/>
          <w:tblHeader/>
        </w:trPr>
        <w:tc>
          <w:tcPr>
            <w:tcW w:w="1599" w:type="dxa"/>
            <w:gridSpan w:val="2"/>
            <w:shd w:val="clear" w:color="auto" w:fill="BFBFBF" w:themeFill="background1" w:themeFillShade="BF"/>
            <w:vAlign w:val="center"/>
          </w:tcPr>
          <w:p w14:paraId="38E0F87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gridSpan w:val="2"/>
            <w:shd w:val="clear" w:color="auto" w:fill="BFBFBF" w:themeFill="background1" w:themeFillShade="BF"/>
            <w:vAlign w:val="center"/>
          </w:tcPr>
          <w:p w14:paraId="29A810B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gridSpan w:val="2"/>
            <w:shd w:val="clear" w:color="auto" w:fill="BFBFBF" w:themeFill="background1" w:themeFillShade="BF"/>
            <w:vAlign w:val="center"/>
          </w:tcPr>
          <w:p w14:paraId="2F9549F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344" w:type="dxa"/>
            <w:shd w:val="clear" w:color="auto" w:fill="BFBFBF" w:themeFill="background1" w:themeFillShade="BF"/>
            <w:vAlign w:val="center"/>
          </w:tcPr>
          <w:p w14:paraId="0D445A2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543621" w:rsidRPr="004C23F4" w14:paraId="7776A364" w14:textId="77777777" w:rsidTr="008F7965">
        <w:trPr>
          <w:cantSplit/>
        </w:trPr>
        <w:tc>
          <w:tcPr>
            <w:tcW w:w="1491" w:type="dxa"/>
          </w:tcPr>
          <w:p w14:paraId="24F01CC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  <w:gridSpan w:val="2"/>
          </w:tcPr>
          <w:p w14:paraId="2A8C4400" w14:textId="07C7D54C" w:rsidR="004966BF" w:rsidRPr="00CE617F" w:rsidRDefault="00F20EA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F043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  <w:gridSpan w:val="2"/>
          </w:tcPr>
          <w:p w14:paraId="621981B3" w14:textId="113EBAFA" w:rsidR="004966BF" w:rsidRPr="004C23F4" w:rsidRDefault="00BF043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2" w:type="dxa"/>
            <w:gridSpan w:val="2"/>
          </w:tcPr>
          <w:p w14:paraId="0444B49C" w14:textId="7ECBB329" w:rsidR="00543621" w:rsidRDefault="00543621" w:rsidP="008F7965">
            <w:pPr>
              <w:pStyle w:val="Tabletextprimarysource"/>
              <w:numPr>
                <w:ilvl w:val="0"/>
                <w:numId w:val="1"/>
              </w:numPr>
              <w:ind w:left="729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Maternal </w:t>
            </w:r>
            <w:r w:rsidRPr="007A28BF">
              <w:t>NOAEL</w:t>
            </w:r>
            <w:r>
              <w:rPr>
                <w:rStyle w:val="checkbox"/>
                <w:rFonts w:ascii="Arial" w:hAnsi="Arial" w:cs="Arial"/>
              </w:rPr>
              <w:t xml:space="preserve"> of 681 ppm in inhalational developmental study used as starting point for calculating</w:t>
            </w:r>
            <w:r w:rsidR="00760C20">
              <w:rPr>
                <w:rStyle w:val="checkbox"/>
                <w:rFonts w:ascii="Arial" w:hAnsi="Arial" w:cs="Arial"/>
              </w:rPr>
              <w:t xml:space="preserve"> long-term</w:t>
            </w:r>
            <w:r>
              <w:rPr>
                <w:rStyle w:val="checkbox"/>
                <w:rFonts w:ascii="Arial" w:hAnsi="Arial" w:cs="Arial"/>
              </w:rPr>
              <w:t xml:space="preserve"> derived no-effect-level (DNEL)</w:t>
            </w:r>
          </w:p>
          <w:p w14:paraId="4F7E3577" w14:textId="77839020" w:rsidR="00BF043B" w:rsidRPr="00BF043B" w:rsidRDefault="008F7965" w:rsidP="008F7965">
            <w:pPr>
              <w:pStyle w:val="Tabletextprimarysource"/>
              <w:numPr>
                <w:ilvl w:val="1"/>
                <w:numId w:val="2"/>
              </w:numPr>
              <w:ind w:left="1163" w:hanging="42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543621">
              <w:rPr>
                <w:rStyle w:val="checkbox"/>
                <w:rFonts w:ascii="Arial" w:hAnsi="Arial" w:cs="Arial"/>
              </w:rPr>
              <w:t>onversion to 8 h working exposure affords a NOAEL of 350 ppm</w:t>
            </w:r>
          </w:p>
          <w:p w14:paraId="24A71CE1" w14:textId="47D51680" w:rsidR="00BF043B" w:rsidRDefault="00BF043B" w:rsidP="008F7965">
            <w:pPr>
              <w:pStyle w:val="Tabletextprimarysource"/>
              <w:numPr>
                <w:ilvl w:val="1"/>
                <w:numId w:val="2"/>
              </w:numPr>
              <w:ind w:left="1163" w:hanging="425"/>
              <w:rPr>
                <w:rStyle w:val="checkbox"/>
                <w:rFonts w:ascii="Arial" w:hAnsi="Arial" w:cs="Arial"/>
              </w:rPr>
            </w:pPr>
            <w:r w:rsidRPr="00BF043B">
              <w:rPr>
                <w:rStyle w:val="checkbox"/>
                <w:rFonts w:ascii="Arial" w:hAnsi="Arial" w:cs="Arial"/>
              </w:rPr>
              <w:t xml:space="preserve">factor of 5 was </w:t>
            </w:r>
            <w:r w:rsidR="00543621">
              <w:rPr>
                <w:rStyle w:val="checkbox"/>
                <w:rFonts w:ascii="Arial" w:hAnsi="Arial" w:cs="Arial"/>
              </w:rPr>
              <w:t xml:space="preserve">applied for </w:t>
            </w:r>
            <w:proofErr w:type="spellStart"/>
            <w:r w:rsidR="00543621">
              <w:rPr>
                <w:rStyle w:val="checkbox"/>
                <w:rFonts w:ascii="Arial" w:hAnsi="Arial" w:cs="Arial"/>
              </w:rPr>
              <w:t>intraspecies</w:t>
            </w:r>
            <w:proofErr w:type="spellEnd"/>
            <w:r w:rsidR="00543621">
              <w:rPr>
                <w:rStyle w:val="checkbox"/>
                <w:rFonts w:ascii="Arial" w:hAnsi="Arial" w:cs="Arial"/>
              </w:rPr>
              <w:t xml:space="preserve"> differences and a </w:t>
            </w:r>
            <w:r w:rsidR="00543621" w:rsidRPr="007A28BF">
              <w:t>factor</w:t>
            </w:r>
            <w:r w:rsidR="00543621">
              <w:rPr>
                <w:rStyle w:val="checkbox"/>
                <w:rFonts w:ascii="Arial" w:hAnsi="Arial" w:cs="Arial"/>
              </w:rPr>
              <w:t xml:space="preserve"> of 2.5 for remaining uncertainty in the database to arrive at the DNEL of 28 ppm (</w:t>
            </w:r>
            <w:r w:rsidR="00D37848">
              <w:rPr>
                <w:rStyle w:val="checkbox"/>
                <w:rFonts w:ascii="Arial" w:hAnsi="Arial" w:cs="Arial"/>
              </w:rPr>
              <w:t xml:space="preserve">100 </w:t>
            </w:r>
            <w:r w:rsidR="00543621">
              <w:rPr>
                <w:rStyle w:val="checkbox"/>
                <w:rFonts w:ascii="Arial" w:hAnsi="Arial" w:cs="Arial"/>
              </w:rPr>
              <w:t>mg/m</w:t>
            </w:r>
            <w:r w:rsidR="00543621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543621">
              <w:rPr>
                <w:rStyle w:val="checkbox"/>
                <w:rFonts w:ascii="Arial" w:hAnsi="Arial" w:cs="Arial"/>
              </w:rPr>
              <w:t>)</w:t>
            </w:r>
          </w:p>
          <w:p w14:paraId="104F3379" w14:textId="74BBD079" w:rsidR="00543621" w:rsidRDefault="008F7965" w:rsidP="008F7965">
            <w:pPr>
              <w:pStyle w:val="Tabletextprimarysource"/>
              <w:numPr>
                <w:ilvl w:val="1"/>
                <w:numId w:val="2"/>
              </w:numPr>
              <w:ind w:left="1163" w:hanging="42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</w:t>
            </w:r>
            <w:r w:rsidR="00543621">
              <w:rPr>
                <w:rStyle w:val="checkbox"/>
                <w:rFonts w:ascii="Arial" w:hAnsi="Arial" w:cs="Arial"/>
              </w:rPr>
              <w:t>gency notes agreement of DNEL with DFG MAK (</w:t>
            </w:r>
            <w:r w:rsidR="006612A8">
              <w:rPr>
                <w:rStyle w:val="checkbox"/>
                <w:rFonts w:ascii="Arial" w:hAnsi="Arial" w:cs="Arial"/>
              </w:rPr>
              <w:t>2008</w:t>
            </w:r>
            <w:r w:rsidR="00543621">
              <w:rPr>
                <w:rStyle w:val="checkbox"/>
                <w:rFonts w:ascii="Arial" w:hAnsi="Arial" w:cs="Arial"/>
              </w:rPr>
              <w:t>)</w:t>
            </w:r>
          </w:p>
          <w:p w14:paraId="72A6B375" w14:textId="64399D7A" w:rsidR="00760C20" w:rsidRPr="00BF043B" w:rsidRDefault="00760C20" w:rsidP="008F7965">
            <w:pPr>
              <w:pStyle w:val="Tabletextprimarysource"/>
              <w:numPr>
                <w:ilvl w:val="0"/>
                <w:numId w:val="1"/>
              </w:numPr>
              <w:ind w:left="729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Short-</w:t>
            </w:r>
            <w:r w:rsidRPr="007A28BF">
              <w:t>term</w:t>
            </w:r>
            <w:r>
              <w:rPr>
                <w:rStyle w:val="checkbox"/>
                <w:rFonts w:ascii="Arial" w:hAnsi="Arial" w:cs="Arial"/>
              </w:rPr>
              <w:t xml:space="preserve"> DNEL of 80 ppm adopted from DFG (</w:t>
            </w:r>
            <w:r w:rsidR="006612A8">
              <w:rPr>
                <w:rStyle w:val="checkbox"/>
                <w:rFonts w:ascii="Arial" w:hAnsi="Arial" w:cs="Arial"/>
              </w:rPr>
              <w:t>2008</w:t>
            </w:r>
            <w:r>
              <w:rPr>
                <w:rStyle w:val="checkbox"/>
                <w:rFonts w:ascii="Arial" w:hAnsi="Arial" w:cs="Arial"/>
              </w:rPr>
              <w:t>) excursion factor</w:t>
            </w:r>
          </w:p>
          <w:p w14:paraId="079197BB" w14:textId="792BF519" w:rsidR="004966BF" w:rsidRPr="004C23F4" w:rsidRDefault="00543621" w:rsidP="008F7965">
            <w:pPr>
              <w:pStyle w:val="Tabletextprimarysource"/>
              <w:numPr>
                <w:ilvl w:val="0"/>
                <w:numId w:val="1"/>
              </w:numPr>
              <w:ind w:left="729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BF043B" w:rsidRPr="00BF043B">
              <w:rPr>
                <w:rStyle w:val="checkbox"/>
                <w:rFonts w:ascii="Arial" w:hAnsi="Arial" w:cs="Arial"/>
              </w:rPr>
              <w:t xml:space="preserve">o </w:t>
            </w:r>
            <w:r w:rsidR="00BF043B" w:rsidRPr="007A28BF">
              <w:t>indications</w:t>
            </w:r>
            <w:r w:rsidR="00BF043B" w:rsidRPr="00BF043B">
              <w:rPr>
                <w:rStyle w:val="checkbox"/>
                <w:rFonts w:ascii="Arial" w:hAnsi="Arial" w:cs="Arial"/>
              </w:rPr>
              <w:t xml:space="preserve"> of a carcinogenic potential from</w:t>
            </w:r>
            <w:r>
              <w:rPr>
                <w:rStyle w:val="checkbox"/>
                <w:rFonts w:ascii="Arial" w:hAnsi="Arial" w:cs="Arial"/>
              </w:rPr>
              <w:t xml:space="preserve"> available </w:t>
            </w:r>
            <w:r w:rsidR="00BF043B" w:rsidRPr="00543621">
              <w:rPr>
                <w:rStyle w:val="checkbox"/>
                <w:rFonts w:ascii="Arial" w:hAnsi="Arial" w:cs="Arial"/>
                <w:i/>
              </w:rPr>
              <w:t>in</w:t>
            </w:r>
            <w:r w:rsidR="00BF043B" w:rsidRPr="00BF043B">
              <w:rPr>
                <w:rStyle w:val="checkbox"/>
                <w:rFonts w:ascii="Arial" w:hAnsi="Arial" w:cs="Arial"/>
              </w:rPr>
              <w:t xml:space="preserve"> </w:t>
            </w:r>
            <w:r w:rsidR="00BF043B" w:rsidRPr="00543621">
              <w:rPr>
                <w:rStyle w:val="checkbox"/>
                <w:rFonts w:ascii="Arial" w:hAnsi="Arial" w:cs="Arial"/>
                <w:i/>
              </w:rPr>
              <w:t>vitro</w:t>
            </w:r>
            <w:r w:rsidR="00BF043B" w:rsidRPr="00BF043B">
              <w:rPr>
                <w:rStyle w:val="checkbox"/>
                <w:rFonts w:ascii="Arial" w:hAnsi="Arial" w:cs="Arial"/>
              </w:rPr>
              <w:t xml:space="preserve"> and </w:t>
            </w:r>
            <w:r w:rsidR="00BF043B" w:rsidRPr="00543621">
              <w:rPr>
                <w:rStyle w:val="checkbox"/>
                <w:rFonts w:ascii="Arial" w:hAnsi="Arial" w:cs="Arial"/>
                <w:i/>
              </w:rPr>
              <w:t>in</w:t>
            </w:r>
            <w:r w:rsidR="00BF043B" w:rsidRPr="00BF043B">
              <w:rPr>
                <w:rStyle w:val="checkbox"/>
                <w:rFonts w:ascii="Arial" w:hAnsi="Arial" w:cs="Arial"/>
              </w:rPr>
              <w:t xml:space="preserve"> </w:t>
            </w:r>
            <w:r w:rsidR="00BF043B" w:rsidRPr="00543621">
              <w:rPr>
                <w:rStyle w:val="checkbox"/>
                <w:rFonts w:ascii="Arial" w:hAnsi="Arial" w:cs="Arial"/>
                <w:i/>
              </w:rPr>
              <w:t>vivo</w:t>
            </w:r>
            <w:r w:rsidR="00BF043B" w:rsidRPr="00BF043B">
              <w:rPr>
                <w:rStyle w:val="checkbox"/>
                <w:rFonts w:ascii="Arial" w:hAnsi="Arial" w:cs="Arial"/>
              </w:rPr>
              <w:t xml:space="preserve"> </w:t>
            </w:r>
            <w:proofErr w:type="spellStart"/>
            <w:r w:rsidR="00BF043B" w:rsidRPr="00BF043B">
              <w:rPr>
                <w:rStyle w:val="checkbox"/>
                <w:rFonts w:ascii="Arial" w:hAnsi="Arial" w:cs="Arial"/>
              </w:rPr>
              <w:t>genotoxicity</w:t>
            </w:r>
            <w:proofErr w:type="spellEnd"/>
            <w:r w:rsidR="00BF043B" w:rsidRPr="00BF043B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data</w:t>
            </w:r>
            <w:r w:rsidR="00D37848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543621" w:rsidRPr="004C23F4" w14:paraId="5DD9580D" w14:textId="77777777" w:rsidTr="008F7965">
        <w:trPr>
          <w:cantSplit/>
        </w:trPr>
        <w:tc>
          <w:tcPr>
            <w:tcW w:w="1491" w:type="dxa"/>
          </w:tcPr>
          <w:p w14:paraId="2B01A422" w14:textId="7F2697FB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  <w:gridSpan w:val="2"/>
          </w:tcPr>
          <w:p w14:paraId="79027674" w14:textId="65D48EFF" w:rsidR="004966BF" w:rsidRDefault="00F20EA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F043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  <w:gridSpan w:val="2"/>
          </w:tcPr>
          <w:p w14:paraId="6E8732A1" w14:textId="30D54214" w:rsidR="004966BF" w:rsidRPr="004C23F4" w:rsidRDefault="00BF043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2" w:type="dxa"/>
            <w:gridSpan w:val="2"/>
          </w:tcPr>
          <w:p w14:paraId="53AE394E" w14:textId="2666C455" w:rsidR="004966BF" w:rsidRPr="004C23F4" w:rsidRDefault="00BF043B" w:rsidP="00AB7CFC">
            <w:pPr>
              <w:pStyle w:val="ListBullet"/>
              <w:numPr>
                <w:ilvl w:val="0"/>
                <w:numId w:val="4"/>
              </w:numPr>
              <w:rPr>
                <w:rStyle w:val="checkbox"/>
                <w:rFonts w:ascii="Arial" w:hAnsi="Arial" w:cs="Arial"/>
              </w:rPr>
            </w:pPr>
            <w:r>
              <w:t xml:space="preserve">In absence of suitable inhalational data, </w:t>
            </w:r>
            <w:r w:rsidRPr="00BF043B">
              <w:t>IDLH based on acute oral toxicity data in humans and animals</w:t>
            </w:r>
            <w:r w:rsidR="00D37848">
              <w:t>.</w:t>
            </w:r>
          </w:p>
        </w:tc>
      </w:tr>
    </w:tbl>
    <w:bookmarkEnd w:id="1"/>
    <w:p w14:paraId="6FEFB3E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A5E8C5C" w14:textId="77777777" w:rsidTr="00BF043B">
        <w:trPr>
          <w:trHeight w:val="454"/>
          <w:tblHeader/>
        </w:trPr>
        <w:tc>
          <w:tcPr>
            <w:tcW w:w="6603" w:type="dxa"/>
            <w:vAlign w:val="center"/>
          </w:tcPr>
          <w:p w14:paraId="59D5A2D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3D62BE3" w14:textId="32832632" w:rsidR="002E0D61" w:rsidRDefault="00BF043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04E5B47" w14:textId="77777777" w:rsidTr="00BF043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F328070" w14:textId="53791691" w:rsidR="008A36CF" w:rsidRPr="006901A2" w:rsidRDefault="00BF043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F76169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4C36246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06339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41FEA7F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73EAD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4B869C0" w14:textId="77777777" w:rsidTr="00812887">
        <w:trPr>
          <w:cantSplit/>
        </w:trPr>
        <w:tc>
          <w:tcPr>
            <w:tcW w:w="3227" w:type="dxa"/>
          </w:tcPr>
          <w:p w14:paraId="39F62C1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406D223" w14:textId="6DA5F68F" w:rsidR="00687890" w:rsidRPr="00DD2F9B" w:rsidRDefault="00B10797" w:rsidP="00DD2F9B">
            <w:pPr>
              <w:pStyle w:val="Tablefont"/>
            </w:pPr>
            <w:r w:rsidRPr="00B10797">
              <w:t>—</w:t>
            </w:r>
          </w:p>
        </w:tc>
      </w:tr>
      <w:tr w:rsidR="007925F0" w:rsidRPr="004C23F4" w14:paraId="1A6E2BD7" w14:textId="77777777" w:rsidTr="00812887">
        <w:trPr>
          <w:cantSplit/>
        </w:trPr>
        <w:tc>
          <w:tcPr>
            <w:tcW w:w="3227" w:type="dxa"/>
          </w:tcPr>
          <w:p w14:paraId="31BDA6D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3B679DE" w14:textId="65161719" w:rsidR="007925F0" w:rsidRPr="00DD2F9B" w:rsidRDefault="00B1079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57616F0" w14:textId="77777777" w:rsidTr="00812887">
        <w:trPr>
          <w:cantSplit/>
        </w:trPr>
        <w:tc>
          <w:tcPr>
            <w:tcW w:w="3227" w:type="dxa"/>
          </w:tcPr>
          <w:p w14:paraId="0F94AA0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54C917C" w14:textId="42F3D9A2" w:rsidR="00AF483F" w:rsidRPr="00DD2F9B" w:rsidRDefault="00B1079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DB171A7" w14:textId="77777777" w:rsidTr="00812887">
        <w:trPr>
          <w:cantSplit/>
        </w:trPr>
        <w:tc>
          <w:tcPr>
            <w:tcW w:w="3227" w:type="dxa"/>
          </w:tcPr>
          <w:p w14:paraId="4E5AEDA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15CBC53" w14:textId="6445BF3A" w:rsidR="00687890" w:rsidRPr="00DD2F9B" w:rsidRDefault="00B1079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99A738" w14:textId="77777777" w:rsidTr="00812887">
        <w:trPr>
          <w:cantSplit/>
        </w:trPr>
        <w:tc>
          <w:tcPr>
            <w:tcW w:w="3227" w:type="dxa"/>
          </w:tcPr>
          <w:p w14:paraId="0B61E1A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51B3A55" w14:textId="19D4C5DB" w:rsidR="00E41A26" w:rsidRPr="00BF043B" w:rsidRDefault="00BF043B" w:rsidP="00DD2F9B">
            <w:pPr>
              <w:pStyle w:val="Tablefont"/>
              <w:rPr>
                <w:rFonts w:cs="Arial"/>
              </w:rPr>
            </w:pPr>
            <w:r>
              <w:rPr>
                <w:rFonts w:cs="Arial"/>
              </w:rPr>
              <w:t>—</w:t>
            </w:r>
          </w:p>
        </w:tc>
      </w:tr>
      <w:tr w:rsidR="002E0D61" w:rsidRPr="004C23F4" w14:paraId="12AF0324" w14:textId="77777777" w:rsidTr="00812887">
        <w:trPr>
          <w:cantSplit/>
        </w:trPr>
        <w:tc>
          <w:tcPr>
            <w:tcW w:w="3227" w:type="dxa"/>
          </w:tcPr>
          <w:p w14:paraId="61B0EF1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BD19787" w14:textId="65143386" w:rsidR="002E0D61" w:rsidRPr="00DD2F9B" w:rsidRDefault="00B10797" w:rsidP="00DD2F9B">
            <w:pPr>
              <w:pStyle w:val="Tablefont"/>
            </w:pPr>
            <w:r w:rsidRPr="00B10797">
              <w:t>—</w:t>
            </w:r>
          </w:p>
        </w:tc>
      </w:tr>
      <w:tr w:rsidR="002E0D61" w:rsidRPr="004C23F4" w14:paraId="7DE2FF1F" w14:textId="77777777" w:rsidTr="00812887">
        <w:trPr>
          <w:cantSplit/>
        </w:trPr>
        <w:tc>
          <w:tcPr>
            <w:tcW w:w="3227" w:type="dxa"/>
          </w:tcPr>
          <w:p w14:paraId="5F18418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0970D38" w14:textId="42FEEAF6" w:rsidR="002E0D61" w:rsidRPr="00DD2F9B" w:rsidRDefault="00B1079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A0EFD02" w14:textId="77777777" w:rsidTr="00812887">
        <w:trPr>
          <w:cantSplit/>
        </w:trPr>
        <w:tc>
          <w:tcPr>
            <w:tcW w:w="3227" w:type="dxa"/>
          </w:tcPr>
          <w:p w14:paraId="08624A0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DBF2C30" w14:textId="19654E4C" w:rsidR="002E0D61" w:rsidRPr="00DD2F9B" w:rsidRDefault="00B10797" w:rsidP="00DD2F9B">
            <w:pPr>
              <w:pStyle w:val="Tablefont"/>
            </w:pPr>
            <w:r w:rsidRPr="00B10797">
              <w:t>—</w:t>
            </w:r>
          </w:p>
        </w:tc>
      </w:tr>
      <w:tr w:rsidR="002E0D61" w:rsidRPr="004C23F4" w14:paraId="35D5EC35" w14:textId="77777777" w:rsidTr="00812887">
        <w:trPr>
          <w:cantSplit/>
        </w:trPr>
        <w:tc>
          <w:tcPr>
            <w:tcW w:w="3227" w:type="dxa"/>
          </w:tcPr>
          <w:p w14:paraId="5C0D322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14B039A" w14:textId="179A5740" w:rsidR="002E0D61" w:rsidRPr="00DD2F9B" w:rsidRDefault="00B10797" w:rsidP="00DD2F9B">
            <w:pPr>
              <w:pStyle w:val="Tablefont"/>
            </w:pPr>
            <w:r w:rsidRPr="00B10797">
              <w:t>—</w:t>
            </w:r>
          </w:p>
        </w:tc>
      </w:tr>
      <w:tr w:rsidR="00386093" w:rsidRPr="004C23F4" w14:paraId="3CB46562" w14:textId="77777777" w:rsidTr="00812887">
        <w:trPr>
          <w:cantSplit/>
        </w:trPr>
        <w:tc>
          <w:tcPr>
            <w:tcW w:w="3227" w:type="dxa"/>
          </w:tcPr>
          <w:p w14:paraId="6AD38F1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1261304" w14:textId="4947097A" w:rsidR="00386093" w:rsidRPr="00DD2F9B" w:rsidRDefault="00B1079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42CF526" w14:textId="77777777" w:rsidTr="00812887">
        <w:trPr>
          <w:cantSplit/>
        </w:trPr>
        <w:tc>
          <w:tcPr>
            <w:tcW w:w="3227" w:type="dxa"/>
          </w:tcPr>
          <w:p w14:paraId="6FA22DC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BC30894" w14:textId="28D99387" w:rsidR="00386093" w:rsidRPr="00DD2F9B" w:rsidRDefault="00B1079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BC5956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601B87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0C98A8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B0F30A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A6DC9A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ED4F2A8" w14:textId="0C6BDA93" w:rsidR="00932DCE" w:rsidRPr="004C23F4" w:rsidRDefault="00760C20" w:rsidP="00F9496B">
            <w:pPr>
              <w:pStyle w:val="Tablefont"/>
            </w:pPr>
            <w:r>
              <w:t>Insufficient data to assign a skin notation</w:t>
            </w:r>
          </w:p>
        </w:tc>
      </w:tr>
    </w:tbl>
    <w:bookmarkEnd w:id="4"/>
    <w:p w14:paraId="10DF105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8C7AFC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881FA2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D664DEA" w14:textId="4D2D5E7B" w:rsidR="00EB3D1B" w:rsidRDefault="00B1079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FAF076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928F06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8BB2D3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FC379EA" w14:textId="2F565D47" w:rsidR="001B79E5" w:rsidRDefault="00B10797" w:rsidP="001B79E5">
                <w:pPr>
                  <w:pStyle w:val="Tablefont"/>
                </w:pPr>
                <w:r>
                  <w:t>88.15</w:t>
                </w:r>
              </w:p>
            </w:tc>
          </w:sdtContent>
        </w:sdt>
      </w:tr>
      <w:tr w:rsidR="00A31D99" w:rsidRPr="004C23F4" w14:paraId="47975FA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29B9CE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6DFED17" w14:textId="283F173B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10797">
                  <w:t>3.60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10797">
                  <w:t>0.278</w:t>
                </w:r>
              </w:sdtContent>
            </w:sdt>
            <w:r w:rsidRPr="00B10797">
              <w:t xml:space="preserve"> </w:t>
            </w:r>
            <w:r>
              <w:t>ppm</w:t>
            </w:r>
          </w:p>
        </w:tc>
      </w:tr>
      <w:tr w:rsidR="00687890" w:rsidRPr="004C23F4" w14:paraId="4F58169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53D4A6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5C4F3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F5BD27B" w14:textId="77777777" w:rsidTr="00EA6243">
        <w:trPr>
          <w:cantSplit/>
        </w:trPr>
        <w:tc>
          <w:tcPr>
            <w:tcW w:w="4077" w:type="dxa"/>
            <w:vAlign w:val="center"/>
          </w:tcPr>
          <w:p w14:paraId="0166C95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F47C4F5" w14:textId="188208B4" w:rsidR="00687890" w:rsidRPr="004C23F4" w:rsidRDefault="00E671E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031F21FF" w14:textId="77777777" w:rsidTr="00EA6243">
        <w:trPr>
          <w:cantSplit/>
        </w:trPr>
        <w:tc>
          <w:tcPr>
            <w:tcW w:w="4077" w:type="dxa"/>
            <w:vAlign w:val="center"/>
          </w:tcPr>
          <w:p w14:paraId="60A6981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224A6C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415DB08" w14:textId="77777777" w:rsidTr="00EA6243">
        <w:trPr>
          <w:cantSplit/>
        </w:trPr>
        <w:tc>
          <w:tcPr>
            <w:tcW w:w="4077" w:type="dxa"/>
            <w:vAlign w:val="center"/>
          </w:tcPr>
          <w:p w14:paraId="5C67F74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B86F947" w14:textId="77777777" w:rsidR="00E06F40" w:rsidRPr="00A006A0" w:rsidRDefault="00F20EA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5808B4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83B517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F6B5C8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C8D90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994FAA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6B10D3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15589D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360CFC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410E456" w14:textId="2DFB353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1D39332" w14:textId="4AD644F3" w:rsidR="00C26A7F" w:rsidRDefault="00C26A7F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(2016) </w:t>
      </w:r>
      <w:proofErr w:type="spellStart"/>
      <w:r>
        <w:t>Pentanole</w:t>
      </w:r>
      <w:proofErr w:type="spellEnd"/>
      <w:r>
        <w:t xml:space="preserve"> – MAK value documentation, German language edition.</w:t>
      </w:r>
    </w:p>
    <w:p w14:paraId="191FF905" w14:textId="7FE65F94" w:rsidR="00C26A7F" w:rsidRDefault="00C26A7F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(2008) </w:t>
      </w:r>
      <w:proofErr w:type="spellStart"/>
      <w:r>
        <w:t>Pentanol-Isomeren</w:t>
      </w:r>
      <w:proofErr w:type="spellEnd"/>
      <w:r>
        <w:t xml:space="preserve"> – MAK value documentation, German language edition.</w:t>
      </w:r>
    </w:p>
    <w:p w14:paraId="3FA04DF5" w14:textId="77777777" w:rsidR="00D37848" w:rsidRDefault="00D37848" w:rsidP="00D37848">
      <w:r w:rsidRPr="002022B6">
        <w:t>EU Scientific Committee on Occupational Exposure Limits (SCOEL)</w:t>
      </w:r>
      <w:r>
        <w:t xml:space="preserve"> (2016) Recommendation from the Scientific Committee on Occupational Exposure Limits for </w:t>
      </w:r>
      <w:proofErr w:type="spellStart"/>
      <w:r w:rsidRPr="00E2684D">
        <w:t>Isoamyl</w:t>
      </w:r>
      <w:proofErr w:type="spellEnd"/>
      <w:r w:rsidRPr="00E2684D">
        <w:t xml:space="preserve"> Alcohol</w:t>
      </w:r>
      <w:r>
        <w:t>. SCOEL/</w:t>
      </w:r>
      <w:r w:rsidRPr="00E2684D">
        <w:t>REC/177</w:t>
      </w:r>
      <w:r>
        <w:t>.</w:t>
      </w:r>
    </w:p>
    <w:p w14:paraId="35D94C9F" w14:textId="2318B2CA" w:rsidR="00C26A7F" w:rsidRDefault="00C26A7F" w:rsidP="00084859">
      <w:r>
        <w:t>European Chemicals Agency (ECHA) (2019)</w:t>
      </w:r>
      <w:r w:rsidRPr="00C26A7F">
        <w:t xml:space="preserve"> 3-methylbutan-1-ol</w:t>
      </w:r>
      <w:r>
        <w:t xml:space="preserve"> – REACH assessment.</w:t>
      </w:r>
    </w:p>
    <w:p w14:paraId="19367ED7" w14:textId="49329DB7" w:rsidR="00B10797" w:rsidRDefault="00B10797" w:rsidP="00084859">
      <w:r w:rsidRPr="002022B6">
        <w:t>Health Council of the Netherlands</w:t>
      </w:r>
      <w:r>
        <w:t xml:space="preserve"> (HCOTN) (2003) </w:t>
      </w:r>
      <w:r w:rsidRPr="00B10797">
        <w:t>3-Methylbutan-1-ol</w:t>
      </w:r>
      <w:r w:rsidRPr="005F7416">
        <w:t xml:space="preserve">. Health-based calculated occupational cancer risk values. The Hague: Health Council of the Netherlands; publication no. </w:t>
      </w:r>
      <w:r w:rsidRPr="00B10797">
        <w:t>2000/15OSH/085</w:t>
      </w:r>
      <w:r>
        <w:t>.</w:t>
      </w:r>
    </w:p>
    <w:p w14:paraId="04312DBA" w14:textId="6621AD12" w:rsidR="00543621" w:rsidRPr="00351FE0" w:rsidRDefault="00B10797" w:rsidP="00084859">
      <w:r w:rsidRPr="00D86E03">
        <w:t>US National Institute for Occupational Safety and Health (NIOSH)</w:t>
      </w:r>
      <w:r>
        <w:t xml:space="preserve"> (</w:t>
      </w:r>
      <w:r w:rsidR="00E2684D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="00E2684D" w:rsidRPr="00E2684D">
        <w:t>Isoamyl</w:t>
      </w:r>
      <w:proofErr w:type="spellEnd"/>
      <w:r w:rsidR="00E2684D" w:rsidRPr="00E2684D">
        <w:t xml:space="preserve"> alcohol (primary &amp; secondary)</w:t>
      </w:r>
      <w:r>
        <w:t>.</w:t>
      </w:r>
    </w:p>
    <w:sectPr w:rsidR="0054362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9399" w14:textId="77777777" w:rsidR="0027524E" w:rsidRDefault="0027524E" w:rsidP="00F43AD5">
      <w:pPr>
        <w:spacing w:after="0" w:line="240" w:lineRule="auto"/>
      </w:pPr>
      <w:r>
        <w:separator/>
      </w:r>
    </w:p>
  </w:endnote>
  <w:endnote w:type="continuationSeparator" w:id="0">
    <w:p w14:paraId="29D7D804" w14:textId="77777777" w:rsidR="0027524E" w:rsidRDefault="0027524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BDC8" w14:textId="77777777" w:rsidR="006612A8" w:rsidRDefault="00661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DE1AFCC" w14:textId="67FE06B5" w:rsidR="006612A8" w:rsidRDefault="006612A8" w:rsidP="0034744C">
        <w:pPr>
          <w:pStyle w:val="Footer"/>
          <w:rPr>
            <w:sz w:val="18"/>
            <w:szCs w:val="18"/>
          </w:rPr>
        </w:pPr>
        <w:proofErr w:type="spellStart"/>
        <w:r w:rsidRPr="00D3795C">
          <w:rPr>
            <w:b/>
            <w:sz w:val="18"/>
            <w:szCs w:val="18"/>
          </w:rPr>
          <w:t>Isoamyl</w:t>
        </w:r>
        <w:proofErr w:type="spellEnd"/>
        <w:r w:rsidRPr="00D3795C">
          <w:rPr>
            <w:b/>
            <w:sz w:val="18"/>
            <w:szCs w:val="18"/>
          </w:rPr>
          <w:t xml:space="preserve"> alcohol</w:t>
        </w:r>
        <w:r>
          <w:rPr>
            <w:b/>
            <w:sz w:val="18"/>
            <w:szCs w:val="18"/>
          </w:rPr>
          <w:t xml:space="preserve"> (</w:t>
        </w:r>
        <w:r w:rsidRPr="00D3795C">
          <w:rPr>
            <w:b/>
            <w:sz w:val="18"/>
            <w:szCs w:val="18"/>
          </w:rPr>
          <w:t>123-51-3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7621D68F" w14:textId="56C453C2" w:rsidR="006612A8" w:rsidRPr="00F43AD5" w:rsidRDefault="006612A8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20EA4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EC9F" w14:textId="77777777" w:rsidR="006612A8" w:rsidRDefault="00661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0044" w14:textId="77777777" w:rsidR="0027524E" w:rsidRDefault="0027524E" w:rsidP="00F43AD5">
      <w:pPr>
        <w:spacing w:after="0" w:line="240" w:lineRule="auto"/>
      </w:pPr>
      <w:r>
        <w:separator/>
      </w:r>
    </w:p>
  </w:footnote>
  <w:footnote w:type="continuationSeparator" w:id="0">
    <w:p w14:paraId="3AEBE9CB" w14:textId="77777777" w:rsidR="0027524E" w:rsidRDefault="0027524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46D1" w14:textId="77777777" w:rsidR="006612A8" w:rsidRDefault="00661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52AF" w14:textId="6300B7FD" w:rsidR="001D3CCB" w:rsidRDefault="00F20EA4" w:rsidP="001D3CCB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554329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D3CCB">
      <w:rPr>
        <w:noProof/>
        <w:lang w:eastAsia="en-AU"/>
      </w:rPr>
      <w:drawing>
        <wp:inline distT="0" distB="0" distL="0" distR="0" wp14:anchorId="0C9569AA" wp14:editId="7165A1E5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B5488" w14:textId="404C96D4" w:rsidR="006612A8" w:rsidRPr="001D3CCB" w:rsidRDefault="006612A8" w:rsidP="001D3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9777" w14:textId="77777777" w:rsidR="006612A8" w:rsidRDefault="006612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82BB" w14:textId="6249ED1F" w:rsidR="001D3CCB" w:rsidRDefault="00F20EA4" w:rsidP="001D3CCB">
    <w:pPr>
      <w:pStyle w:val="Header"/>
      <w:jc w:val="right"/>
    </w:pPr>
    <w:sdt>
      <w:sdtPr>
        <w:id w:val="1888449459"/>
        <w:docPartObj>
          <w:docPartGallery w:val="Watermarks"/>
          <w:docPartUnique/>
        </w:docPartObj>
      </w:sdtPr>
      <w:sdtEndPr/>
      <w:sdtContent>
        <w:r>
          <w:pict w14:anchorId="295746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D3CCB">
      <w:rPr>
        <w:noProof/>
        <w:lang w:eastAsia="en-AU"/>
      </w:rPr>
      <w:drawing>
        <wp:inline distT="0" distB="0" distL="0" distR="0" wp14:anchorId="143ADD34" wp14:editId="4E926C19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AC76C" w14:textId="77777777" w:rsidR="006612A8" w:rsidRDefault="006612A8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1674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A73FB"/>
    <w:multiLevelType w:val="hybridMultilevel"/>
    <w:tmpl w:val="178A5506"/>
    <w:lvl w:ilvl="0" w:tplc="A19A2E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6451"/>
    <w:multiLevelType w:val="hybridMultilevel"/>
    <w:tmpl w:val="905E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479C"/>
    <w:multiLevelType w:val="hybridMultilevel"/>
    <w:tmpl w:val="C040E316"/>
    <w:lvl w:ilvl="0" w:tplc="AE30EE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4D56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4EF1"/>
    <w:rsid w:val="000E5A54"/>
    <w:rsid w:val="000E63D3"/>
    <w:rsid w:val="000E67CF"/>
    <w:rsid w:val="000E75C7"/>
    <w:rsid w:val="000F60EB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165"/>
    <w:rsid w:val="00183823"/>
    <w:rsid w:val="00183942"/>
    <w:rsid w:val="00184187"/>
    <w:rsid w:val="001A009E"/>
    <w:rsid w:val="001A1287"/>
    <w:rsid w:val="001A3859"/>
    <w:rsid w:val="001A3C9D"/>
    <w:rsid w:val="001A43F8"/>
    <w:rsid w:val="001B718B"/>
    <w:rsid w:val="001B79E5"/>
    <w:rsid w:val="001D035A"/>
    <w:rsid w:val="001D1DBC"/>
    <w:rsid w:val="001D3CCB"/>
    <w:rsid w:val="001D56F0"/>
    <w:rsid w:val="001D663B"/>
    <w:rsid w:val="001D7B41"/>
    <w:rsid w:val="001E46DA"/>
    <w:rsid w:val="001E7D80"/>
    <w:rsid w:val="001F2192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37BE"/>
    <w:rsid w:val="00244AD1"/>
    <w:rsid w:val="002463BC"/>
    <w:rsid w:val="002465CE"/>
    <w:rsid w:val="00252697"/>
    <w:rsid w:val="0025734A"/>
    <w:rsid w:val="00261FDB"/>
    <w:rsid w:val="00263255"/>
    <w:rsid w:val="00267745"/>
    <w:rsid w:val="0027524E"/>
    <w:rsid w:val="00276494"/>
    <w:rsid w:val="00277B0C"/>
    <w:rsid w:val="002B1A2C"/>
    <w:rsid w:val="002B62EA"/>
    <w:rsid w:val="002C34F2"/>
    <w:rsid w:val="002C58FF"/>
    <w:rsid w:val="002C7AFE"/>
    <w:rsid w:val="002D05D2"/>
    <w:rsid w:val="002E0D61"/>
    <w:rsid w:val="002E2203"/>
    <w:rsid w:val="002E4C7B"/>
    <w:rsid w:val="002E7D92"/>
    <w:rsid w:val="0030740C"/>
    <w:rsid w:val="00315833"/>
    <w:rsid w:val="003215EE"/>
    <w:rsid w:val="003224BF"/>
    <w:rsid w:val="003241A8"/>
    <w:rsid w:val="003253F0"/>
    <w:rsid w:val="003306E7"/>
    <w:rsid w:val="003337DA"/>
    <w:rsid w:val="00334EFB"/>
    <w:rsid w:val="00335CDE"/>
    <w:rsid w:val="003365A5"/>
    <w:rsid w:val="003372F2"/>
    <w:rsid w:val="00347192"/>
    <w:rsid w:val="0034744C"/>
    <w:rsid w:val="00351FE0"/>
    <w:rsid w:val="00352615"/>
    <w:rsid w:val="0035412B"/>
    <w:rsid w:val="003564BA"/>
    <w:rsid w:val="003567A8"/>
    <w:rsid w:val="0036217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7516"/>
    <w:rsid w:val="003C0D58"/>
    <w:rsid w:val="003C282F"/>
    <w:rsid w:val="003D205F"/>
    <w:rsid w:val="003D4FA3"/>
    <w:rsid w:val="003E0807"/>
    <w:rsid w:val="003E51FB"/>
    <w:rsid w:val="003E6B39"/>
    <w:rsid w:val="003F07E1"/>
    <w:rsid w:val="003F4A84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1D9B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043"/>
    <w:rsid w:val="004D16A3"/>
    <w:rsid w:val="004D4AA1"/>
    <w:rsid w:val="004D6D68"/>
    <w:rsid w:val="004E5EDD"/>
    <w:rsid w:val="004E70B9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7BEA"/>
    <w:rsid w:val="00543621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1177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1FAE"/>
    <w:rsid w:val="006532ED"/>
    <w:rsid w:val="006549F2"/>
    <w:rsid w:val="006567B7"/>
    <w:rsid w:val="00657BFB"/>
    <w:rsid w:val="006612A8"/>
    <w:rsid w:val="0066333C"/>
    <w:rsid w:val="006639B4"/>
    <w:rsid w:val="006650FE"/>
    <w:rsid w:val="00666E7B"/>
    <w:rsid w:val="0067305D"/>
    <w:rsid w:val="00677D9B"/>
    <w:rsid w:val="006867F3"/>
    <w:rsid w:val="00687890"/>
    <w:rsid w:val="006901A2"/>
    <w:rsid w:val="00690368"/>
    <w:rsid w:val="0069079C"/>
    <w:rsid w:val="00690B53"/>
    <w:rsid w:val="00693FF1"/>
    <w:rsid w:val="00695B72"/>
    <w:rsid w:val="006B160A"/>
    <w:rsid w:val="006B4E6C"/>
    <w:rsid w:val="006B50B6"/>
    <w:rsid w:val="006D79EA"/>
    <w:rsid w:val="006E5D05"/>
    <w:rsid w:val="006E5E97"/>
    <w:rsid w:val="00701053"/>
    <w:rsid w:val="00701507"/>
    <w:rsid w:val="00714021"/>
    <w:rsid w:val="00714DD5"/>
    <w:rsid w:val="00716A0F"/>
    <w:rsid w:val="00717D45"/>
    <w:rsid w:val="007208F7"/>
    <w:rsid w:val="007218AF"/>
    <w:rsid w:val="007365D1"/>
    <w:rsid w:val="00740E0E"/>
    <w:rsid w:val="00742ACB"/>
    <w:rsid w:val="00750212"/>
    <w:rsid w:val="00754779"/>
    <w:rsid w:val="0075716D"/>
    <w:rsid w:val="00760C20"/>
    <w:rsid w:val="00762C8D"/>
    <w:rsid w:val="00765111"/>
    <w:rsid w:val="00765F14"/>
    <w:rsid w:val="00770E31"/>
    <w:rsid w:val="007770F1"/>
    <w:rsid w:val="00783FB1"/>
    <w:rsid w:val="00783FF2"/>
    <w:rsid w:val="00785CDD"/>
    <w:rsid w:val="00791847"/>
    <w:rsid w:val="007925F0"/>
    <w:rsid w:val="007939B3"/>
    <w:rsid w:val="0079509C"/>
    <w:rsid w:val="00796708"/>
    <w:rsid w:val="007A28BF"/>
    <w:rsid w:val="007A33AA"/>
    <w:rsid w:val="007B1B42"/>
    <w:rsid w:val="007B5E95"/>
    <w:rsid w:val="007C2BE1"/>
    <w:rsid w:val="007C30EB"/>
    <w:rsid w:val="007D1F5C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0484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5FE9"/>
    <w:rsid w:val="008E7B64"/>
    <w:rsid w:val="008F5DCD"/>
    <w:rsid w:val="008F7965"/>
    <w:rsid w:val="00900951"/>
    <w:rsid w:val="009118A6"/>
    <w:rsid w:val="00916909"/>
    <w:rsid w:val="00916EC0"/>
    <w:rsid w:val="00920467"/>
    <w:rsid w:val="00921DE7"/>
    <w:rsid w:val="0092217B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19B1"/>
    <w:rsid w:val="00984920"/>
    <w:rsid w:val="009927A5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3899"/>
    <w:rsid w:val="00A53681"/>
    <w:rsid w:val="00A61FE4"/>
    <w:rsid w:val="00A633D4"/>
    <w:rsid w:val="00A6461A"/>
    <w:rsid w:val="00A74797"/>
    <w:rsid w:val="00A84504"/>
    <w:rsid w:val="00A8672F"/>
    <w:rsid w:val="00A93057"/>
    <w:rsid w:val="00A95083"/>
    <w:rsid w:val="00A968B0"/>
    <w:rsid w:val="00AB2672"/>
    <w:rsid w:val="00AB2817"/>
    <w:rsid w:val="00AB43C4"/>
    <w:rsid w:val="00AB7CFC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0797"/>
    <w:rsid w:val="00B1422A"/>
    <w:rsid w:val="00B1765C"/>
    <w:rsid w:val="00B213C4"/>
    <w:rsid w:val="00B40C60"/>
    <w:rsid w:val="00B479A9"/>
    <w:rsid w:val="00B52EDF"/>
    <w:rsid w:val="00B645B9"/>
    <w:rsid w:val="00B71188"/>
    <w:rsid w:val="00B71A22"/>
    <w:rsid w:val="00B76A41"/>
    <w:rsid w:val="00B836E2"/>
    <w:rsid w:val="00B87D4C"/>
    <w:rsid w:val="00B9094C"/>
    <w:rsid w:val="00B93646"/>
    <w:rsid w:val="00BA0B38"/>
    <w:rsid w:val="00BA1DBB"/>
    <w:rsid w:val="00BA4510"/>
    <w:rsid w:val="00BA529A"/>
    <w:rsid w:val="00BB612A"/>
    <w:rsid w:val="00BC5F12"/>
    <w:rsid w:val="00BD499F"/>
    <w:rsid w:val="00BD56DE"/>
    <w:rsid w:val="00BF043B"/>
    <w:rsid w:val="00BF2406"/>
    <w:rsid w:val="00C06E43"/>
    <w:rsid w:val="00C11D44"/>
    <w:rsid w:val="00C15D61"/>
    <w:rsid w:val="00C16315"/>
    <w:rsid w:val="00C26A7F"/>
    <w:rsid w:val="00C27BC9"/>
    <w:rsid w:val="00C3091E"/>
    <w:rsid w:val="00C40FF1"/>
    <w:rsid w:val="00C419E2"/>
    <w:rsid w:val="00C5020E"/>
    <w:rsid w:val="00C57452"/>
    <w:rsid w:val="00C61EDF"/>
    <w:rsid w:val="00C6239D"/>
    <w:rsid w:val="00C63C8F"/>
    <w:rsid w:val="00C6594B"/>
    <w:rsid w:val="00C67FFB"/>
    <w:rsid w:val="00C7155E"/>
    <w:rsid w:val="00C71D1E"/>
    <w:rsid w:val="00C71D7D"/>
    <w:rsid w:val="00C74833"/>
    <w:rsid w:val="00C850A0"/>
    <w:rsid w:val="00C85A86"/>
    <w:rsid w:val="00C954D9"/>
    <w:rsid w:val="00C978F0"/>
    <w:rsid w:val="00CA47BE"/>
    <w:rsid w:val="00CA58FE"/>
    <w:rsid w:val="00CB1CB1"/>
    <w:rsid w:val="00CB6BC1"/>
    <w:rsid w:val="00CB6CB8"/>
    <w:rsid w:val="00CC1A68"/>
    <w:rsid w:val="00CC2123"/>
    <w:rsid w:val="00CD2BFD"/>
    <w:rsid w:val="00CE3AC2"/>
    <w:rsid w:val="00CE5AD6"/>
    <w:rsid w:val="00CE617F"/>
    <w:rsid w:val="00CE78EF"/>
    <w:rsid w:val="00D048F7"/>
    <w:rsid w:val="00D0517E"/>
    <w:rsid w:val="00D140FC"/>
    <w:rsid w:val="00D16F92"/>
    <w:rsid w:val="00D21D8C"/>
    <w:rsid w:val="00D31357"/>
    <w:rsid w:val="00D33220"/>
    <w:rsid w:val="00D334D1"/>
    <w:rsid w:val="00D36708"/>
    <w:rsid w:val="00D37848"/>
    <w:rsid w:val="00D3795C"/>
    <w:rsid w:val="00D44C89"/>
    <w:rsid w:val="00D516CD"/>
    <w:rsid w:val="00D668E6"/>
    <w:rsid w:val="00D70670"/>
    <w:rsid w:val="00D7165F"/>
    <w:rsid w:val="00D74D80"/>
    <w:rsid w:val="00D76624"/>
    <w:rsid w:val="00D87570"/>
    <w:rsid w:val="00D91CB9"/>
    <w:rsid w:val="00D97989"/>
    <w:rsid w:val="00D97D8D"/>
    <w:rsid w:val="00DA352E"/>
    <w:rsid w:val="00DA49D7"/>
    <w:rsid w:val="00DC7694"/>
    <w:rsid w:val="00DD1BF6"/>
    <w:rsid w:val="00DD2F9B"/>
    <w:rsid w:val="00DD5608"/>
    <w:rsid w:val="00DE2513"/>
    <w:rsid w:val="00DE26E8"/>
    <w:rsid w:val="00DF6F36"/>
    <w:rsid w:val="00E0084C"/>
    <w:rsid w:val="00E025AB"/>
    <w:rsid w:val="00E02B23"/>
    <w:rsid w:val="00E0351D"/>
    <w:rsid w:val="00E06F40"/>
    <w:rsid w:val="00E07CE8"/>
    <w:rsid w:val="00E2684D"/>
    <w:rsid w:val="00E26A07"/>
    <w:rsid w:val="00E32595"/>
    <w:rsid w:val="00E345CA"/>
    <w:rsid w:val="00E37CFD"/>
    <w:rsid w:val="00E41A26"/>
    <w:rsid w:val="00E46BCB"/>
    <w:rsid w:val="00E51CAF"/>
    <w:rsid w:val="00E53535"/>
    <w:rsid w:val="00E60F04"/>
    <w:rsid w:val="00E62AAC"/>
    <w:rsid w:val="00E671E1"/>
    <w:rsid w:val="00E67225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2B1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0EA4"/>
    <w:rsid w:val="00F22093"/>
    <w:rsid w:val="00F236DF"/>
    <w:rsid w:val="00F43AD5"/>
    <w:rsid w:val="00F4402E"/>
    <w:rsid w:val="00F52DC0"/>
    <w:rsid w:val="00F52F8A"/>
    <w:rsid w:val="00F56DD0"/>
    <w:rsid w:val="00F63F13"/>
    <w:rsid w:val="00F6491C"/>
    <w:rsid w:val="00F67BBB"/>
    <w:rsid w:val="00F82D77"/>
    <w:rsid w:val="00F87D92"/>
    <w:rsid w:val="00F90AA7"/>
    <w:rsid w:val="00F92498"/>
    <w:rsid w:val="00F9496B"/>
    <w:rsid w:val="00F970C9"/>
    <w:rsid w:val="00FA06A8"/>
    <w:rsid w:val="00FA20BD"/>
    <w:rsid w:val="00FA3DF5"/>
    <w:rsid w:val="00FA6EF6"/>
    <w:rsid w:val="00FA741F"/>
    <w:rsid w:val="00FB4E07"/>
    <w:rsid w:val="00FB755A"/>
    <w:rsid w:val="00FC31D8"/>
    <w:rsid w:val="00FC60A2"/>
    <w:rsid w:val="00FC6500"/>
    <w:rsid w:val="00FD1871"/>
    <w:rsid w:val="00FD3110"/>
    <w:rsid w:val="00FE4EA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F7965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C8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C8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C8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77D3B74BE064DA4890AE45463A9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C057-7482-40C0-BF3C-9071623514FA}"/>
      </w:docPartPr>
      <w:docPartBody>
        <w:p w:rsidR="00EB07BD" w:rsidRDefault="00E14E06" w:rsidP="00E14E06">
          <w:pPr>
            <w:pStyle w:val="977D3B74BE064DA4890AE45463A9040A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865F1"/>
    <w:rsid w:val="006028B6"/>
    <w:rsid w:val="00697148"/>
    <w:rsid w:val="0086480B"/>
    <w:rsid w:val="00C10BB5"/>
    <w:rsid w:val="00D21A9F"/>
    <w:rsid w:val="00E14E06"/>
    <w:rsid w:val="00E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E06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5624EB29D634F0DBB50FA9F056E9E69">
    <w:name w:val="25624EB29D634F0DBB50FA9F056E9E69"/>
    <w:rsid w:val="006028B6"/>
  </w:style>
  <w:style w:type="paragraph" w:customStyle="1" w:styleId="130FB4F9064441A2B800EBEBAE2F7899">
    <w:name w:val="130FB4F9064441A2B800EBEBAE2F7899"/>
    <w:rsid w:val="006028B6"/>
  </w:style>
  <w:style w:type="paragraph" w:customStyle="1" w:styleId="1899363D86504324B6AA6A7D9313B86A">
    <w:name w:val="1899363D86504324B6AA6A7D9313B86A"/>
    <w:rsid w:val="006028B6"/>
  </w:style>
  <w:style w:type="paragraph" w:customStyle="1" w:styleId="A0E99A9D81E74A63A860E22BE06076DB">
    <w:name w:val="A0E99A9D81E74A63A860E22BE06076DB"/>
    <w:rsid w:val="006028B6"/>
  </w:style>
  <w:style w:type="paragraph" w:customStyle="1" w:styleId="54DEEDBFA0034FBDA45E8559952FA09B">
    <w:name w:val="54DEEDBFA0034FBDA45E8559952FA09B"/>
    <w:rsid w:val="006028B6"/>
  </w:style>
  <w:style w:type="paragraph" w:customStyle="1" w:styleId="7F21375778FD4BBAAC916C7E6333426B">
    <w:name w:val="7F21375778FD4BBAAC916C7E6333426B"/>
    <w:rsid w:val="006028B6"/>
  </w:style>
  <w:style w:type="paragraph" w:customStyle="1" w:styleId="63D5A6710BD744E7BEDDDEFFDB43D4C9">
    <w:name w:val="63D5A6710BD744E7BEDDDEFFDB43D4C9"/>
    <w:rsid w:val="006028B6"/>
  </w:style>
  <w:style w:type="paragraph" w:customStyle="1" w:styleId="8DF0336810A94F4C88F8C221EEBF8F46">
    <w:name w:val="8DF0336810A94F4C88F8C221EEBF8F46"/>
    <w:rsid w:val="006028B6"/>
  </w:style>
  <w:style w:type="paragraph" w:customStyle="1" w:styleId="8C6CC915965E4EFC81766DDEC0219124">
    <w:name w:val="8C6CC915965E4EFC81766DDEC0219124"/>
    <w:rsid w:val="00697148"/>
  </w:style>
  <w:style w:type="paragraph" w:customStyle="1" w:styleId="977D3B74BE064DA4890AE45463A9040A">
    <w:name w:val="977D3B74BE064DA4890AE45463A9040A"/>
    <w:rsid w:val="00E14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3056-F5FC-4E30-A7E3-E72DBB636B3B}">
  <ds:schemaRefs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4D8C9F-2164-47BC-A6B2-C81FB578F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C6A5A-94D7-4455-A260-1C2A28EE6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75CDA-D574-4B68-BD4B-B880305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2020-01-09T03:40:00Z</dcterms:created>
  <dcterms:modified xsi:type="dcterms:W3CDTF">2020-01-30T04:12:00Z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