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5DEA8BD" w14:textId="0308DC96" w:rsidR="00BD499F" w:rsidRPr="004C23F4" w:rsidRDefault="00E709BF" w:rsidP="00E709BF">
          <w:pPr>
            <w:pStyle w:val="Heading1"/>
            <w:jc w:val="center"/>
            <w:rPr>
              <w:rFonts w:ascii="Arial" w:hAnsi="Arial" w:cs="Arial"/>
            </w:rPr>
          </w:pPr>
          <w:r w:rsidRPr="00E709BF">
            <w:rPr>
              <w:rFonts w:ascii="Arial" w:hAnsi="Arial" w:cs="Arial"/>
            </w:rPr>
            <w:t>Isopropylamine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0221BAEC" w14:textId="77777777" w:rsidTr="00B76A41">
        <w:trPr>
          <w:cantSplit/>
          <w:tblHeader/>
        </w:trPr>
        <w:tc>
          <w:tcPr>
            <w:tcW w:w="4077" w:type="dxa"/>
          </w:tcPr>
          <w:p w14:paraId="39FC2F5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AB08D19" w14:textId="01645B3D" w:rsidR="00F43AD5" w:rsidRPr="00717D45" w:rsidRDefault="00E709BF" w:rsidP="00B76A41">
            <w:pPr>
              <w:pStyle w:val="Tablefont"/>
            </w:pPr>
            <w:r w:rsidRPr="00E709BF">
              <w:t>75-31-0</w:t>
            </w:r>
          </w:p>
        </w:tc>
      </w:tr>
      <w:tr w:rsidR="00F43AD5" w:rsidRPr="004C23F4" w14:paraId="6DD69DF6" w14:textId="77777777" w:rsidTr="00B76A41">
        <w:trPr>
          <w:cantSplit/>
        </w:trPr>
        <w:tc>
          <w:tcPr>
            <w:tcW w:w="4077" w:type="dxa"/>
          </w:tcPr>
          <w:p w14:paraId="630CA41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7009EBD" w14:textId="6E3D4CEF" w:rsidR="00F43AD5" w:rsidRPr="00717D45" w:rsidRDefault="006D532A" w:rsidP="00B76A41">
            <w:pPr>
              <w:pStyle w:val="Tablefont"/>
            </w:pPr>
            <w:r>
              <w:t>2-Aminopropane, 2-propamine</w:t>
            </w:r>
          </w:p>
        </w:tc>
      </w:tr>
      <w:tr w:rsidR="00F43AD5" w:rsidRPr="004C23F4" w14:paraId="55F0E6FE" w14:textId="77777777" w:rsidTr="00B76A41">
        <w:trPr>
          <w:cantSplit/>
        </w:trPr>
        <w:tc>
          <w:tcPr>
            <w:tcW w:w="4077" w:type="dxa"/>
          </w:tcPr>
          <w:p w14:paraId="5D76D66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30B5CB9" w14:textId="022C5C8F" w:rsidR="00F43AD5" w:rsidRPr="00717D45" w:rsidRDefault="006D532A" w:rsidP="00B76A41">
            <w:pPr>
              <w:pStyle w:val="Tablefont"/>
            </w:pPr>
            <w:r>
              <w:t>C</w:t>
            </w:r>
            <w:r w:rsidRPr="006D532A">
              <w:rPr>
                <w:vertAlign w:val="subscript"/>
              </w:rPr>
              <w:t>3</w:t>
            </w:r>
            <w:r>
              <w:t>H</w:t>
            </w:r>
            <w:r w:rsidRPr="006D532A">
              <w:rPr>
                <w:vertAlign w:val="subscript"/>
              </w:rPr>
              <w:t>9</w:t>
            </w:r>
            <w:r>
              <w:t>N</w:t>
            </w:r>
          </w:p>
        </w:tc>
      </w:tr>
      <w:tr w:rsidR="00F43AD5" w:rsidRPr="004C23F4" w14:paraId="6F5705BE" w14:textId="77777777" w:rsidTr="00B76A41">
        <w:trPr>
          <w:cantSplit/>
        </w:trPr>
        <w:tc>
          <w:tcPr>
            <w:tcW w:w="4077" w:type="dxa"/>
          </w:tcPr>
          <w:p w14:paraId="15DA8A8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C01E264" w14:textId="0F805DBB" w:rsidR="00F43AD5" w:rsidRPr="00B40C60" w:rsidRDefault="006D532A" w:rsidP="00B76A41">
            <w:pPr>
              <w:pStyle w:val="Tablerowheading"/>
              <w:rPr>
                <w:b w:val="0"/>
              </w:rPr>
            </w:pPr>
            <w:r w:rsidRPr="006D532A">
              <w:rPr>
                <w:b w:val="0"/>
              </w:rPr>
              <w:t>—</w:t>
            </w:r>
          </w:p>
        </w:tc>
      </w:tr>
    </w:tbl>
    <w:p w14:paraId="78844E1E" w14:textId="5F2017B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748F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A57930B" w14:textId="77777777" w:rsidTr="008748FB">
        <w:trPr>
          <w:cantSplit/>
          <w:tblHeader/>
        </w:trPr>
        <w:tc>
          <w:tcPr>
            <w:tcW w:w="4005" w:type="dxa"/>
            <w:vAlign w:val="center"/>
          </w:tcPr>
          <w:p w14:paraId="06B5DE1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A1608AD" w14:textId="341DA684" w:rsidR="002C7AFE" w:rsidRPr="008748FB" w:rsidRDefault="008748FB" w:rsidP="00017C82">
            <w:pPr>
              <w:pStyle w:val="Tablefont"/>
              <w:rPr>
                <w:b/>
              </w:rPr>
            </w:pPr>
            <w:r w:rsidRPr="008748FB">
              <w:rPr>
                <w:b/>
              </w:rPr>
              <w:t>5 ppm (12 mg/m</w:t>
            </w:r>
            <w:r w:rsidRPr="008748FB">
              <w:rPr>
                <w:b/>
                <w:vertAlign w:val="superscript"/>
              </w:rPr>
              <w:t>3</w:t>
            </w:r>
            <w:r w:rsidRPr="008748FB">
              <w:rPr>
                <w:b/>
              </w:rPr>
              <w:t>)</w:t>
            </w:r>
          </w:p>
        </w:tc>
      </w:tr>
      <w:tr w:rsidR="002C7AFE" w:rsidRPr="004C23F4" w14:paraId="046D8A39" w14:textId="77777777" w:rsidTr="008748FB">
        <w:trPr>
          <w:cantSplit/>
        </w:trPr>
        <w:tc>
          <w:tcPr>
            <w:tcW w:w="4005" w:type="dxa"/>
            <w:vAlign w:val="center"/>
          </w:tcPr>
          <w:p w14:paraId="5CB0B75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2760369" w14:textId="4B47728A" w:rsidR="002C7AFE" w:rsidRPr="00EB3D1B" w:rsidRDefault="008748FB" w:rsidP="00017C82">
            <w:pPr>
              <w:pStyle w:val="Tablefont"/>
              <w:rPr>
                <w:b/>
              </w:rPr>
            </w:pPr>
            <w:r w:rsidRPr="008748FB">
              <w:rPr>
                <w:b/>
              </w:rPr>
              <w:t>10 ppm (24 mg/m</w:t>
            </w:r>
            <w:r w:rsidRPr="008748FB">
              <w:rPr>
                <w:b/>
                <w:vertAlign w:val="superscript"/>
              </w:rPr>
              <w:t>3</w:t>
            </w:r>
            <w:r w:rsidRPr="008748FB">
              <w:rPr>
                <w:b/>
              </w:rPr>
              <w:t>)</w:t>
            </w:r>
          </w:p>
        </w:tc>
      </w:tr>
      <w:tr w:rsidR="002C7AFE" w:rsidRPr="004C23F4" w14:paraId="084B3AE1" w14:textId="77777777" w:rsidTr="008748FB">
        <w:trPr>
          <w:cantSplit/>
        </w:trPr>
        <w:tc>
          <w:tcPr>
            <w:tcW w:w="4005" w:type="dxa"/>
            <w:vAlign w:val="center"/>
          </w:tcPr>
          <w:p w14:paraId="795C4D3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50B9475" w14:textId="4F43CA47" w:rsidR="002C7AFE" w:rsidRPr="00EB3D1B" w:rsidRDefault="008748FB" w:rsidP="00017C82">
            <w:pPr>
              <w:pStyle w:val="Tablefont"/>
              <w:rPr>
                <w:b/>
              </w:rPr>
            </w:pPr>
            <w:r w:rsidRPr="008748FB">
              <w:rPr>
                <w:b/>
              </w:rPr>
              <w:t>—</w:t>
            </w:r>
          </w:p>
        </w:tc>
      </w:tr>
      <w:tr w:rsidR="002C7AFE" w:rsidRPr="004C23F4" w14:paraId="77CF92E0" w14:textId="77777777" w:rsidTr="008748FB">
        <w:trPr>
          <w:cantSplit/>
        </w:trPr>
        <w:tc>
          <w:tcPr>
            <w:tcW w:w="4005" w:type="dxa"/>
          </w:tcPr>
          <w:p w14:paraId="491E6C3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F29F603" w14:textId="6EAC39A5" w:rsidR="002C7AFE" w:rsidRPr="00EB3D1B" w:rsidRDefault="007C0B4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5241D11B" w14:textId="77777777" w:rsidTr="008748FB">
        <w:trPr>
          <w:cantSplit/>
        </w:trPr>
        <w:tc>
          <w:tcPr>
            <w:tcW w:w="4005" w:type="dxa"/>
            <w:vAlign w:val="center"/>
          </w:tcPr>
          <w:p w14:paraId="714287A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205AB0EA" w14:textId="4E10CA9F" w:rsidR="002C7AFE" w:rsidRPr="00EB3D1B" w:rsidRDefault="006D532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750 ppm</w:t>
            </w:r>
          </w:p>
        </w:tc>
      </w:tr>
      <w:tr w:rsidR="008748FB" w14:paraId="165ABA27" w14:textId="77777777" w:rsidTr="008748FB">
        <w:trPr>
          <w:cantSplit/>
        </w:trPr>
        <w:tc>
          <w:tcPr>
            <w:tcW w:w="9026" w:type="dxa"/>
            <w:gridSpan w:val="2"/>
            <w:vAlign w:val="center"/>
          </w:tcPr>
          <w:p w14:paraId="79E6626C" w14:textId="2B9EFB98" w:rsidR="008748FB" w:rsidRDefault="008748FB" w:rsidP="00721068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F47F5EE99134FC1B7B89CAB0B996D6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917EAE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CDCB8A5" w14:textId="60EDAA41" w:rsidR="00A735A2" w:rsidRDefault="00095D0F" w:rsidP="000C139A">
      <w:pPr>
        <w:rPr>
          <w:rFonts w:cs="Arial"/>
        </w:rPr>
      </w:pPr>
      <w:r w:rsidRPr="00D20616">
        <w:rPr>
          <w:rFonts w:cs="Arial"/>
        </w:rPr>
        <w:t xml:space="preserve">A TWA of </w:t>
      </w:r>
      <w:r w:rsidRPr="00095D0F">
        <w:t>5 ppm (12 mg/m</w:t>
      </w:r>
      <w:r w:rsidRPr="00095D0F">
        <w:rPr>
          <w:vertAlign w:val="superscript"/>
        </w:rPr>
        <w:t>3</w:t>
      </w:r>
      <w:r w:rsidRPr="00095D0F">
        <w:t>)</w:t>
      </w:r>
      <w:r>
        <w:t xml:space="preserve"> </w:t>
      </w:r>
      <w:r w:rsidR="00A735A2" w:rsidRPr="00D20616">
        <w:rPr>
          <w:rFonts w:cs="Arial"/>
        </w:rPr>
        <w:t>is recommended to protect for</w:t>
      </w:r>
      <w:r w:rsidR="00A735A2">
        <w:rPr>
          <w:rFonts w:cs="Arial"/>
        </w:rPr>
        <w:t xml:space="preserve"> e</w:t>
      </w:r>
      <w:r w:rsidR="00A735A2" w:rsidRPr="00E13821">
        <w:rPr>
          <w:rFonts w:cs="Arial"/>
        </w:rPr>
        <w:t>ye</w:t>
      </w:r>
      <w:r w:rsidR="00A735A2">
        <w:rPr>
          <w:rFonts w:cs="Arial"/>
        </w:rPr>
        <w:t>, nose and respiratory irritation</w:t>
      </w:r>
      <w:r w:rsidR="00A735A2" w:rsidRPr="00D20616">
        <w:rPr>
          <w:rFonts w:cs="Arial"/>
        </w:rPr>
        <w:t xml:space="preserve"> in exposed workers.</w:t>
      </w:r>
    </w:p>
    <w:p w14:paraId="759AF20F" w14:textId="2E27AE91" w:rsidR="006639B4" w:rsidRPr="004C23F4" w:rsidRDefault="00BF5CCE" w:rsidP="000C139A">
      <w:pPr>
        <w:rPr>
          <w:rFonts w:cs="Arial"/>
        </w:rPr>
      </w:pPr>
      <w:r>
        <w:rPr>
          <w:rFonts w:cs="Arial"/>
        </w:rPr>
        <w:t xml:space="preserve">A </w:t>
      </w:r>
      <w:r w:rsidR="00095D0F" w:rsidRPr="00D20616">
        <w:rPr>
          <w:rFonts w:cs="Arial"/>
        </w:rPr>
        <w:t>STEL of</w:t>
      </w:r>
      <w:r w:rsidR="00095D0F" w:rsidRPr="00CB5F76">
        <w:rPr>
          <w:rFonts w:cs="Arial"/>
        </w:rPr>
        <w:t xml:space="preserve"> </w:t>
      </w:r>
      <w:r w:rsidR="00CB5F76" w:rsidRPr="00CB5F76">
        <w:t>10 ppm (24 mg/m</w:t>
      </w:r>
      <w:r w:rsidR="00CB5F76" w:rsidRPr="00CB5F76">
        <w:rPr>
          <w:vertAlign w:val="superscript"/>
        </w:rPr>
        <w:t>3</w:t>
      </w:r>
      <w:r w:rsidR="00CB5F76" w:rsidRPr="00CB5F76">
        <w:t xml:space="preserve">) </w:t>
      </w:r>
      <w:r w:rsidR="00A735A2" w:rsidRPr="00D20616">
        <w:rPr>
          <w:rFonts w:cs="Arial"/>
        </w:rPr>
        <w:t>is recommended to protect for</w:t>
      </w:r>
      <w:r w:rsidR="00A735A2">
        <w:rPr>
          <w:rFonts w:cs="Arial"/>
        </w:rPr>
        <w:t xml:space="preserve"> e</w:t>
      </w:r>
      <w:r w:rsidR="00A735A2" w:rsidRPr="00E13821">
        <w:rPr>
          <w:rFonts w:cs="Arial"/>
        </w:rPr>
        <w:t>ye</w:t>
      </w:r>
      <w:r w:rsidR="00A735A2">
        <w:rPr>
          <w:rFonts w:cs="Arial"/>
        </w:rPr>
        <w:t>, nose and respiratory irritation</w:t>
      </w:r>
      <w:r w:rsidR="00A735A2" w:rsidRPr="00D20616">
        <w:rPr>
          <w:rFonts w:cs="Arial"/>
        </w:rPr>
        <w:t xml:space="preserve"> in </w:t>
      </w:r>
      <w:r w:rsidR="00A735A2">
        <w:rPr>
          <w:rFonts w:cs="Arial"/>
        </w:rPr>
        <w:t>acute exposure</w:t>
      </w:r>
      <w:r w:rsidR="00A6757F">
        <w:rPr>
          <w:rFonts w:cs="Arial"/>
        </w:rPr>
        <w:t>s</w:t>
      </w:r>
      <w:r w:rsidR="00A735A2" w:rsidRPr="00D20616">
        <w:rPr>
          <w:rFonts w:cs="Arial"/>
        </w:rPr>
        <w:t>.</w:t>
      </w:r>
    </w:p>
    <w:p w14:paraId="5445235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34E152A" w14:textId="77777777" w:rsidR="005113A5" w:rsidRDefault="00CB5F76" w:rsidP="006639B4">
      <w:pPr>
        <w:rPr>
          <w:rFonts w:cs="Arial"/>
        </w:rPr>
      </w:pPr>
      <w:r w:rsidRPr="00CB5F76">
        <w:rPr>
          <w:rFonts w:cs="Arial"/>
        </w:rPr>
        <w:t xml:space="preserve">Isopropylamine </w:t>
      </w:r>
      <w:r>
        <w:rPr>
          <w:rFonts w:cs="Arial"/>
        </w:rPr>
        <w:t xml:space="preserve">is primarily used as a </w:t>
      </w:r>
      <w:r w:rsidR="00E13821" w:rsidRPr="00E13821">
        <w:rPr>
          <w:rFonts w:cs="Arial"/>
        </w:rPr>
        <w:t>solvent, depilatory, solubili</w:t>
      </w:r>
      <w:r w:rsidR="00A735A2">
        <w:rPr>
          <w:rFonts w:cs="Arial"/>
        </w:rPr>
        <w:t>s</w:t>
      </w:r>
      <w:r w:rsidR="00E13821" w:rsidRPr="00E13821">
        <w:rPr>
          <w:rFonts w:cs="Arial"/>
        </w:rPr>
        <w:t>e</w:t>
      </w:r>
      <w:r w:rsidR="00E13821">
        <w:rPr>
          <w:rFonts w:cs="Arial"/>
        </w:rPr>
        <w:t>r</w:t>
      </w:r>
      <w:r w:rsidR="00E13821" w:rsidRPr="00E13821">
        <w:rPr>
          <w:rFonts w:cs="Arial"/>
        </w:rPr>
        <w:t xml:space="preserve"> and </w:t>
      </w:r>
      <w:r w:rsidR="00A735A2">
        <w:rPr>
          <w:rFonts w:cs="Arial"/>
        </w:rPr>
        <w:t xml:space="preserve">a chemical </w:t>
      </w:r>
      <w:r w:rsidR="00E13821" w:rsidRPr="00E13821">
        <w:rPr>
          <w:rFonts w:cs="Arial"/>
        </w:rPr>
        <w:t>intermediate</w:t>
      </w:r>
      <w:r w:rsidR="00E13821">
        <w:rPr>
          <w:rFonts w:cs="Arial"/>
        </w:rPr>
        <w:t xml:space="preserve">. </w:t>
      </w:r>
    </w:p>
    <w:p w14:paraId="7B6A4846" w14:textId="3179BF90" w:rsidR="006639B4" w:rsidRDefault="005113A5" w:rsidP="006639B4">
      <w:pPr>
        <w:rPr>
          <w:rFonts w:cs="Arial"/>
        </w:rPr>
      </w:pPr>
      <w:r>
        <w:rPr>
          <w:rFonts w:cs="Arial"/>
        </w:rPr>
        <w:t>C</w:t>
      </w:r>
      <w:r w:rsidR="00E13821" w:rsidRPr="00E13821">
        <w:rPr>
          <w:rFonts w:cs="Arial"/>
        </w:rPr>
        <w:t xml:space="preserve">ritical effects </w:t>
      </w:r>
      <w:r>
        <w:rPr>
          <w:rFonts w:cs="Arial"/>
        </w:rPr>
        <w:t xml:space="preserve">of exposure </w:t>
      </w:r>
      <w:r w:rsidR="00E13821" w:rsidRPr="00E13821">
        <w:rPr>
          <w:rFonts w:cs="Arial"/>
        </w:rPr>
        <w:t xml:space="preserve">are </w:t>
      </w:r>
      <w:r w:rsidR="00E13821">
        <w:rPr>
          <w:rFonts w:cs="Arial"/>
        </w:rPr>
        <w:t>e</w:t>
      </w:r>
      <w:r w:rsidR="00E13821" w:rsidRPr="00E13821">
        <w:rPr>
          <w:rFonts w:cs="Arial"/>
        </w:rPr>
        <w:t>ye</w:t>
      </w:r>
      <w:r w:rsidR="00E13821">
        <w:rPr>
          <w:rFonts w:cs="Arial"/>
        </w:rPr>
        <w:t>, nose and respiratory irritation.</w:t>
      </w:r>
      <w:r>
        <w:t xml:space="preserve"> </w:t>
      </w:r>
      <w:r w:rsidR="000022F8" w:rsidRPr="000022F8">
        <w:t xml:space="preserve">Limited data </w:t>
      </w:r>
      <w:r>
        <w:t>in</w:t>
      </w:r>
      <w:r w:rsidR="000022F8" w:rsidRPr="000022F8">
        <w:t xml:space="preserve"> human</w:t>
      </w:r>
      <w:r w:rsidR="000022F8">
        <w:t>s suggest that b</w:t>
      </w:r>
      <w:r w:rsidR="000022F8" w:rsidRPr="000022F8">
        <w:t xml:space="preserve">rief exposure </w:t>
      </w:r>
      <w:r w:rsidR="00272B66">
        <w:t>at</w:t>
      </w:r>
      <w:r w:rsidR="00272B66" w:rsidRPr="000022F8">
        <w:t xml:space="preserve"> </w:t>
      </w:r>
      <w:r w:rsidR="000022F8" w:rsidRPr="000022F8">
        <w:t>10</w:t>
      </w:r>
      <w:r w:rsidR="00F5200E">
        <w:t xml:space="preserve"> to</w:t>
      </w:r>
      <w:r w:rsidR="00642364">
        <w:t xml:space="preserve"> </w:t>
      </w:r>
      <w:r w:rsidR="000022F8" w:rsidRPr="000022F8">
        <w:t xml:space="preserve">20 ppm </w:t>
      </w:r>
      <w:r w:rsidR="00D61DDA">
        <w:rPr>
          <w:color w:val="1C1D1E"/>
          <w:shd w:val="clear" w:color="auto" w:fill="FFFFFF"/>
        </w:rPr>
        <w:t>(24 to 48 mg/m</w:t>
      </w:r>
      <w:r w:rsidR="00D61DDA">
        <w:rPr>
          <w:color w:val="1C1D1E"/>
          <w:sz w:val="18"/>
          <w:szCs w:val="18"/>
          <w:shd w:val="clear" w:color="auto" w:fill="FFFFFF"/>
          <w:vertAlign w:val="superscript"/>
        </w:rPr>
        <w:t>3</w:t>
      </w:r>
      <w:r w:rsidR="00D61DDA">
        <w:rPr>
          <w:color w:val="1C1D1E"/>
          <w:shd w:val="clear" w:color="auto" w:fill="FFFFFF"/>
        </w:rPr>
        <w:t xml:space="preserve">) </w:t>
      </w:r>
      <w:r w:rsidR="000022F8" w:rsidRPr="000022F8">
        <w:t>resulted in nose and throat irritation</w:t>
      </w:r>
      <w:r w:rsidR="001F573C">
        <w:t xml:space="preserve"> </w:t>
      </w:r>
      <w:r w:rsidR="00D61DDA">
        <w:rPr>
          <w:color w:val="1C1D1E"/>
          <w:shd w:val="clear" w:color="auto" w:fill="FFFFFF"/>
        </w:rPr>
        <w:t>(upper respiratory tract)</w:t>
      </w:r>
      <w:r w:rsidR="000022F8">
        <w:t xml:space="preserve"> (ACGIH 2018). </w:t>
      </w:r>
      <w:r>
        <w:t xml:space="preserve">It is </w:t>
      </w:r>
      <w:r>
        <w:rPr>
          <w:color w:val="1C1D1E"/>
          <w:shd w:val="clear" w:color="auto" w:fill="FFFFFF"/>
        </w:rPr>
        <w:t>i</w:t>
      </w:r>
      <w:r w:rsidR="00D741BD">
        <w:rPr>
          <w:color w:val="1C1D1E"/>
          <w:shd w:val="clear" w:color="auto" w:fill="FFFFFF"/>
        </w:rPr>
        <w:t>rritating in humans at concentrations of 10</w:t>
      </w:r>
      <w:r w:rsidR="005B0EDA">
        <w:rPr>
          <w:color w:val="1C1D1E"/>
          <w:shd w:val="clear" w:color="auto" w:fill="FFFFFF"/>
        </w:rPr>
        <w:t xml:space="preserve"> to </w:t>
      </w:r>
      <w:r w:rsidR="00D741BD">
        <w:rPr>
          <w:color w:val="1C1D1E"/>
          <w:shd w:val="clear" w:color="auto" w:fill="FFFFFF"/>
        </w:rPr>
        <w:t>20</w:t>
      </w:r>
      <w:r w:rsidR="002374DC">
        <w:rPr>
          <w:color w:val="1C1D1E"/>
          <w:shd w:val="clear" w:color="auto" w:fill="FFFFFF"/>
        </w:rPr>
        <w:t> </w:t>
      </w:r>
      <w:r w:rsidR="00D741BD">
        <w:rPr>
          <w:color w:val="1C1D1E"/>
          <w:shd w:val="clear" w:color="auto" w:fill="FFFFFF"/>
        </w:rPr>
        <w:t xml:space="preserve">ppm. </w:t>
      </w:r>
      <w:r w:rsidR="000022F8">
        <w:rPr>
          <w:rFonts w:cs="Arial"/>
        </w:rPr>
        <w:t>A sub</w:t>
      </w:r>
      <w:r w:rsidR="005A77BF">
        <w:rPr>
          <w:rFonts w:cs="Arial"/>
        </w:rPr>
        <w:t>-</w:t>
      </w:r>
      <w:r w:rsidR="000022F8">
        <w:rPr>
          <w:rFonts w:cs="Arial"/>
        </w:rPr>
        <w:t xml:space="preserve">chronic inhalation study in rats resulted in a </w:t>
      </w:r>
      <w:r w:rsidR="00A6757F">
        <w:rPr>
          <w:rFonts w:cs="Arial"/>
        </w:rPr>
        <w:t>NOE</w:t>
      </w:r>
      <w:r w:rsidR="005A77BF">
        <w:rPr>
          <w:rFonts w:cs="Arial"/>
        </w:rPr>
        <w:t>C</w:t>
      </w:r>
      <w:r w:rsidR="00A6757F">
        <w:rPr>
          <w:rFonts w:cs="Arial"/>
        </w:rPr>
        <w:t xml:space="preserve"> </w:t>
      </w:r>
      <w:r w:rsidR="000022F8">
        <w:rPr>
          <w:rFonts w:cs="Arial"/>
        </w:rPr>
        <w:t>of 41 ppm for e</w:t>
      </w:r>
      <w:r w:rsidR="000022F8" w:rsidRPr="00E13821">
        <w:rPr>
          <w:rFonts w:cs="Arial"/>
        </w:rPr>
        <w:t>ye</w:t>
      </w:r>
      <w:r w:rsidR="000022F8">
        <w:rPr>
          <w:rFonts w:cs="Arial"/>
        </w:rPr>
        <w:t>, nose and respiratory irritation (DFG 1958).</w:t>
      </w:r>
    </w:p>
    <w:p w14:paraId="32427D8C" w14:textId="62E97FEF" w:rsidR="00D741BD" w:rsidRPr="004C23F4" w:rsidRDefault="00D61DDA" w:rsidP="000022F8">
      <w:pPr>
        <w:rPr>
          <w:rFonts w:cs="Arial"/>
        </w:rPr>
      </w:pPr>
      <w:r>
        <w:t xml:space="preserve">The </w:t>
      </w:r>
      <w:r w:rsidR="00D741BD">
        <w:t>TWA of 5 ppm</w:t>
      </w:r>
      <w:r w:rsidR="00DC60D0">
        <w:t xml:space="preserve"> from</w:t>
      </w:r>
      <w:r>
        <w:t xml:space="preserve"> primary sources </w:t>
      </w:r>
      <w:r w:rsidR="00DC60D0">
        <w:t xml:space="preserve">(ACGIH, 2018; </w:t>
      </w:r>
      <w:r w:rsidR="00DC60D0">
        <w:rPr>
          <w:rFonts w:cs="Arial"/>
        </w:rPr>
        <w:t>DFG 1958; HCOT</w:t>
      </w:r>
      <w:r w:rsidR="00293F69">
        <w:rPr>
          <w:rFonts w:cs="Arial"/>
        </w:rPr>
        <w:t>N</w:t>
      </w:r>
      <w:r w:rsidR="00DC60D0">
        <w:rPr>
          <w:rFonts w:cs="Arial"/>
        </w:rPr>
        <w:t>, 2004)</w:t>
      </w:r>
      <w:r w:rsidR="00DC60D0">
        <w:t xml:space="preserve"> </w:t>
      </w:r>
      <w:r w:rsidR="00D741BD">
        <w:t>and STEL of 10</w:t>
      </w:r>
      <w:r w:rsidR="00DC60D0">
        <w:t> </w:t>
      </w:r>
      <w:r w:rsidR="00D741BD">
        <w:t xml:space="preserve">ppm </w:t>
      </w:r>
      <w:r w:rsidR="00272B66">
        <w:t xml:space="preserve">are </w:t>
      </w:r>
      <w:r w:rsidR="00D741BD">
        <w:t xml:space="preserve">recommended </w:t>
      </w:r>
      <w:r w:rsidR="005A77BF">
        <w:t>to be retained</w:t>
      </w:r>
      <w:r w:rsidR="00D741BD">
        <w:t>. Th</w:t>
      </w:r>
      <w:r w:rsidR="002374DC">
        <w:t>e</w:t>
      </w:r>
      <w:r w:rsidR="00D741BD">
        <w:t xml:space="preserve"> TWA is expected to be protective of irritation effects in the eyes and upper respiratory tract</w:t>
      </w:r>
      <w:r w:rsidR="00F5200E">
        <w:t xml:space="preserve"> as identified in the</w:t>
      </w:r>
      <w:r w:rsidR="00F5200E" w:rsidRPr="00F5200E">
        <w:rPr>
          <w:rFonts w:cs="Arial"/>
        </w:rPr>
        <w:t xml:space="preserve"> </w:t>
      </w:r>
      <w:r w:rsidR="00F5200E">
        <w:rPr>
          <w:rFonts w:cs="Arial"/>
        </w:rPr>
        <w:t>sub</w:t>
      </w:r>
      <w:r w:rsidR="005A77BF">
        <w:rPr>
          <w:rFonts w:cs="Arial"/>
        </w:rPr>
        <w:t>-</w:t>
      </w:r>
      <w:r w:rsidR="00F5200E">
        <w:rPr>
          <w:rFonts w:cs="Arial"/>
        </w:rPr>
        <w:t>chronic inhalation study in rats</w:t>
      </w:r>
      <w:r w:rsidR="002374DC">
        <w:rPr>
          <w:rFonts w:cs="Arial"/>
        </w:rPr>
        <w:t>.</w:t>
      </w:r>
      <w:r w:rsidR="00F5200E">
        <w:rPr>
          <w:rFonts w:cs="Arial"/>
        </w:rPr>
        <w:t xml:space="preserve"> </w:t>
      </w:r>
      <w:r w:rsidR="002374DC">
        <w:rPr>
          <w:rFonts w:cs="Arial"/>
        </w:rPr>
        <w:t>T</w:t>
      </w:r>
      <w:r w:rsidR="00F5200E">
        <w:rPr>
          <w:rFonts w:cs="Arial"/>
        </w:rPr>
        <w:t xml:space="preserve">he STEL </w:t>
      </w:r>
      <w:r w:rsidR="002374DC">
        <w:rPr>
          <w:rFonts w:cs="Arial"/>
        </w:rPr>
        <w:t>is</w:t>
      </w:r>
      <w:r w:rsidR="00F5200E">
        <w:rPr>
          <w:rFonts w:cs="Arial"/>
        </w:rPr>
        <w:t xml:space="preserve"> protective of </w:t>
      </w:r>
      <w:r w:rsidR="00DC60D0">
        <w:rPr>
          <w:rFonts w:cs="Arial"/>
        </w:rPr>
        <w:t>irritation</w:t>
      </w:r>
      <w:r w:rsidR="00F5200E">
        <w:rPr>
          <w:rFonts w:cs="Arial"/>
        </w:rPr>
        <w:t xml:space="preserve"> in acute exposures at 10 to 20 ppm in humans</w:t>
      </w:r>
      <w:r w:rsidR="00642364">
        <w:t>.</w:t>
      </w:r>
      <w:r w:rsidR="00642364" w:rsidDel="00642364">
        <w:t xml:space="preserve"> </w:t>
      </w:r>
    </w:p>
    <w:p w14:paraId="3763AD0D" w14:textId="77777777" w:rsidR="004529F0" w:rsidRPr="004C23F4" w:rsidRDefault="004529F0" w:rsidP="00642364">
      <w:pPr>
        <w:pStyle w:val="Heading2"/>
      </w:pPr>
      <w:r>
        <w:t>Recommendation for notations</w:t>
      </w:r>
    </w:p>
    <w:p w14:paraId="410B50A9" w14:textId="2DB523DA" w:rsidR="006D532A" w:rsidRDefault="006D532A" w:rsidP="006D532A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A24C8D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6A222CE6" w14:textId="2BFD0192" w:rsidR="006D532A" w:rsidRDefault="006D532A" w:rsidP="006D532A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A24C8D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0CD4D724" w14:textId="30F9C229" w:rsidR="005E6979" w:rsidRPr="004C23F4" w:rsidRDefault="007C0B46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A skin notation is recommended based on</w:t>
      </w:r>
      <w:r w:rsidR="00BF5CCE">
        <w:rPr>
          <w:rFonts w:cs="Arial"/>
        </w:rPr>
        <w:t xml:space="preserve"> evidence of dermal absorption </w:t>
      </w:r>
      <w:r>
        <w:rPr>
          <w:rFonts w:cs="Arial"/>
        </w:rPr>
        <w:t>in animals.</w:t>
      </w:r>
    </w:p>
    <w:p w14:paraId="5C4E4370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17E04D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D37985D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A8C8E3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CD15FA1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8DCE1DA" w14:textId="7A97CD4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D532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D532A">
                  <w:t>TWA: 5 ppm (12 mg/m</w:t>
                </w:r>
                <w:r w:rsidR="006D532A" w:rsidRPr="006D532A">
                  <w:rPr>
                    <w:vertAlign w:val="superscript"/>
                  </w:rPr>
                  <w:t>3</w:t>
                </w:r>
                <w:r w:rsidR="006D532A">
                  <w:t>); STEL: 10 ppm (24 mg/m</w:t>
                </w:r>
                <w:r w:rsidR="006D532A" w:rsidRPr="006D532A">
                  <w:rPr>
                    <w:vertAlign w:val="superscript"/>
                  </w:rPr>
                  <w:t>3</w:t>
                </w:r>
                <w:r w:rsidR="006D532A">
                  <w:t>)</w:t>
                </w:r>
              </w:sdtContent>
            </w:sdt>
          </w:p>
        </w:tc>
      </w:tr>
      <w:tr w:rsidR="00C978F0" w:rsidRPr="00DA352E" w14:paraId="3C442D7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4E920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721C63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9221A7" w14:textId="67CB2C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D532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D532A">
                  <w:t>TLV-TWA: 5 ppm (12 mg/m</w:t>
                </w:r>
                <w:r w:rsidR="006D532A" w:rsidRPr="006D532A">
                  <w:rPr>
                    <w:vertAlign w:val="superscript"/>
                  </w:rPr>
                  <w:t>3</w:t>
                </w:r>
                <w:r w:rsidR="006D532A">
                  <w:t>); TLV-STEL: 10 ppm (24 mg/m</w:t>
                </w:r>
                <w:r w:rsidR="006D532A" w:rsidRPr="006D532A">
                  <w:rPr>
                    <w:vertAlign w:val="superscript"/>
                  </w:rPr>
                  <w:t>3</w:t>
                </w:r>
                <w:r w:rsidR="006D532A">
                  <w:t>)</w:t>
                </w:r>
              </w:sdtContent>
            </w:sdt>
          </w:p>
        </w:tc>
      </w:tr>
      <w:tr w:rsidR="00C978F0" w:rsidRPr="00DA352E" w14:paraId="2667CDF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8121E66" w14:textId="70E76012" w:rsidR="000E275B" w:rsidRDefault="000E275B" w:rsidP="00A24C8D">
            <w:pPr>
              <w:pStyle w:val="Tabletextprimarysource"/>
            </w:pPr>
            <w:r>
              <w:t xml:space="preserve">TLV-TWA recommended to minimise the risk of </w:t>
            </w:r>
            <w:r w:rsidR="007C14C6">
              <w:t>eye and respiratory irritation</w:t>
            </w:r>
            <w:r>
              <w:t xml:space="preserve"> in exposed workers.</w:t>
            </w:r>
          </w:p>
          <w:p w14:paraId="1A2510FD" w14:textId="77777777" w:rsidR="000E275B" w:rsidRDefault="000E275B" w:rsidP="00A24C8D">
            <w:pPr>
              <w:pStyle w:val="Tabletextprimarysource"/>
            </w:pPr>
            <w:r>
              <w:t>Summary of data:</w:t>
            </w:r>
          </w:p>
          <w:p w14:paraId="560945DD" w14:textId="77777777" w:rsidR="000E275B" w:rsidRDefault="000E275B" w:rsidP="004A40D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016C07D6" w14:textId="71269DBA" w:rsidR="000E275B" w:rsidRDefault="007C14C6" w:rsidP="004A40D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Brief exposure </w:t>
            </w:r>
            <w:r w:rsidR="00272B66">
              <w:t xml:space="preserve">at </w:t>
            </w:r>
            <w:r>
              <w:t>10</w:t>
            </w:r>
            <w:r w:rsidR="00A24C8D">
              <w:t>–</w:t>
            </w:r>
            <w:r>
              <w:t>20 ppm resulted in nose and throat irritation</w:t>
            </w:r>
          </w:p>
          <w:p w14:paraId="321F9082" w14:textId="0A653680" w:rsidR="000E275B" w:rsidRDefault="007C14C6" w:rsidP="004A40D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Mild corneal </w:t>
            </w:r>
            <w:r w:rsidR="00C263AE">
              <w:t>oedema</w:t>
            </w:r>
            <w:r>
              <w:t xml:space="preserve"> resulted from 8 h exposure at unknown concentration</w:t>
            </w:r>
            <w:r w:rsidR="004175B6">
              <w:t>s</w:t>
            </w:r>
            <w:r>
              <w:t xml:space="preserve">, </w:t>
            </w:r>
            <w:r w:rsidR="004175B6">
              <w:t>symptoms usually cleared in 3</w:t>
            </w:r>
            <w:r w:rsidR="00A24C8D">
              <w:t>–</w:t>
            </w:r>
            <w:r w:rsidR="004175B6">
              <w:t>4 h</w:t>
            </w:r>
            <w:r w:rsidR="00A24C8D">
              <w:t>.</w:t>
            </w:r>
          </w:p>
          <w:p w14:paraId="7FF796E7" w14:textId="77777777" w:rsidR="000E275B" w:rsidRDefault="000E275B" w:rsidP="004A40D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340567E8" w14:textId="3A4FDD3B" w:rsidR="000E275B" w:rsidRDefault="004175B6" w:rsidP="004A40DF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Rats survived exposure </w:t>
            </w:r>
            <w:r w:rsidR="00272B66">
              <w:t xml:space="preserve">at </w:t>
            </w:r>
            <w:r>
              <w:t>4,000 ppm but died whe</w:t>
            </w:r>
            <w:r w:rsidR="00C263AE">
              <w:t>n exposed to 8,000 ppm, suggesting half the potency of butylamine</w:t>
            </w:r>
          </w:p>
          <w:p w14:paraId="72F90F9F" w14:textId="3D59F415" w:rsidR="000E275B" w:rsidRDefault="00DC60D0" w:rsidP="004A40DF">
            <w:pPr>
              <w:pStyle w:val="ListBullet"/>
              <w:spacing w:before="60" w:after="60"/>
              <w:ind w:left="720"/>
              <w:contextualSpacing w:val="0"/>
            </w:pPr>
            <w:r>
              <w:t>C</w:t>
            </w:r>
            <w:r w:rsidR="00C263AE">
              <w:t>ritical effects of inhalation exposure were respiratory tract irritation and potential pulmonary oedema</w:t>
            </w:r>
            <w:r w:rsidR="00A24C8D">
              <w:t>.</w:t>
            </w:r>
          </w:p>
          <w:p w14:paraId="249990FD" w14:textId="77777777" w:rsidR="005B0EDA" w:rsidRDefault="005B0EDA" w:rsidP="004A40D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701CF27B" w14:textId="77777777" w:rsidR="00C978F0" w:rsidRDefault="00C263AE" w:rsidP="004A40D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skin sensitiser or carcinogenicity notations</w:t>
            </w:r>
            <w:r w:rsidR="00A24C8D">
              <w:t>.</w:t>
            </w:r>
          </w:p>
          <w:p w14:paraId="15BD9E1F" w14:textId="09968FF2" w:rsidR="005B0EDA" w:rsidRPr="00DA352E" w:rsidRDefault="005B0EDA" w:rsidP="004A40D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6F3D01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754B013" w14:textId="7D9B9FE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D532A">
                  <w:t>1958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D532A">
                  <w:t>MAK: 5 ppm (12 mg/m</w:t>
                </w:r>
                <w:r w:rsidR="006D532A" w:rsidRPr="00F41F0B">
                  <w:rPr>
                    <w:vertAlign w:val="superscript"/>
                  </w:rPr>
                  <w:t>3</w:t>
                </w:r>
                <w:r w:rsidR="006D532A">
                  <w:t>)</w:t>
                </w:r>
              </w:sdtContent>
            </w:sdt>
          </w:p>
        </w:tc>
      </w:tr>
      <w:tr w:rsidR="00C978F0" w:rsidRPr="00DA352E" w14:paraId="686FD9E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E243C9B" w14:textId="32A0C60C" w:rsidR="00A04AAE" w:rsidRDefault="008301B7" w:rsidP="004A40D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57"/>
              <w:contextualSpacing w:val="0"/>
            </w:pPr>
            <w:r>
              <w:t xml:space="preserve">MAK </w:t>
            </w:r>
            <w:r w:rsidR="009C32DC">
              <w:t>is recommended to protect for irritating effects in the upper respiratory tract</w:t>
            </w:r>
            <w:r w:rsidR="005374DF">
              <w:t>.</w:t>
            </w:r>
          </w:p>
          <w:p w14:paraId="7E3E69CF" w14:textId="5CDA84C3" w:rsidR="00A04AAE" w:rsidRDefault="00905EBA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905EBA">
              <w:rPr>
                <w:vertAlign w:val="subscript"/>
              </w:rPr>
              <w:t>50</w:t>
            </w:r>
            <w:r>
              <w:t>: 571 ppm (1,400 mg/m</w:t>
            </w:r>
            <w:r w:rsidRPr="00905EBA">
              <w:rPr>
                <w:vertAlign w:val="superscript"/>
              </w:rPr>
              <w:t>3</w:t>
            </w:r>
            <w:r>
              <w:t>) (rats, 2 h)</w:t>
            </w:r>
          </w:p>
          <w:p w14:paraId="20E7EAC0" w14:textId="21BEEC7E" w:rsidR="00A04AAE" w:rsidRDefault="00905EBA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RD</w:t>
            </w:r>
            <w:r w:rsidRPr="00905EBA">
              <w:rPr>
                <w:vertAlign w:val="subscript"/>
              </w:rPr>
              <w:t>50</w:t>
            </w:r>
            <w:r>
              <w:t>: 160 ppm (393 mg/m</w:t>
            </w:r>
            <w:r w:rsidRPr="00905EBA">
              <w:rPr>
                <w:vertAlign w:val="superscript"/>
              </w:rPr>
              <w:t>3</w:t>
            </w:r>
            <w:r>
              <w:t>) (mice, 15 min)</w:t>
            </w:r>
          </w:p>
          <w:p w14:paraId="348372F8" w14:textId="3B828AED" w:rsidR="007C0B46" w:rsidRDefault="007C0B46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rPr>
                <w:vertAlign w:val="superscript"/>
              </w:rPr>
              <w:t xml:space="preserve">: </w:t>
            </w:r>
            <w:r>
              <w:t>&gt;400 mg/kg (rats, dermal)</w:t>
            </w:r>
          </w:p>
          <w:p w14:paraId="1A996F4B" w14:textId="0E90C9E0" w:rsidR="00905EBA" w:rsidRPr="007C0B46" w:rsidRDefault="00905EBA" w:rsidP="001E0ADA">
            <w:pPr>
              <w:pStyle w:val="ListBullet"/>
              <w:spacing w:before="60" w:after="60"/>
              <w:ind w:left="714" w:hanging="357"/>
              <w:contextualSpacing w:val="0"/>
            </w:pPr>
            <w:r w:rsidRPr="007C0B46">
              <w:t>LD</w:t>
            </w:r>
            <w:r w:rsidRPr="007C0B46">
              <w:rPr>
                <w:vertAlign w:val="subscript"/>
              </w:rPr>
              <w:t>50</w:t>
            </w:r>
            <w:r w:rsidRPr="007C0B46">
              <w:t xml:space="preserve">: </w:t>
            </w:r>
            <w:r w:rsidR="007C0B46" w:rsidRPr="007C0B46">
              <w:t>550</w:t>
            </w:r>
            <w:r w:rsidR="005B0EDA">
              <w:t>–</w:t>
            </w:r>
            <w:r w:rsidR="007C0B46" w:rsidRPr="007C0B46">
              <w:t xml:space="preserve">688 </w:t>
            </w:r>
            <w:r w:rsidRPr="007C0B46">
              <w:t>mg/kg (</w:t>
            </w:r>
            <w:r w:rsidR="007C0B46" w:rsidRPr="007C0B46">
              <w:t>rabbit</w:t>
            </w:r>
            <w:r w:rsidRPr="007C0B46">
              <w:t>, dermal)</w:t>
            </w:r>
          </w:p>
          <w:p w14:paraId="0DE6FD53" w14:textId="2E82352C" w:rsidR="00D741BD" w:rsidRDefault="00D741BD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Irritating to the upper respiratory tract in humans at concentrations of 10</w:t>
            </w:r>
            <w:r w:rsidR="005B0EDA">
              <w:rPr>
                <w:rFonts w:cs="Arial"/>
                <w:color w:val="1C1D1E"/>
                <w:shd w:val="clear" w:color="auto" w:fill="FFFFFF"/>
              </w:rPr>
              <w:t>–</w:t>
            </w:r>
            <w:r>
              <w:rPr>
                <w:rFonts w:cs="Arial"/>
                <w:color w:val="1C1D1E"/>
                <w:shd w:val="clear" w:color="auto" w:fill="FFFFFF"/>
              </w:rPr>
              <w:t>20 ppm </w:t>
            </w:r>
            <w:r w:rsidR="005B0EDA">
              <w:rPr>
                <w:rFonts w:cs="Arial"/>
                <w:color w:val="1C1D1E"/>
                <w:shd w:val="clear" w:color="auto" w:fill="FFFFFF"/>
              </w:rPr>
              <w:br/>
            </w:r>
            <w:r>
              <w:rPr>
                <w:rFonts w:cs="Arial"/>
                <w:color w:val="1C1D1E"/>
                <w:shd w:val="clear" w:color="auto" w:fill="FFFFFF"/>
              </w:rPr>
              <w:t>(24</w:t>
            </w:r>
            <w:r w:rsidR="005B0EDA">
              <w:rPr>
                <w:rFonts w:cs="Arial"/>
                <w:color w:val="1C1D1E"/>
                <w:shd w:val="clear" w:color="auto" w:fill="FFFFFF"/>
              </w:rPr>
              <w:t>–</w:t>
            </w:r>
            <w:r>
              <w:rPr>
                <w:rFonts w:cs="Arial"/>
                <w:color w:val="1C1D1E"/>
                <w:shd w:val="clear" w:color="auto" w:fill="FFFFFF"/>
              </w:rPr>
              <w:t>48</w:t>
            </w:r>
            <w:r w:rsidR="005B0EDA">
              <w:rPr>
                <w:rFonts w:cs="Arial"/>
                <w:color w:val="1C1D1E"/>
                <w:shd w:val="clear" w:color="auto" w:fill="FFFFFF"/>
              </w:rPr>
              <w:t> </w:t>
            </w:r>
            <w:r>
              <w:rPr>
                <w:rFonts w:cs="Arial"/>
                <w:color w:val="1C1D1E"/>
                <w:shd w:val="clear" w:color="auto" w:fill="FFFFFF"/>
              </w:rPr>
              <w:t>mg/m</w:t>
            </w:r>
            <w:r>
              <w:rPr>
                <w:rFonts w:cs="Arial"/>
                <w:color w:val="1C1D1E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>
              <w:rPr>
                <w:rFonts w:cs="Arial"/>
                <w:color w:val="1C1D1E"/>
                <w:shd w:val="clear" w:color="auto" w:fill="FFFFFF"/>
              </w:rPr>
              <w:t>)</w:t>
            </w:r>
          </w:p>
          <w:p w14:paraId="0A3ED1F5" w14:textId="4B6A842D" w:rsidR="00905EBA" w:rsidRDefault="00905EBA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3332AE">
              <w:t xml:space="preserve">at </w:t>
            </w:r>
            <w:r w:rsidRPr="00905EBA">
              <w:t xml:space="preserve">42, 204, 377 </w:t>
            </w:r>
            <w:r w:rsidR="00A1604A">
              <w:t>and</w:t>
            </w:r>
            <w:r w:rsidRPr="00905EBA">
              <w:t xml:space="preserve"> 551</w:t>
            </w:r>
            <w:r w:rsidR="00A1604A">
              <w:t xml:space="preserve"> ppm (rats, 6 h/d, </w:t>
            </w:r>
            <w:r w:rsidR="005A77BF">
              <w:t>GD</w:t>
            </w:r>
            <w:r w:rsidR="00A1604A">
              <w:t xml:space="preserve"> 6</w:t>
            </w:r>
            <w:r w:rsidR="00A24C8D">
              <w:t>–</w:t>
            </w:r>
            <w:r w:rsidR="00A1604A">
              <w:t>15</w:t>
            </w:r>
            <w:r w:rsidR="00EB3969">
              <w:t>, inhalation</w:t>
            </w:r>
            <w:r w:rsidR="00A1604A">
              <w:t>) produced a NOE</w:t>
            </w:r>
            <w:r w:rsidR="005A77BF">
              <w:t>C</w:t>
            </w:r>
            <w:r w:rsidR="00A1604A">
              <w:t xml:space="preserve"> of </w:t>
            </w:r>
            <w:r w:rsidR="00EB3969">
              <w:t>204</w:t>
            </w:r>
            <w:r w:rsidR="00A1604A">
              <w:t xml:space="preserve"> ppm, symptoms included </w:t>
            </w:r>
            <w:r w:rsidR="00A1604A" w:rsidRPr="00A1604A">
              <w:t>mild rales in the lung, dyspnoea, perinasal</w:t>
            </w:r>
            <w:r w:rsidR="00A1604A">
              <w:t>,</w:t>
            </w:r>
            <w:r w:rsidR="00A1604A" w:rsidRPr="00A1604A">
              <w:t xml:space="preserve"> perioral encrustations</w:t>
            </w:r>
            <w:r w:rsidR="00A1604A">
              <w:t xml:space="preserve"> and </w:t>
            </w:r>
            <w:r w:rsidR="00DC60D0">
              <w:t xml:space="preserve">body weight </w:t>
            </w:r>
            <w:r w:rsidR="00A1604A">
              <w:t>decrease</w:t>
            </w:r>
          </w:p>
          <w:p w14:paraId="28222037" w14:textId="0C54ED85" w:rsidR="005A77BF" w:rsidRDefault="00A1604A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3332AE">
              <w:t xml:space="preserve">at </w:t>
            </w:r>
            <w:r w:rsidR="00EB3969">
              <w:t>100, 500 and 1,350 mg/m</w:t>
            </w:r>
            <w:r w:rsidR="00EB3969" w:rsidRPr="00EB3969">
              <w:rPr>
                <w:vertAlign w:val="superscript"/>
              </w:rPr>
              <w:t>3</w:t>
            </w:r>
            <w:r>
              <w:t xml:space="preserve"> (rats, 6 h/d, </w:t>
            </w:r>
            <w:r w:rsidR="00EB3969">
              <w:t>5 d/wk, 4wk, inhalation</w:t>
            </w:r>
            <w:r>
              <w:t>) produced a NOE</w:t>
            </w:r>
            <w:r w:rsidR="005A77BF">
              <w:t>C</w:t>
            </w:r>
            <w:r>
              <w:t xml:space="preserve"> of 100 </w:t>
            </w:r>
            <w:r w:rsidR="00EB3969">
              <w:t>mg/m</w:t>
            </w:r>
            <w:r w:rsidR="00EB3969" w:rsidRPr="00EB3969">
              <w:rPr>
                <w:vertAlign w:val="superscript"/>
              </w:rPr>
              <w:t>3</w:t>
            </w:r>
            <w:r w:rsidR="005024E6">
              <w:rPr>
                <w:vertAlign w:val="superscript"/>
              </w:rPr>
              <w:t xml:space="preserve"> </w:t>
            </w:r>
            <w:r w:rsidR="005024E6">
              <w:t>(41 ppm)</w:t>
            </w:r>
            <w:r w:rsidR="00640D0B">
              <w:t>:</w:t>
            </w:r>
          </w:p>
          <w:p w14:paraId="5B5271B9" w14:textId="505D922E" w:rsidR="00A1604A" w:rsidRPr="005024E6" w:rsidRDefault="005A77BF" w:rsidP="005A77BF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s</w:t>
            </w:r>
            <w:r w:rsidR="00A1604A">
              <w:t xml:space="preserve">ymptoms included </w:t>
            </w:r>
            <w:r w:rsidR="00EB3969">
              <w:t>s</w:t>
            </w:r>
            <w:r w:rsidR="00EB3969" w:rsidRPr="00EB3969">
              <w:t>neezing, nasal encrus</w:t>
            </w:r>
            <w:r w:rsidR="00EB3969">
              <w:t xml:space="preserve">tations, corneal opacities, </w:t>
            </w:r>
            <w:r w:rsidR="00EB3969" w:rsidRPr="00EB3969">
              <w:t xml:space="preserve">reductions in </w:t>
            </w:r>
            <w:r w:rsidR="00DC60D0">
              <w:t>body weight</w:t>
            </w:r>
            <w:r w:rsidR="00EB3969">
              <w:t xml:space="preserve">, reduced </w:t>
            </w:r>
            <w:r w:rsidR="00EB3969">
              <w:rPr>
                <w:rFonts w:cs="Arial"/>
                <w:color w:val="1C1D1E"/>
                <w:shd w:val="clear" w:color="auto" w:fill="FFFFFF"/>
              </w:rPr>
              <w:t>lymphocytes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and</w:t>
            </w:r>
            <w:r w:rsidR="00EB3969">
              <w:rPr>
                <w:rFonts w:cs="Arial"/>
                <w:color w:val="1C1D1E"/>
                <w:shd w:val="clear" w:color="auto" w:fill="FFFFFF"/>
              </w:rPr>
              <w:t xml:space="preserve"> eye, nose and respiratory irritation</w:t>
            </w:r>
          </w:p>
          <w:p w14:paraId="36012F9C" w14:textId="5268DB21" w:rsidR="005A77BF" w:rsidRDefault="005024E6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to 0, 20, 204, 408 ppm (rats, 6 h/d, </w:t>
            </w:r>
            <w:r w:rsidR="005A77BF">
              <w:t>GD</w:t>
            </w:r>
            <w:r>
              <w:t xml:space="preserve"> 6</w:t>
            </w:r>
            <w:r w:rsidR="00A24C8D">
              <w:t>–</w:t>
            </w:r>
            <w:r>
              <w:t xml:space="preserve">15, inhalation) symptoms included respiratory irritation, decreased </w:t>
            </w:r>
            <w:r w:rsidR="00DC60D0">
              <w:t>body weight</w:t>
            </w:r>
            <w:r>
              <w:t xml:space="preserve">, </w:t>
            </w:r>
            <w:r w:rsidR="008301B7" w:rsidRPr="008301B7">
              <w:t>skeletal variations and foetal weights</w:t>
            </w:r>
            <w:r w:rsidR="00640D0B">
              <w:t>:</w:t>
            </w:r>
          </w:p>
          <w:p w14:paraId="67A446CB" w14:textId="044C21A5" w:rsidR="005A77BF" w:rsidRDefault="008301B7" w:rsidP="005A77BF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 w:rsidRPr="008301B7">
              <w:t xml:space="preserve">NOAEC </w:t>
            </w:r>
            <w:r w:rsidR="005A77BF">
              <w:t>m</w:t>
            </w:r>
            <w:r w:rsidRPr="008301B7">
              <w:t>aternal toxicity: 50 mg/m</w:t>
            </w:r>
            <w:r w:rsidRPr="008301B7">
              <w:rPr>
                <w:vertAlign w:val="superscript"/>
              </w:rPr>
              <w:t>3</w:t>
            </w:r>
            <w:r w:rsidRPr="008301B7">
              <w:t xml:space="preserve"> (20 ppm)</w:t>
            </w:r>
          </w:p>
          <w:p w14:paraId="03F9C2E7" w14:textId="3956D8EC" w:rsidR="005024E6" w:rsidRDefault="008301B7" w:rsidP="005A77BF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 w:rsidRPr="008301B7">
              <w:t>NOAEC Developmental toxicity: 500 mg/m</w:t>
            </w:r>
            <w:r w:rsidRPr="008301B7">
              <w:rPr>
                <w:vertAlign w:val="superscript"/>
              </w:rPr>
              <w:t>3</w:t>
            </w:r>
            <w:r w:rsidRPr="008301B7">
              <w:t xml:space="preserve"> (200</w:t>
            </w:r>
            <w:r w:rsidR="005B0EDA">
              <w:t> </w:t>
            </w:r>
            <w:r w:rsidRPr="008301B7">
              <w:t>ppm)</w:t>
            </w:r>
          </w:p>
          <w:p w14:paraId="41E0AEE7" w14:textId="77777777" w:rsidR="00C978F0" w:rsidRDefault="00EB3969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mutagenicity assays</w:t>
            </w:r>
            <w:r w:rsidR="00A24C8D">
              <w:t>.</w:t>
            </w:r>
          </w:p>
          <w:p w14:paraId="52823674" w14:textId="4C71B95B" w:rsidR="005B0EDA" w:rsidRPr="00DA352E" w:rsidRDefault="005B0EDA" w:rsidP="001E0AD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493981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0763FD" w14:textId="1F9972F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41F0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41F0B">
                  <w:t>NA</w:t>
                </w:r>
                <w:proofErr w:type="spellEnd"/>
              </w:sdtContent>
            </w:sdt>
          </w:p>
        </w:tc>
      </w:tr>
      <w:tr w:rsidR="00C978F0" w:rsidRPr="00DA352E" w14:paraId="22986A4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3D454D" w14:textId="39CF2348" w:rsidR="00C978F0" w:rsidRPr="00DA352E" w:rsidRDefault="00F41F0B" w:rsidP="003365A5">
            <w:pPr>
              <w:pStyle w:val="Tabletextprimarysource"/>
            </w:pPr>
            <w:r>
              <w:t>No report</w:t>
            </w:r>
            <w:r w:rsidR="00A24C8D">
              <w:t>.</w:t>
            </w:r>
          </w:p>
        </w:tc>
      </w:tr>
      <w:tr w:rsidR="00DA352E" w:rsidRPr="00DA352E" w14:paraId="082D819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30D378" w14:textId="40129F0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41F0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41F0B">
                  <w:t>NA</w:t>
                </w:r>
                <w:proofErr w:type="spellEnd"/>
              </w:sdtContent>
            </w:sdt>
          </w:p>
        </w:tc>
      </w:tr>
      <w:tr w:rsidR="00DA352E" w:rsidRPr="00DA352E" w14:paraId="1134BD7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4D1D712" w14:textId="5A8960D7" w:rsidR="00DA352E" w:rsidRPr="00DA352E" w:rsidRDefault="00F41F0B" w:rsidP="003365A5">
            <w:pPr>
              <w:pStyle w:val="Tabletextprimarysource"/>
            </w:pPr>
            <w:r>
              <w:t>No report</w:t>
            </w:r>
            <w:r w:rsidR="00A24C8D">
              <w:t>.</w:t>
            </w:r>
          </w:p>
        </w:tc>
      </w:tr>
      <w:tr w:rsidR="00DA352E" w:rsidRPr="00DA352E" w14:paraId="11419AC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55FFC3" w14:textId="40892E0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41F0B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41F0B" w:rsidRPr="00F41F0B">
                  <w:t>TWA</w:t>
                </w:r>
                <w:r w:rsidR="00F41F0B">
                  <w:t>: 5 ppm (12 mg/m</w:t>
                </w:r>
                <w:r w:rsidR="00F41F0B" w:rsidRPr="00F41F0B">
                  <w:rPr>
                    <w:vertAlign w:val="superscript"/>
                  </w:rPr>
                  <w:t>3</w:t>
                </w:r>
                <w:r w:rsidR="00F41F0B">
                  <w:t>)</w:t>
                </w:r>
              </w:sdtContent>
            </w:sdt>
          </w:p>
        </w:tc>
      </w:tr>
      <w:tr w:rsidR="00DA352E" w:rsidRPr="00DA352E" w14:paraId="33A129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6E07398" w14:textId="3DD146E3" w:rsidR="007C0B46" w:rsidRDefault="007C0B46" w:rsidP="003365A5">
            <w:pPr>
              <w:pStyle w:val="Tabletextprimarysource"/>
            </w:pPr>
            <w:r>
              <w:t>Summary of additional data:</w:t>
            </w:r>
          </w:p>
          <w:p w14:paraId="26B86FD4" w14:textId="764D30D3" w:rsidR="007C0B46" w:rsidRDefault="007C0B46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&gt;5,000 mg/kg and 550</w:t>
            </w:r>
            <w:r w:rsidR="005B0EDA">
              <w:t>–</w:t>
            </w:r>
            <w:r>
              <w:t>688 mg/kg</w:t>
            </w:r>
          </w:p>
          <w:p w14:paraId="52407943" w14:textId="0A57159A" w:rsidR="00DA352E" w:rsidRDefault="004A40DF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Odour threshold of 0.2</w:t>
            </w:r>
            <w:r w:rsidR="005B0EDA">
              <w:t>–</w:t>
            </w:r>
            <w:r>
              <w:t>1.2 ppm</w:t>
            </w:r>
            <w:r w:rsidR="00BF7B7C">
              <w:t xml:space="preserve"> reported</w:t>
            </w:r>
          </w:p>
          <w:p w14:paraId="519D0EC6" w14:textId="689E1124" w:rsidR="004A40DF" w:rsidRDefault="00BF7B7C" w:rsidP="001E0A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 of 100 mg/m</w:t>
            </w:r>
            <w:r>
              <w:rPr>
                <w:vertAlign w:val="superscript"/>
              </w:rPr>
              <w:t>3</w:t>
            </w:r>
            <w:r>
              <w:t xml:space="preserve"> in rats; 28</w:t>
            </w:r>
            <w:r w:rsidR="005A77BF">
              <w:t xml:space="preserve"> </w:t>
            </w:r>
            <w:r>
              <w:t>d study; irritation of the eyes and nose; unpublished.</w:t>
            </w:r>
          </w:p>
          <w:p w14:paraId="1CDBB450" w14:textId="658244FA" w:rsidR="005B0EDA" w:rsidRPr="00DA352E" w:rsidRDefault="005B0EDA" w:rsidP="001E0A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48CB3F35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4AE0956F" w14:textId="77777777" w:rsidTr="009379FC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38449E4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B791BA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027AEC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7D69474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ABC6315" w14:textId="77777777" w:rsidTr="009379FC">
        <w:trPr>
          <w:cantSplit/>
        </w:trPr>
        <w:tc>
          <w:tcPr>
            <w:tcW w:w="1498" w:type="dxa"/>
          </w:tcPr>
          <w:p w14:paraId="543F4B1D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B31719A" w14:textId="7F5418A9" w:rsidR="004966BF" w:rsidRPr="00CE617F" w:rsidRDefault="008652A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379F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2DFE128" w14:textId="42EEACF8" w:rsidR="004966BF" w:rsidRPr="004C23F4" w:rsidRDefault="009379F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4" w:type="dxa"/>
          </w:tcPr>
          <w:p w14:paraId="71CDAEEB" w14:textId="50287C20" w:rsidR="004966BF" w:rsidRPr="004C23F4" w:rsidRDefault="009379FC" w:rsidP="001E0ADA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A24C8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26F18AE" w14:textId="77777777" w:rsidTr="009379FC">
        <w:trPr>
          <w:cantSplit/>
        </w:trPr>
        <w:tc>
          <w:tcPr>
            <w:tcW w:w="1498" w:type="dxa"/>
          </w:tcPr>
          <w:p w14:paraId="090E7A02" w14:textId="52069CC6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0B6B5ECB" w14:textId="4D4F2516" w:rsidR="004966BF" w:rsidRPr="00CE617F" w:rsidRDefault="008652AB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5784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12050D6" w14:textId="2A067682" w:rsidR="004966BF" w:rsidRPr="004C23F4" w:rsidRDefault="0095784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3FC9F955" w14:textId="1CBEE090" w:rsidR="004966BF" w:rsidRPr="004C23F4" w:rsidRDefault="0095784C" w:rsidP="001E0AD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Deemed not </w:t>
            </w:r>
            <w:r w:rsidRPr="004A40DF">
              <w:t>sensiti</w:t>
            </w:r>
            <w:r w:rsidR="00A6757F">
              <w:t>s</w:t>
            </w:r>
            <w:r w:rsidRPr="004A40DF">
              <w:t>ing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7C0B46">
              <w:rPr>
                <w:rStyle w:val="checkbox"/>
                <w:rFonts w:ascii="Arial" w:hAnsi="Arial" w:cs="Arial"/>
                <w:i/>
              </w:rPr>
              <w:t>i</w:t>
            </w:r>
            <w:r w:rsidRPr="0095784C">
              <w:rPr>
                <w:rStyle w:val="checkbox"/>
                <w:rFonts w:ascii="Arial" w:hAnsi="Arial" w:cs="Arial"/>
                <w:i/>
              </w:rPr>
              <w:t xml:space="preserve">n </w:t>
            </w:r>
            <w:r>
              <w:rPr>
                <w:rStyle w:val="checkbox"/>
                <w:rFonts w:ascii="Arial" w:hAnsi="Arial" w:cs="Arial"/>
                <w:i/>
              </w:rPr>
              <w:t>vi</w:t>
            </w:r>
            <w:r w:rsidRPr="0095784C">
              <w:rPr>
                <w:rStyle w:val="checkbox"/>
                <w:rFonts w:ascii="Arial" w:hAnsi="Arial" w:cs="Arial"/>
                <w:i/>
              </w:rPr>
              <w:t>vo</w:t>
            </w:r>
            <w:r>
              <w:rPr>
                <w:rStyle w:val="checkbox"/>
                <w:rFonts w:ascii="Arial" w:hAnsi="Arial" w:cs="Arial"/>
              </w:rPr>
              <w:t xml:space="preserve"> study on guinea pigs</w:t>
            </w:r>
            <w:r w:rsidR="00A24C8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5F9F239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DF5D150" w14:textId="77777777" w:rsidTr="008448AD">
        <w:trPr>
          <w:trHeight w:val="454"/>
          <w:tblHeader/>
        </w:trPr>
        <w:tc>
          <w:tcPr>
            <w:tcW w:w="6603" w:type="dxa"/>
            <w:vAlign w:val="center"/>
          </w:tcPr>
          <w:p w14:paraId="772469D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AFE043F" w14:textId="3047C989" w:rsidR="002E0D61" w:rsidRDefault="008448A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E85EEDE" w14:textId="77777777" w:rsidTr="008448A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5C27E0F" w14:textId="3C4D58B6" w:rsidR="008A36CF" w:rsidRPr="006901A2" w:rsidRDefault="008448AD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16AEFF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25673ED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FD5CE2E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4E16A36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6B4596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295DFCF" w14:textId="77777777" w:rsidTr="00812887">
        <w:trPr>
          <w:cantSplit/>
        </w:trPr>
        <w:tc>
          <w:tcPr>
            <w:tcW w:w="3227" w:type="dxa"/>
          </w:tcPr>
          <w:p w14:paraId="2853A2C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B98DE53" w14:textId="61A2308F" w:rsidR="00687890" w:rsidRPr="00DD2F9B" w:rsidRDefault="00F41F0B" w:rsidP="00DD2F9B">
            <w:pPr>
              <w:pStyle w:val="Tablefont"/>
            </w:pPr>
            <w:r w:rsidRPr="00F41F0B">
              <w:t>—</w:t>
            </w:r>
          </w:p>
        </w:tc>
      </w:tr>
      <w:tr w:rsidR="007925F0" w:rsidRPr="004C23F4" w14:paraId="148FAFC4" w14:textId="77777777" w:rsidTr="00812887">
        <w:trPr>
          <w:cantSplit/>
        </w:trPr>
        <w:tc>
          <w:tcPr>
            <w:tcW w:w="3227" w:type="dxa"/>
          </w:tcPr>
          <w:p w14:paraId="6AB7D0E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8D528EC" w14:textId="0F6A23F9" w:rsidR="007925F0" w:rsidRPr="00DD2F9B" w:rsidRDefault="00F41F0B" w:rsidP="00DD2F9B">
            <w:pPr>
              <w:pStyle w:val="Tablefont"/>
            </w:pPr>
            <w:r w:rsidRPr="00F41F0B">
              <w:t>—</w:t>
            </w:r>
          </w:p>
        </w:tc>
      </w:tr>
      <w:tr w:rsidR="00AF483F" w:rsidRPr="004C23F4" w14:paraId="1CE9B6B1" w14:textId="77777777" w:rsidTr="00812887">
        <w:trPr>
          <w:cantSplit/>
        </w:trPr>
        <w:tc>
          <w:tcPr>
            <w:tcW w:w="3227" w:type="dxa"/>
          </w:tcPr>
          <w:p w14:paraId="6756B75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4C5375E" w14:textId="3FDFB0EB" w:rsidR="00AF483F" w:rsidRPr="00DD2F9B" w:rsidRDefault="00F41F0B" w:rsidP="00DD2F9B">
            <w:pPr>
              <w:pStyle w:val="Tablefont"/>
            </w:pPr>
            <w:r w:rsidRPr="00F41F0B">
              <w:t>—</w:t>
            </w:r>
          </w:p>
        </w:tc>
      </w:tr>
      <w:tr w:rsidR="00687890" w:rsidRPr="004C23F4" w14:paraId="32C8CD03" w14:textId="77777777" w:rsidTr="00812887">
        <w:trPr>
          <w:cantSplit/>
        </w:trPr>
        <w:tc>
          <w:tcPr>
            <w:tcW w:w="3227" w:type="dxa"/>
          </w:tcPr>
          <w:p w14:paraId="4D1257D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3C11ED6" w14:textId="2BE443FB" w:rsidR="00687890" w:rsidRPr="00DD2F9B" w:rsidRDefault="00F41F0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8759F25" w14:textId="77777777" w:rsidTr="00812887">
        <w:trPr>
          <w:cantSplit/>
        </w:trPr>
        <w:tc>
          <w:tcPr>
            <w:tcW w:w="3227" w:type="dxa"/>
          </w:tcPr>
          <w:p w14:paraId="5C6DBAB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89FE087" w14:textId="0A718AF3" w:rsidR="00E41A26" w:rsidRPr="00DD2F9B" w:rsidRDefault="00F41F0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4763045" w14:textId="77777777" w:rsidTr="00812887">
        <w:trPr>
          <w:cantSplit/>
        </w:trPr>
        <w:tc>
          <w:tcPr>
            <w:tcW w:w="3227" w:type="dxa"/>
          </w:tcPr>
          <w:p w14:paraId="43670AE9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31A5686" w14:textId="24E53077" w:rsidR="002E0D61" w:rsidRPr="00DD2F9B" w:rsidRDefault="00F41F0B" w:rsidP="00DD2F9B">
            <w:pPr>
              <w:pStyle w:val="Tablefont"/>
            </w:pPr>
            <w:r w:rsidRPr="00F41F0B">
              <w:t>—</w:t>
            </w:r>
          </w:p>
        </w:tc>
      </w:tr>
      <w:tr w:rsidR="002E0D61" w:rsidRPr="004C23F4" w14:paraId="51CAAC56" w14:textId="77777777" w:rsidTr="00812887">
        <w:trPr>
          <w:cantSplit/>
        </w:trPr>
        <w:tc>
          <w:tcPr>
            <w:tcW w:w="3227" w:type="dxa"/>
          </w:tcPr>
          <w:p w14:paraId="4526758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F7760D5" w14:textId="022C04E5" w:rsidR="002E0D61" w:rsidRPr="00DD2F9B" w:rsidRDefault="00F41F0B" w:rsidP="00DD2F9B">
            <w:pPr>
              <w:pStyle w:val="Tablefont"/>
            </w:pPr>
            <w:r w:rsidRPr="00F41F0B">
              <w:t>—</w:t>
            </w:r>
          </w:p>
        </w:tc>
      </w:tr>
      <w:tr w:rsidR="002E0D61" w:rsidRPr="004C23F4" w14:paraId="233CCCBD" w14:textId="77777777" w:rsidTr="00812887">
        <w:trPr>
          <w:cantSplit/>
        </w:trPr>
        <w:tc>
          <w:tcPr>
            <w:tcW w:w="3227" w:type="dxa"/>
          </w:tcPr>
          <w:p w14:paraId="67423AE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2D9A932" w14:textId="118020CE" w:rsidR="002E0D61" w:rsidRPr="00DD2F9B" w:rsidRDefault="00F41F0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0B8E917" w14:textId="77777777" w:rsidTr="00812887">
        <w:trPr>
          <w:cantSplit/>
        </w:trPr>
        <w:tc>
          <w:tcPr>
            <w:tcW w:w="3227" w:type="dxa"/>
          </w:tcPr>
          <w:p w14:paraId="6E8745F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6936C91" w14:textId="3AFDBBD7" w:rsidR="002E0D61" w:rsidRPr="00DD2F9B" w:rsidRDefault="00F41F0B" w:rsidP="00DD2F9B">
            <w:pPr>
              <w:pStyle w:val="Tablefont"/>
            </w:pPr>
            <w:r w:rsidRPr="00F41F0B">
              <w:t>—</w:t>
            </w:r>
          </w:p>
        </w:tc>
      </w:tr>
      <w:tr w:rsidR="00386093" w:rsidRPr="004C23F4" w14:paraId="3348F06E" w14:textId="77777777" w:rsidTr="00812887">
        <w:trPr>
          <w:cantSplit/>
        </w:trPr>
        <w:tc>
          <w:tcPr>
            <w:tcW w:w="3227" w:type="dxa"/>
          </w:tcPr>
          <w:p w14:paraId="00D2FF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99564CD" w14:textId="4EFA46EF" w:rsidR="00386093" w:rsidRPr="00DD2F9B" w:rsidRDefault="00F41F0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3CBCFD0" w14:textId="77777777" w:rsidTr="00812887">
        <w:trPr>
          <w:cantSplit/>
        </w:trPr>
        <w:tc>
          <w:tcPr>
            <w:tcW w:w="3227" w:type="dxa"/>
          </w:tcPr>
          <w:p w14:paraId="103C76B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AA41523" w14:textId="54629867" w:rsidR="00386093" w:rsidRPr="00DD2F9B" w:rsidRDefault="00F41F0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CF007D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F69ECE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AA8CA3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DB1D79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B5474F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51"/>
              <w:gridCol w:w="900"/>
              <w:gridCol w:w="900"/>
              <w:gridCol w:w="3159"/>
            </w:tblGrid>
            <w:tr w:rsidR="008448AD" w:rsidRPr="008448AD" w14:paraId="4C963851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A73A38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71282C" w14:textId="77777777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1EF1CE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2F5329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448AD" w:rsidRPr="008448AD" w14:paraId="0CEBC4DA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FB4EE6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90E8E5D" w14:textId="77777777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788A8F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6864B2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448AD" w:rsidRPr="008448AD" w14:paraId="11687279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EB9DE9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15CEC2" w14:textId="77777777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A9BD85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D87760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448AD" w:rsidRPr="008448AD" w14:paraId="2AAF4BDD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FC4234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84B236" w14:textId="18C1E522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B59C0F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-3.00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30A825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448AD" w:rsidRPr="008448AD" w14:paraId="22CC7077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FE2E82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4B072C" w14:textId="77777777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5EE392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4D47E9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448AD" w:rsidRPr="008448AD" w14:paraId="3B03A789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034F43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04827F" w14:textId="77777777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0F3514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740C2A" w14:textId="77777777" w:rsidR="008448AD" w:rsidRPr="008448AD" w:rsidRDefault="008448AD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8448AD" w:rsidRPr="008448AD" w14:paraId="3F52E827" w14:textId="77777777" w:rsidTr="008448AD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3F0B6A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A5906B" w14:textId="77777777" w:rsidR="008448AD" w:rsidRPr="008448AD" w:rsidRDefault="008448AD" w:rsidP="008448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A2011B" w14:textId="77777777" w:rsidR="008448AD" w:rsidRPr="008448AD" w:rsidRDefault="008448AD" w:rsidP="008448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8448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115768" w14:textId="793250F9" w:rsidR="008448AD" w:rsidRPr="008448AD" w:rsidRDefault="004A40DF" w:rsidP="008448A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consider assigning a skin notation </w:t>
                  </w:r>
                </w:p>
              </w:tc>
            </w:tr>
          </w:tbl>
          <w:p w14:paraId="2862A4A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218D63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37CDCC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DDEE0C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A615814" w14:textId="1D7A7669" w:rsidR="00EB3D1B" w:rsidRDefault="00F41F0B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82F364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440204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43310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ABC48C2" w14:textId="26EBE614" w:rsidR="001B79E5" w:rsidRDefault="00F41F0B" w:rsidP="001B79E5">
                <w:pPr>
                  <w:pStyle w:val="Tablefont"/>
                </w:pPr>
                <w:r w:rsidRPr="00F41F0B">
                  <w:t>59.11</w:t>
                </w:r>
              </w:p>
            </w:tc>
          </w:sdtContent>
        </w:sdt>
      </w:tr>
      <w:tr w:rsidR="00A31D99" w:rsidRPr="004C23F4" w14:paraId="25C209A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B24246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74957BFA" w14:textId="18DD195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F41F0B">
                  <w:t>2.41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F41F0B">
                  <w:t>0.414</w:t>
                </w:r>
              </w:sdtContent>
            </w:sdt>
            <w:r w:rsidRPr="00F41F0B">
              <w:t xml:space="preserve"> </w:t>
            </w:r>
            <w:r>
              <w:t>ppm</w:t>
            </w:r>
          </w:p>
        </w:tc>
      </w:tr>
      <w:tr w:rsidR="00687890" w:rsidRPr="004C23F4" w14:paraId="7DA3ECD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FF816D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92110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C13244A" w14:textId="77777777" w:rsidTr="00EA6243">
        <w:trPr>
          <w:cantSplit/>
        </w:trPr>
        <w:tc>
          <w:tcPr>
            <w:tcW w:w="4077" w:type="dxa"/>
            <w:vAlign w:val="center"/>
          </w:tcPr>
          <w:p w14:paraId="14C2EAC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B4830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DB9D4C" w14:textId="77777777" w:rsidTr="00EA6243">
        <w:trPr>
          <w:cantSplit/>
        </w:trPr>
        <w:tc>
          <w:tcPr>
            <w:tcW w:w="4077" w:type="dxa"/>
            <w:vAlign w:val="center"/>
          </w:tcPr>
          <w:p w14:paraId="3564240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C788E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AC44689" w14:textId="77777777" w:rsidTr="00EA6243">
        <w:trPr>
          <w:cantSplit/>
        </w:trPr>
        <w:tc>
          <w:tcPr>
            <w:tcW w:w="4077" w:type="dxa"/>
            <w:vAlign w:val="center"/>
          </w:tcPr>
          <w:p w14:paraId="662E39D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66E912E" w14:textId="77777777" w:rsidR="00E06F40" w:rsidRPr="00A006A0" w:rsidRDefault="008652A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6D2D1C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7B63F8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0C6C19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3FDB93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C7DD2F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AFF6C2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A9A4CB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212EFF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B8CFDBF" w14:textId="402DD77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9B01692" w14:textId="2C252FE3" w:rsidR="000B507D" w:rsidRDefault="000B507D" w:rsidP="00084859">
      <w:r w:rsidRPr="002022B6">
        <w:t>Deutsche Forschungsgemeinschaft (DFG)</w:t>
      </w:r>
      <w:r>
        <w:t xml:space="preserve"> (2007) </w:t>
      </w:r>
      <w:r w:rsidRPr="000B507D">
        <w:t>2-Aminopropan (</w:t>
      </w:r>
      <w:proofErr w:type="spellStart"/>
      <w:r w:rsidRPr="000B507D">
        <w:t>Isopropylamin</w:t>
      </w:r>
      <w:proofErr w:type="spellEnd"/>
      <w:r w:rsidRPr="000B507D">
        <w:t>)</w:t>
      </w:r>
      <w:r>
        <w:t xml:space="preserve"> – MAK value documentation.</w:t>
      </w:r>
    </w:p>
    <w:p w14:paraId="27BE53CA" w14:textId="77777777" w:rsidR="00A24C8D" w:rsidRPr="00351FE0" w:rsidRDefault="00A24C8D" w:rsidP="00A24C8D">
      <w:r w:rsidRPr="006E53BB">
        <w:t>European Chemicals Agency (ECHA) (20</w:t>
      </w:r>
      <w:r>
        <w:t>11</w:t>
      </w:r>
      <w:r w:rsidRPr="006E53BB">
        <w:t>)</w:t>
      </w:r>
      <w:r>
        <w:t xml:space="preserve"> </w:t>
      </w:r>
      <w:r w:rsidRPr="000B507D">
        <w:t>Isopropylamine</w:t>
      </w:r>
      <w:r>
        <w:t xml:space="preserve"> </w:t>
      </w:r>
      <w:r w:rsidRPr="006E53BB">
        <w:t>– REACH assessment.</w:t>
      </w:r>
    </w:p>
    <w:p w14:paraId="06FF0A96" w14:textId="169CAAAE" w:rsidR="000B507D" w:rsidRDefault="000B507D" w:rsidP="00084859">
      <w:r w:rsidRPr="002022B6">
        <w:t>Health Council of the Netherlands</w:t>
      </w:r>
      <w:r>
        <w:t xml:space="preserve"> (HCOTN) (2004) </w:t>
      </w:r>
      <w:r w:rsidRPr="000B507D">
        <w:t>Isopropylamine</w:t>
      </w:r>
      <w:r w:rsidRPr="005F7416">
        <w:t xml:space="preserve">. Health-based calculated occupational cancer risk values. The Hague: Health Council of the Netherlands; publication no. </w:t>
      </w:r>
      <w:r w:rsidRPr="000B507D">
        <w:t>2000/15OSH/122</w:t>
      </w:r>
      <w:r>
        <w:t>.</w:t>
      </w:r>
    </w:p>
    <w:p w14:paraId="1605F596" w14:textId="3F608953" w:rsidR="000B507D" w:rsidRDefault="000B507D" w:rsidP="00084859">
      <w:r w:rsidRPr="002022B6">
        <w:lastRenderedPageBreak/>
        <w:t>National Industrial Chemicals Notification and Assessment Scheme (NICNAS)</w:t>
      </w:r>
      <w:r>
        <w:t xml:space="preserve"> (</w:t>
      </w:r>
      <w:r w:rsidRPr="000B507D">
        <w:t>2016</w:t>
      </w:r>
      <w:r>
        <w:t xml:space="preserve">) </w:t>
      </w:r>
      <w:r w:rsidRPr="000B507D">
        <w:t>Short chain (C2-3) alkyl amines</w:t>
      </w:r>
      <w:r w:rsidRPr="0071660C">
        <w:t xml:space="preserve">: Human health </w:t>
      </w:r>
      <w:r w:rsidRPr="000B507D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531E1410" w14:textId="0A57C30A" w:rsidR="000B507D" w:rsidRDefault="000B507D" w:rsidP="00084859">
      <w:r w:rsidRPr="00D86E03">
        <w:t>US National Institute for Occupational Safety and Health (NIOSH)</w:t>
      </w:r>
      <w:r>
        <w:t xml:space="preserve"> (</w:t>
      </w:r>
      <w:r w:rsidRPr="000B507D">
        <w:t>1994</w:t>
      </w:r>
      <w:r>
        <w:t xml:space="preserve">) Immediately dangerous to life or health concentrations – </w:t>
      </w:r>
      <w:r w:rsidRPr="000B507D">
        <w:t>Isopropylamine</w:t>
      </w:r>
      <w:r>
        <w:t>.</w:t>
      </w:r>
    </w:p>
    <w:p w14:paraId="63E2150C" w14:textId="4D68E02F" w:rsidR="006E53BB" w:rsidRPr="00351FE0" w:rsidRDefault="006E53BB" w:rsidP="00084859"/>
    <w:sectPr w:rsidR="006E53BB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5489" w14:textId="77777777" w:rsidR="004236E9" w:rsidRDefault="004236E9" w:rsidP="00F43AD5">
      <w:pPr>
        <w:spacing w:after="0" w:line="240" w:lineRule="auto"/>
      </w:pPr>
      <w:r>
        <w:separator/>
      </w:r>
    </w:p>
  </w:endnote>
  <w:endnote w:type="continuationSeparator" w:id="0">
    <w:p w14:paraId="21501BD8" w14:textId="77777777" w:rsidR="004236E9" w:rsidRDefault="004236E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95465" w14:textId="77777777" w:rsidR="000645F0" w:rsidRDefault="00064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1EAA2B" w14:textId="03060F7A" w:rsidR="008A36CF" w:rsidRDefault="006D532A" w:rsidP="0034744C">
        <w:pPr>
          <w:pStyle w:val="Footer"/>
          <w:rPr>
            <w:sz w:val="18"/>
            <w:szCs w:val="18"/>
          </w:rPr>
        </w:pPr>
        <w:r w:rsidRPr="006D532A">
          <w:rPr>
            <w:b/>
            <w:sz w:val="18"/>
            <w:szCs w:val="18"/>
          </w:rPr>
          <w:t>Isopropylamine</w:t>
        </w:r>
        <w:r w:rsidR="008A36CF">
          <w:rPr>
            <w:b/>
            <w:sz w:val="18"/>
            <w:szCs w:val="18"/>
          </w:rPr>
          <w:t xml:space="preserve"> (</w:t>
        </w:r>
        <w:r w:rsidRPr="006D532A">
          <w:rPr>
            <w:b/>
            <w:sz w:val="18"/>
            <w:szCs w:val="18"/>
          </w:rPr>
          <w:t>75-31-0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5732164" w14:textId="70A055B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652AB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7C8F" w14:textId="77777777" w:rsidR="000645F0" w:rsidRDefault="00064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5988" w14:textId="77777777" w:rsidR="004236E9" w:rsidRDefault="004236E9" w:rsidP="00F43AD5">
      <w:pPr>
        <w:spacing w:after="0" w:line="240" w:lineRule="auto"/>
      </w:pPr>
      <w:r>
        <w:separator/>
      </w:r>
    </w:p>
  </w:footnote>
  <w:footnote w:type="continuationSeparator" w:id="0">
    <w:p w14:paraId="4328DE41" w14:textId="77777777" w:rsidR="004236E9" w:rsidRDefault="004236E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86D0" w14:textId="77777777" w:rsidR="000645F0" w:rsidRDefault="00064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CA50" w14:textId="0ADFFD93" w:rsidR="00BD7D98" w:rsidRDefault="008652AB" w:rsidP="00BD7D98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37FED5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D7D98">
      <w:rPr>
        <w:noProof/>
        <w:lang w:eastAsia="en-AU"/>
      </w:rPr>
      <w:drawing>
        <wp:inline distT="0" distB="0" distL="0" distR="0" wp14:anchorId="46441029" wp14:editId="1685176A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E9FE4" w14:textId="2B7B65D8" w:rsidR="008A36CF" w:rsidRPr="00BD7D98" w:rsidRDefault="008A36CF" w:rsidP="00BD7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5CFA" w14:textId="77777777" w:rsidR="000645F0" w:rsidRDefault="000645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5CA7" w14:textId="6F344A89" w:rsidR="00BD7D98" w:rsidRDefault="008652AB" w:rsidP="00BD7D98">
    <w:pPr>
      <w:pStyle w:val="Header"/>
      <w:jc w:val="right"/>
    </w:pPr>
    <w:sdt>
      <w:sdtPr>
        <w:id w:val="-1957252687"/>
        <w:docPartObj>
          <w:docPartGallery w:val="Watermarks"/>
          <w:docPartUnique/>
        </w:docPartObj>
      </w:sdtPr>
      <w:sdtEndPr/>
      <w:sdtContent>
        <w:r>
          <w:pict w14:anchorId="01FF38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7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D7D98">
      <w:rPr>
        <w:noProof/>
        <w:lang w:eastAsia="en-AU"/>
      </w:rPr>
      <w:drawing>
        <wp:inline distT="0" distB="0" distL="0" distR="0" wp14:anchorId="3725F16B" wp14:editId="1D2D5576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E31BE5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B09B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670882"/>
    <w:multiLevelType w:val="hybridMultilevel"/>
    <w:tmpl w:val="49A4A30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2F8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45F0"/>
    <w:rsid w:val="00067F32"/>
    <w:rsid w:val="00071807"/>
    <w:rsid w:val="00071A9B"/>
    <w:rsid w:val="000803E1"/>
    <w:rsid w:val="00084513"/>
    <w:rsid w:val="00084859"/>
    <w:rsid w:val="00092D94"/>
    <w:rsid w:val="00095D0F"/>
    <w:rsid w:val="000B0868"/>
    <w:rsid w:val="000B3E12"/>
    <w:rsid w:val="000B3E78"/>
    <w:rsid w:val="000B507D"/>
    <w:rsid w:val="000B7B48"/>
    <w:rsid w:val="000C096D"/>
    <w:rsid w:val="000C139A"/>
    <w:rsid w:val="000C2053"/>
    <w:rsid w:val="000C248C"/>
    <w:rsid w:val="000D291C"/>
    <w:rsid w:val="000E275B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3730"/>
    <w:rsid w:val="001D56F0"/>
    <w:rsid w:val="001D663B"/>
    <w:rsid w:val="001D7B41"/>
    <w:rsid w:val="001D7FB4"/>
    <w:rsid w:val="001E0ADA"/>
    <w:rsid w:val="001E46DA"/>
    <w:rsid w:val="001E7D80"/>
    <w:rsid w:val="001F4B6C"/>
    <w:rsid w:val="001F573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74DC"/>
    <w:rsid w:val="00244AD1"/>
    <w:rsid w:val="002463BC"/>
    <w:rsid w:val="002465CE"/>
    <w:rsid w:val="0025734A"/>
    <w:rsid w:val="00263255"/>
    <w:rsid w:val="00272B66"/>
    <w:rsid w:val="00276494"/>
    <w:rsid w:val="00277B0C"/>
    <w:rsid w:val="00293F69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2AE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5B6"/>
    <w:rsid w:val="00417A56"/>
    <w:rsid w:val="00420957"/>
    <w:rsid w:val="00422A10"/>
    <w:rsid w:val="004236E9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40DF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4E6"/>
    <w:rsid w:val="00502B88"/>
    <w:rsid w:val="005113A5"/>
    <w:rsid w:val="005142C4"/>
    <w:rsid w:val="0051509C"/>
    <w:rsid w:val="005272E2"/>
    <w:rsid w:val="0053108F"/>
    <w:rsid w:val="00532B56"/>
    <w:rsid w:val="00534B10"/>
    <w:rsid w:val="005374DF"/>
    <w:rsid w:val="005446A2"/>
    <w:rsid w:val="00544D2F"/>
    <w:rsid w:val="00551BD8"/>
    <w:rsid w:val="005542F4"/>
    <w:rsid w:val="00581055"/>
    <w:rsid w:val="00591E38"/>
    <w:rsid w:val="005A19C5"/>
    <w:rsid w:val="005A3034"/>
    <w:rsid w:val="005A462D"/>
    <w:rsid w:val="005A77BF"/>
    <w:rsid w:val="005B0EDA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51A8"/>
    <w:rsid w:val="006363A8"/>
    <w:rsid w:val="00636DB7"/>
    <w:rsid w:val="00640D0B"/>
    <w:rsid w:val="00642364"/>
    <w:rsid w:val="00646467"/>
    <w:rsid w:val="00650905"/>
    <w:rsid w:val="006532ED"/>
    <w:rsid w:val="006549F2"/>
    <w:rsid w:val="006567B7"/>
    <w:rsid w:val="00657BFB"/>
    <w:rsid w:val="0066333C"/>
    <w:rsid w:val="006639B4"/>
    <w:rsid w:val="006650FE"/>
    <w:rsid w:val="0067004D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532A"/>
    <w:rsid w:val="006D79EA"/>
    <w:rsid w:val="006E502D"/>
    <w:rsid w:val="006E53BB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1948"/>
    <w:rsid w:val="00783FB1"/>
    <w:rsid w:val="00785CDD"/>
    <w:rsid w:val="00791847"/>
    <w:rsid w:val="007925F0"/>
    <w:rsid w:val="007939B3"/>
    <w:rsid w:val="0079509C"/>
    <w:rsid w:val="00796708"/>
    <w:rsid w:val="007B1B42"/>
    <w:rsid w:val="007C0B46"/>
    <w:rsid w:val="007C14C6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01B7"/>
    <w:rsid w:val="00834CC8"/>
    <w:rsid w:val="00835E00"/>
    <w:rsid w:val="00837113"/>
    <w:rsid w:val="008414E4"/>
    <w:rsid w:val="00843E21"/>
    <w:rsid w:val="008448AD"/>
    <w:rsid w:val="0084508E"/>
    <w:rsid w:val="00854A3E"/>
    <w:rsid w:val="00857A8A"/>
    <w:rsid w:val="008630EE"/>
    <w:rsid w:val="00864D13"/>
    <w:rsid w:val="008652AB"/>
    <w:rsid w:val="00871CD5"/>
    <w:rsid w:val="008745A2"/>
    <w:rsid w:val="008748FB"/>
    <w:rsid w:val="00875BC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5EBA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379FC"/>
    <w:rsid w:val="00946044"/>
    <w:rsid w:val="0094660B"/>
    <w:rsid w:val="00946A33"/>
    <w:rsid w:val="00950092"/>
    <w:rsid w:val="0095260E"/>
    <w:rsid w:val="0095784C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32DC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4AAE"/>
    <w:rsid w:val="00A0643F"/>
    <w:rsid w:val="00A067EE"/>
    <w:rsid w:val="00A10FCE"/>
    <w:rsid w:val="00A1604A"/>
    <w:rsid w:val="00A16D91"/>
    <w:rsid w:val="00A174CC"/>
    <w:rsid w:val="00A2073D"/>
    <w:rsid w:val="00A20751"/>
    <w:rsid w:val="00A24C8D"/>
    <w:rsid w:val="00A27E2D"/>
    <w:rsid w:val="00A31D99"/>
    <w:rsid w:val="00A357BA"/>
    <w:rsid w:val="00A35ADC"/>
    <w:rsid w:val="00A402A3"/>
    <w:rsid w:val="00A53681"/>
    <w:rsid w:val="00A633D4"/>
    <w:rsid w:val="00A63443"/>
    <w:rsid w:val="00A6461A"/>
    <w:rsid w:val="00A6757F"/>
    <w:rsid w:val="00A735A2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0771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D7D98"/>
    <w:rsid w:val="00BF2406"/>
    <w:rsid w:val="00BF5CCE"/>
    <w:rsid w:val="00BF7B7C"/>
    <w:rsid w:val="00C06E43"/>
    <w:rsid w:val="00C16315"/>
    <w:rsid w:val="00C263AE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5F76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1DDA"/>
    <w:rsid w:val="00D668E6"/>
    <w:rsid w:val="00D70670"/>
    <w:rsid w:val="00D741BD"/>
    <w:rsid w:val="00D74D80"/>
    <w:rsid w:val="00D76624"/>
    <w:rsid w:val="00D87570"/>
    <w:rsid w:val="00D91CB9"/>
    <w:rsid w:val="00D97989"/>
    <w:rsid w:val="00D97D8D"/>
    <w:rsid w:val="00DA352E"/>
    <w:rsid w:val="00DC60D0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3821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9BF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969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6E3"/>
    <w:rsid w:val="00F10C97"/>
    <w:rsid w:val="00F11C71"/>
    <w:rsid w:val="00F16019"/>
    <w:rsid w:val="00F20E68"/>
    <w:rsid w:val="00F22093"/>
    <w:rsid w:val="00F236DF"/>
    <w:rsid w:val="00F41F0B"/>
    <w:rsid w:val="00F43AD5"/>
    <w:rsid w:val="00F4402E"/>
    <w:rsid w:val="00F5200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E275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C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F47F5EE99134FC1B7B89CAB0B99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851E-D71B-466C-A17C-F832A1EAA11F}"/>
      </w:docPartPr>
      <w:docPartBody>
        <w:p w:rsidR="0027057C" w:rsidRDefault="00680623" w:rsidP="00680623">
          <w:pPr>
            <w:pStyle w:val="1F47F5EE99134FC1B7B89CAB0B996D6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7057C"/>
    <w:rsid w:val="00482045"/>
    <w:rsid w:val="00680623"/>
    <w:rsid w:val="00B33E2A"/>
    <w:rsid w:val="00CC18FD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62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3B02461D2C8474B8CD9F29171E82BE8">
    <w:name w:val="83B02461D2C8474B8CD9F29171E82BE8"/>
    <w:rsid w:val="00CC18FD"/>
  </w:style>
  <w:style w:type="paragraph" w:customStyle="1" w:styleId="24775E9A364842B98C354DED8CD0F325">
    <w:name w:val="24775E9A364842B98C354DED8CD0F325"/>
    <w:rsid w:val="00CC18FD"/>
  </w:style>
  <w:style w:type="paragraph" w:customStyle="1" w:styleId="828C492285684A94A78BF1DA5340B700">
    <w:name w:val="828C492285684A94A78BF1DA5340B700"/>
    <w:rsid w:val="00CC18FD"/>
  </w:style>
  <w:style w:type="paragraph" w:customStyle="1" w:styleId="19B6B0553A6C4A8E834B045C83FCEFC0">
    <w:name w:val="19B6B0553A6C4A8E834B045C83FCEFC0"/>
    <w:rsid w:val="00CC18FD"/>
  </w:style>
  <w:style w:type="paragraph" w:customStyle="1" w:styleId="54869F996024451DBC4DD8C837B25FF2">
    <w:name w:val="54869F996024451DBC4DD8C837B25FF2"/>
    <w:rsid w:val="00CC18FD"/>
  </w:style>
  <w:style w:type="paragraph" w:customStyle="1" w:styleId="7B2BAF7BB0014F9B933E629585D056E8">
    <w:name w:val="7B2BAF7BB0014F9B933E629585D056E8"/>
    <w:rsid w:val="00CC18FD"/>
  </w:style>
  <w:style w:type="paragraph" w:customStyle="1" w:styleId="16DA0C900524418BAB2543C248E9BC3C">
    <w:name w:val="16DA0C900524418BAB2543C248E9BC3C"/>
    <w:rsid w:val="00CC18FD"/>
  </w:style>
  <w:style w:type="paragraph" w:customStyle="1" w:styleId="5A431E1D005B4D69B201AC765D22CFD3">
    <w:name w:val="5A431E1D005B4D69B201AC765D22CFD3"/>
    <w:rsid w:val="00CC18FD"/>
  </w:style>
  <w:style w:type="paragraph" w:customStyle="1" w:styleId="09020A20986B4EAD8CB870698EED01E2">
    <w:name w:val="09020A20986B4EAD8CB870698EED01E2"/>
    <w:rsid w:val="00CC18FD"/>
  </w:style>
  <w:style w:type="paragraph" w:customStyle="1" w:styleId="60F80F0D0E5F4AE3A5FF1A1B9A72D3CB">
    <w:name w:val="60F80F0D0E5F4AE3A5FF1A1B9A72D3CB"/>
    <w:rsid w:val="00CC18FD"/>
  </w:style>
  <w:style w:type="paragraph" w:customStyle="1" w:styleId="1F47F5EE99134FC1B7B89CAB0B996D60">
    <w:name w:val="1F47F5EE99134FC1B7B89CAB0B996D60"/>
    <w:rsid w:val="0068062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698B-AC54-4C21-8D2E-7F2C7478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5313E-7EAC-4725-A0FC-4AEAAACEBCF2}">
  <ds:schemaRefs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99AD89-873D-48B7-9672-1C2A052A1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BFC8C-4F38-410C-9380-8C158429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2019-12-13T02:49:00Z</dcterms:created>
  <dcterms:modified xsi:type="dcterms:W3CDTF">2020-01-30T04:13:00Z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