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174A9FA9" w14:textId="6E4467DB" w:rsidR="00BD499F" w:rsidRPr="004C23F4" w:rsidRDefault="00200184" w:rsidP="00B40C60">
          <w:pPr>
            <w:pStyle w:val="Heading1"/>
            <w:jc w:val="center"/>
            <w:rPr>
              <w:rFonts w:ascii="Arial" w:hAnsi="Arial" w:cs="Arial"/>
            </w:rPr>
          </w:pPr>
          <w:r w:rsidRPr="00200184">
            <w:rPr>
              <w:rFonts w:ascii="Arial" w:hAnsi="Arial" w:cs="Arial"/>
            </w:rPr>
            <w:t>Kaolin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733C3821" w14:textId="77777777" w:rsidTr="00B76A41">
        <w:trPr>
          <w:cantSplit/>
          <w:tblHeader/>
        </w:trPr>
        <w:tc>
          <w:tcPr>
            <w:tcW w:w="4077" w:type="dxa"/>
          </w:tcPr>
          <w:p w14:paraId="24DBC2E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DD0EDB7" w14:textId="096FE6AE" w:rsidR="00F43AD5" w:rsidRPr="00717D45" w:rsidRDefault="00FF456A" w:rsidP="00B76A41">
            <w:pPr>
              <w:pStyle w:val="Tablefont"/>
            </w:pPr>
            <w:r w:rsidRPr="00FF456A">
              <w:t>1332-58-7</w:t>
            </w:r>
          </w:p>
        </w:tc>
      </w:tr>
      <w:tr w:rsidR="00F43AD5" w:rsidRPr="004C23F4" w14:paraId="6C842E06" w14:textId="77777777" w:rsidTr="00B76A41">
        <w:trPr>
          <w:cantSplit/>
        </w:trPr>
        <w:tc>
          <w:tcPr>
            <w:tcW w:w="4077" w:type="dxa"/>
          </w:tcPr>
          <w:p w14:paraId="68424219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50EE9984" w14:textId="742E85C7" w:rsidR="00F43AD5" w:rsidRPr="00717D45" w:rsidRDefault="0016602E" w:rsidP="00B76A41">
            <w:pPr>
              <w:pStyle w:val="Tablefont"/>
            </w:pPr>
            <w:r>
              <w:t>Argilla, china clay, hydrated aluminium silicate, porcelain clay, kaopectate, bolus alba</w:t>
            </w:r>
          </w:p>
        </w:tc>
      </w:tr>
      <w:tr w:rsidR="00F43AD5" w:rsidRPr="004C23F4" w14:paraId="6B041DB6" w14:textId="77777777" w:rsidTr="00B76A41">
        <w:trPr>
          <w:cantSplit/>
        </w:trPr>
        <w:tc>
          <w:tcPr>
            <w:tcW w:w="4077" w:type="dxa"/>
          </w:tcPr>
          <w:p w14:paraId="25E68A8D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185E0C21" w14:textId="241C2817" w:rsidR="00F43AD5" w:rsidRPr="00717D45" w:rsidRDefault="0016602E" w:rsidP="00B76A41">
            <w:pPr>
              <w:pStyle w:val="Tablefont"/>
            </w:pPr>
            <w:r>
              <w:t>H</w:t>
            </w:r>
            <w:r w:rsidRPr="0016602E">
              <w:rPr>
                <w:vertAlign w:val="subscript"/>
              </w:rPr>
              <w:t>2</w:t>
            </w:r>
            <w:r>
              <w:t>Al</w:t>
            </w:r>
            <w:r w:rsidRPr="0016602E">
              <w:rPr>
                <w:vertAlign w:val="subscript"/>
              </w:rPr>
              <w:t>2</w:t>
            </w:r>
            <w:r>
              <w:t>Si</w:t>
            </w:r>
            <w:r w:rsidRPr="0016602E">
              <w:rPr>
                <w:vertAlign w:val="subscript"/>
              </w:rPr>
              <w:t>2</w:t>
            </w:r>
            <w:r>
              <w:t>O</w:t>
            </w:r>
            <w:r w:rsidRPr="0016602E">
              <w:rPr>
                <w:vertAlign w:val="subscript"/>
              </w:rPr>
              <w:t>8</w:t>
            </w:r>
            <w:r>
              <w:t>.H</w:t>
            </w:r>
            <w:r w:rsidRPr="0016602E">
              <w:rPr>
                <w:vertAlign w:val="subscript"/>
              </w:rPr>
              <w:t>2</w:t>
            </w:r>
            <w:r>
              <w:t>O</w:t>
            </w:r>
          </w:p>
        </w:tc>
      </w:tr>
      <w:tr w:rsidR="00F43AD5" w:rsidRPr="004C23F4" w14:paraId="32E0373D" w14:textId="77777777" w:rsidTr="00B76A41">
        <w:trPr>
          <w:cantSplit/>
        </w:trPr>
        <w:tc>
          <w:tcPr>
            <w:tcW w:w="4077" w:type="dxa"/>
          </w:tcPr>
          <w:p w14:paraId="17F4B326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21897F2A" w14:textId="050A7B9A" w:rsidR="00F43AD5" w:rsidRPr="0016602E" w:rsidRDefault="0016602E" w:rsidP="00B76A41">
            <w:pPr>
              <w:pStyle w:val="Tablerowheading"/>
              <w:rPr>
                <w:b w:val="0"/>
              </w:rPr>
            </w:pPr>
            <w:r w:rsidRPr="0016602E">
              <w:rPr>
                <w:b w:val="0"/>
              </w:rPr>
              <w:t>—</w:t>
            </w:r>
          </w:p>
        </w:tc>
      </w:tr>
    </w:tbl>
    <w:p w14:paraId="5EB3F5DA" w14:textId="78DD844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D4810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7AB3F015" w14:textId="77777777" w:rsidTr="007316F7">
        <w:trPr>
          <w:cantSplit/>
          <w:tblHeader/>
        </w:trPr>
        <w:tc>
          <w:tcPr>
            <w:tcW w:w="4005" w:type="dxa"/>
            <w:vAlign w:val="center"/>
          </w:tcPr>
          <w:p w14:paraId="38EB8C1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3F6AAE77" w14:textId="7BAF2E4F" w:rsidR="002C7AFE" w:rsidRPr="00627647" w:rsidRDefault="00BD4810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 xml:space="preserve">10 </w:t>
            </w:r>
            <w:r w:rsidR="00627647">
              <w:rPr>
                <w:b/>
              </w:rPr>
              <w:t>mg/m</w:t>
            </w:r>
            <w:r w:rsidR="00627647">
              <w:rPr>
                <w:b/>
                <w:vertAlign w:val="superscript"/>
              </w:rPr>
              <w:t>3</w:t>
            </w:r>
          </w:p>
        </w:tc>
      </w:tr>
      <w:tr w:rsidR="002C7AFE" w:rsidRPr="004C23F4" w14:paraId="5151B2A1" w14:textId="77777777" w:rsidTr="007316F7">
        <w:trPr>
          <w:cantSplit/>
        </w:trPr>
        <w:tc>
          <w:tcPr>
            <w:tcW w:w="4005" w:type="dxa"/>
            <w:vAlign w:val="center"/>
          </w:tcPr>
          <w:p w14:paraId="640E4233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20E8003" w14:textId="55FE0889" w:rsidR="002C7AFE" w:rsidRPr="00EB3D1B" w:rsidRDefault="00627647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5F683513" w14:textId="77777777" w:rsidTr="007316F7">
        <w:trPr>
          <w:cantSplit/>
        </w:trPr>
        <w:tc>
          <w:tcPr>
            <w:tcW w:w="4005" w:type="dxa"/>
            <w:vAlign w:val="center"/>
          </w:tcPr>
          <w:p w14:paraId="463EA587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6C60FA1E" w14:textId="7A5A331F" w:rsidR="002C7AFE" w:rsidRPr="00EB3D1B" w:rsidRDefault="00627647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5FCA5F2A" w14:textId="77777777" w:rsidTr="007316F7">
        <w:trPr>
          <w:cantSplit/>
        </w:trPr>
        <w:tc>
          <w:tcPr>
            <w:tcW w:w="4005" w:type="dxa"/>
          </w:tcPr>
          <w:p w14:paraId="3BC9148F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C26990D" w14:textId="01758149" w:rsidR="002C7AFE" w:rsidRPr="00EB3D1B" w:rsidRDefault="00627647" w:rsidP="008A36CF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2C7AFE" w:rsidRPr="004C23F4" w14:paraId="117F9D01" w14:textId="77777777" w:rsidTr="007316F7">
        <w:trPr>
          <w:cantSplit/>
        </w:trPr>
        <w:tc>
          <w:tcPr>
            <w:tcW w:w="4005" w:type="dxa"/>
            <w:vAlign w:val="center"/>
          </w:tcPr>
          <w:p w14:paraId="71B1A71F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47653A6F" w14:textId="6D047C91" w:rsidR="002C7AFE" w:rsidRPr="00EB3D1B" w:rsidRDefault="0016602E" w:rsidP="00017C82">
            <w:pPr>
              <w:pStyle w:val="Tablefont"/>
              <w:rPr>
                <w:b/>
              </w:rPr>
            </w:pPr>
            <w:r>
              <w:t>—</w:t>
            </w:r>
          </w:p>
        </w:tc>
      </w:tr>
      <w:tr w:rsidR="007316F7" w:rsidRPr="004C23F4" w14:paraId="065FDA92" w14:textId="77777777" w:rsidTr="00EB09BA">
        <w:trPr>
          <w:cantSplit/>
        </w:trPr>
        <w:tc>
          <w:tcPr>
            <w:tcW w:w="9026" w:type="dxa"/>
            <w:gridSpan w:val="2"/>
            <w:vAlign w:val="center"/>
          </w:tcPr>
          <w:p w14:paraId="6CBC1433" w14:textId="1ECCC6DC" w:rsidR="007316F7" w:rsidRPr="00EB3D1B" w:rsidRDefault="007316F7" w:rsidP="00017C82">
            <w:pPr>
              <w:pStyle w:val="Tablefont"/>
              <w:rPr>
                <w:b/>
              </w:rPr>
            </w:pPr>
            <w:r w:rsidRPr="00FE4E5F">
              <w:rPr>
                <w:b/>
              </w:rPr>
              <w:t>Sampling and analysis</w:t>
            </w:r>
            <w:r w:rsidRPr="007316F7">
              <w:rPr>
                <w:b/>
              </w:rPr>
              <w:t>:</w:t>
            </w:r>
            <w:r w:rsidRPr="007316F7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9C2C649D226141CEA8E8A0C376EAC9AD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AC1D7B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650D833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682E91C" w14:textId="52E1E7B4" w:rsidR="006639B4" w:rsidRDefault="00627647" w:rsidP="000C139A">
      <w:r w:rsidRPr="00B47B56">
        <w:rPr>
          <w:rFonts w:cs="Arial"/>
          <w:color w:val="000000" w:themeColor="text1"/>
        </w:rPr>
        <w:t xml:space="preserve">A TWA of </w:t>
      </w:r>
      <w:r w:rsidR="00BD4810">
        <w:rPr>
          <w:rFonts w:cs="Arial"/>
          <w:color w:val="000000" w:themeColor="text1"/>
        </w:rPr>
        <w:t>10</w:t>
      </w:r>
      <w:r w:rsidRPr="00B47B56">
        <w:rPr>
          <w:rFonts w:cs="Arial"/>
          <w:color w:val="000000" w:themeColor="text1"/>
        </w:rPr>
        <w:t xml:space="preserve"> </w:t>
      </w:r>
      <w:r w:rsidRPr="00B47B56">
        <w:rPr>
          <w:rFonts w:cs="Arial"/>
          <w:color w:val="000000" w:themeColor="text1"/>
          <w:szCs w:val="20"/>
        </w:rPr>
        <w:t>mg/m</w:t>
      </w:r>
      <w:r w:rsidRPr="00B47B56">
        <w:rPr>
          <w:rFonts w:cs="Arial"/>
          <w:color w:val="000000" w:themeColor="text1"/>
          <w:szCs w:val="20"/>
          <w:vertAlign w:val="superscript"/>
        </w:rPr>
        <w:t xml:space="preserve">3 </w:t>
      </w:r>
      <w:r w:rsidR="00A179EA" w:rsidRPr="00B47B56">
        <w:rPr>
          <w:rFonts w:cs="Arial"/>
          <w:color w:val="000000" w:themeColor="text1"/>
          <w:szCs w:val="20"/>
        </w:rPr>
        <w:t>(</w:t>
      </w:r>
      <w:r w:rsidR="00A179EA" w:rsidRPr="00B47B56">
        <w:rPr>
          <w:rFonts w:cs="Arial"/>
          <w:color w:val="000000" w:themeColor="text1"/>
          <w:szCs w:val="20"/>
          <w:shd w:val="clear" w:color="auto" w:fill="FFFFFF"/>
        </w:rPr>
        <w:t>containing no asbestos and less than 1% crystalline silica)</w:t>
      </w:r>
      <w:r w:rsidR="00A179EA" w:rsidRPr="00B47B56">
        <w:rPr>
          <w:rFonts w:cs="Arial"/>
          <w:color w:val="000000" w:themeColor="text1"/>
          <w:szCs w:val="20"/>
        </w:rPr>
        <w:t xml:space="preserve"> </w:t>
      </w:r>
      <w:r w:rsidRPr="00B47B56">
        <w:rPr>
          <w:rFonts w:cs="Arial"/>
          <w:color w:val="000000" w:themeColor="text1"/>
          <w:szCs w:val="20"/>
        </w:rPr>
        <w:t xml:space="preserve">is </w:t>
      </w:r>
      <w:r w:rsidRPr="00AC1D7B">
        <w:rPr>
          <w:rFonts w:cs="Arial"/>
          <w:szCs w:val="20"/>
        </w:rPr>
        <w:t>recommended</w:t>
      </w:r>
      <w:r w:rsidRPr="00627647">
        <w:rPr>
          <w:rFonts w:cs="Arial"/>
        </w:rPr>
        <w:t xml:space="preserve"> </w:t>
      </w:r>
      <w:r w:rsidR="00BD4810">
        <w:rPr>
          <w:rFonts w:cs="Arial"/>
        </w:rPr>
        <w:t xml:space="preserve">in the interim </w:t>
      </w:r>
      <w:r w:rsidRPr="00627647">
        <w:rPr>
          <w:rFonts w:cs="Arial"/>
        </w:rPr>
        <w:t>to protect for potential</w:t>
      </w:r>
      <w:r>
        <w:rPr>
          <w:rFonts w:cs="Arial"/>
          <w:vertAlign w:val="superscript"/>
        </w:rPr>
        <w:t xml:space="preserve"> </w:t>
      </w:r>
      <w:r>
        <w:t>pneumoconiosis in exposed workers.</w:t>
      </w:r>
    </w:p>
    <w:p w14:paraId="164B1C91" w14:textId="4DF4DA26" w:rsidR="00BD4810" w:rsidRPr="004C23F4" w:rsidRDefault="00BD4810" w:rsidP="00BD4810">
      <w:pPr>
        <w:rPr>
          <w:rFonts w:cs="Arial"/>
        </w:rPr>
      </w:pPr>
      <w:r>
        <w:rPr>
          <w:rStyle w:val="checkbox"/>
          <w:rFonts w:ascii="Arial" w:hAnsi="Arial" w:cs="Arial"/>
        </w:rPr>
        <w:t>A</w:t>
      </w:r>
      <w:r>
        <w:t xml:space="preserve"> priority in-depth assessment of the toxicological and epidemiological data for the chemical is recommended.</w:t>
      </w:r>
      <w:r>
        <w:rPr>
          <w:rStyle w:val="checkbox"/>
          <w:rFonts w:ascii="Arial" w:hAnsi="Arial" w:cs="Arial"/>
        </w:rPr>
        <w:t xml:space="preserve"> </w:t>
      </w:r>
    </w:p>
    <w:p w14:paraId="67357CB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275F050" w14:textId="111CDF10" w:rsidR="00627647" w:rsidRDefault="00AF01D8" w:rsidP="00AF01D8">
      <w:r w:rsidRPr="00AF01D8">
        <w:t>Kaolin is a clay that consists primarily of kaolinite, a non-fibrous silicate of aluminium</w:t>
      </w:r>
      <w:r>
        <w:t>. It is commonly used as a filler and coating in paper, paint, plastics and ceramics</w:t>
      </w:r>
      <w:r w:rsidR="004B374E">
        <w:t xml:space="preserve">. </w:t>
      </w:r>
      <w:r w:rsidR="00AC1D7B">
        <w:t>Critical effects</w:t>
      </w:r>
      <w:r w:rsidR="00D41401">
        <w:t xml:space="preserve"> from exposure</w:t>
      </w:r>
      <w:r w:rsidR="00AC1D7B">
        <w:t xml:space="preserve"> include pneumoconiosis </w:t>
      </w:r>
      <w:r w:rsidR="004D3C18">
        <w:t>(more specifically known as</w:t>
      </w:r>
      <w:r w:rsidR="00AC1D7B">
        <w:t xml:space="preserve"> kaolinosis</w:t>
      </w:r>
      <w:r w:rsidR="004D3C18">
        <w:t>)</w:t>
      </w:r>
      <w:r w:rsidR="00AC1D7B">
        <w:t xml:space="preserve">. </w:t>
      </w:r>
    </w:p>
    <w:p w14:paraId="70CC2D28" w14:textId="6B2148D2" w:rsidR="00AF01D8" w:rsidRDefault="004B791E" w:rsidP="00AF01D8">
      <w:r>
        <w:t>L</w:t>
      </w:r>
      <w:r w:rsidR="004B374E">
        <w:t>ong-term exposure to kaolin dust can lead to kaolin-induced pneumoconiosis.</w:t>
      </w:r>
      <w:r w:rsidR="004B374E" w:rsidRPr="004B374E">
        <w:t xml:space="preserve"> </w:t>
      </w:r>
      <w:r w:rsidR="004B374E">
        <w:t xml:space="preserve">However, a robust dose-response relationship </w:t>
      </w:r>
      <w:r w:rsidR="00627647">
        <w:t>has</w:t>
      </w:r>
      <w:r w:rsidR="004B374E">
        <w:t xml:space="preserve"> not </w:t>
      </w:r>
      <w:r w:rsidR="00627647">
        <w:t xml:space="preserve">been </w:t>
      </w:r>
      <w:r w:rsidR="004B374E">
        <w:t>established</w:t>
      </w:r>
      <w:r w:rsidR="00D03DB1">
        <w:t xml:space="preserve"> (DFG, 2011)</w:t>
      </w:r>
      <w:r w:rsidR="004B374E">
        <w:t>.</w:t>
      </w:r>
      <w:r w:rsidR="00627647">
        <w:t xml:space="preserve"> </w:t>
      </w:r>
      <w:r>
        <w:t xml:space="preserve">Based on epidemiologic </w:t>
      </w:r>
      <w:r w:rsidR="00627647">
        <w:t>studies</w:t>
      </w:r>
      <w:r>
        <w:t>,</w:t>
      </w:r>
      <w:r w:rsidR="00627647">
        <w:t xml:space="preserve"> most kaolinosis cases occurred in workers involved in processing, milling and bagging of kaolin with some cases </w:t>
      </w:r>
      <w:r w:rsidR="009465D2">
        <w:t xml:space="preserve">also </w:t>
      </w:r>
      <w:r w:rsidR="00B2196A">
        <w:t xml:space="preserve">reported </w:t>
      </w:r>
      <w:r w:rsidR="00627647">
        <w:t>in those working in pit extraction areas. E</w:t>
      </w:r>
      <w:r w:rsidR="00AF01D8" w:rsidRPr="00AF01D8">
        <w:t>xposures</w:t>
      </w:r>
      <w:r w:rsidR="00627647">
        <w:t xml:space="preserve"> in processing scenarios</w:t>
      </w:r>
      <w:r w:rsidR="00AF01D8" w:rsidRPr="00AF01D8">
        <w:t xml:space="preserve"> were</w:t>
      </w:r>
      <w:r w:rsidR="00627647">
        <w:t xml:space="preserve"> reported</w:t>
      </w:r>
      <w:r w:rsidR="00AF01D8" w:rsidRPr="00AF01D8">
        <w:t xml:space="preserve"> in the range of 2 to 5 mg/m</w:t>
      </w:r>
      <w:r w:rsidR="00AF01D8" w:rsidRPr="00AF01D8">
        <w:rPr>
          <w:vertAlign w:val="superscript"/>
        </w:rPr>
        <w:t>3</w:t>
      </w:r>
      <w:r w:rsidR="00AF01D8">
        <w:rPr>
          <w:b/>
          <w:bCs/>
          <w:iCs/>
        </w:rPr>
        <w:t xml:space="preserve"> </w:t>
      </w:r>
      <w:r w:rsidR="00AF01D8" w:rsidRPr="00AF01D8">
        <w:t>respirable parti</w:t>
      </w:r>
      <w:r w:rsidR="00627647">
        <w:t>culate</w:t>
      </w:r>
      <w:r w:rsidR="004D3C18">
        <w:t>s</w:t>
      </w:r>
      <w:r w:rsidR="00627647">
        <w:t xml:space="preserve"> with possible extremely high past exposures</w:t>
      </w:r>
      <w:r w:rsidR="005D12B2">
        <w:t>. Exposures in pit and mining were reported at 0.2 to 1 mg/m</w:t>
      </w:r>
      <w:r w:rsidR="005D12B2">
        <w:rPr>
          <w:vertAlign w:val="superscript"/>
        </w:rPr>
        <w:t xml:space="preserve">3 </w:t>
      </w:r>
      <w:r w:rsidR="005D12B2">
        <w:t>respirable dust</w:t>
      </w:r>
      <w:r w:rsidR="00627647">
        <w:t xml:space="preserve"> (ACGIH, 2018).</w:t>
      </w:r>
    </w:p>
    <w:p w14:paraId="59F3659C" w14:textId="238AC192" w:rsidR="00627647" w:rsidRPr="00627647" w:rsidRDefault="00D41401" w:rsidP="00AF01D8">
      <w:r>
        <w:t xml:space="preserve">Given the limited data available, </w:t>
      </w:r>
      <w:r w:rsidR="00C43D2B">
        <w:t>the current</w:t>
      </w:r>
      <w:r w:rsidR="00627647">
        <w:t xml:space="preserve"> TWA of </w:t>
      </w:r>
      <w:r w:rsidR="005D12B2">
        <w:t xml:space="preserve">10 </w:t>
      </w:r>
      <w:r w:rsidR="00627647">
        <w:t>mg/m</w:t>
      </w:r>
      <w:r w:rsidR="00627647">
        <w:rPr>
          <w:vertAlign w:val="superscript"/>
        </w:rPr>
        <w:t>3</w:t>
      </w:r>
      <w:r w:rsidR="00627647">
        <w:t xml:space="preserve"> </w:t>
      </w:r>
      <w:r w:rsidR="005D12B2">
        <w:t>is recommended to be retained in the interim</w:t>
      </w:r>
      <w:r w:rsidR="00A179EA">
        <w:t>.</w:t>
      </w:r>
      <w:r w:rsidR="005D12B2">
        <w:t xml:space="preserve"> Noting insufficiency of the data</w:t>
      </w:r>
      <w:r w:rsidR="00C43D2B">
        <w:t>,</w:t>
      </w:r>
      <w:r w:rsidR="005D12B2">
        <w:t xml:space="preserve"> a priority assessment of the toxicological and epidemiological data for the chemical is recommended.</w:t>
      </w:r>
    </w:p>
    <w:p w14:paraId="76EC078B" w14:textId="4D5FD71C" w:rsidR="004529F0" w:rsidRPr="004C23F4" w:rsidRDefault="004529F0" w:rsidP="00AF01D8">
      <w:pPr>
        <w:pStyle w:val="Heading2"/>
      </w:pPr>
      <w:r>
        <w:t>Recommendation for notations</w:t>
      </w:r>
    </w:p>
    <w:p w14:paraId="12CD2B33" w14:textId="485DA9A8" w:rsidR="0016602E" w:rsidRDefault="0016602E" w:rsidP="0016602E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221070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63FEF594" w14:textId="17C4C899" w:rsidR="0016602E" w:rsidRDefault="0016602E" w:rsidP="0016602E">
      <w:pPr>
        <w:rPr>
          <w:rFonts w:cs="Arial"/>
        </w:rPr>
      </w:pPr>
      <w:r>
        <w:rPr>
          <w:rFonts w:cs="Arial"/>
        </w:rPr>
        <w:lastRenderedPageBreak/>
        <w:t xml:space="preserve">Not classified as a skin </w:t>
      </w:r>
      <w:r w:rsidR="00221070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47202351" w14:textId="2C0E71BA" w:rsidR="0016602E" w:rsidRDefault="00AC1D7B" w:rsidP="0016602E">
      <w:pPr>
        <w:rPr>
          <w:rFonts w:cs="Arial"/>
        </w:rPr>
      </w:pPr>
      <w:r>
        <w:rPr>
          <w:rFonts w:cs="Arial"/>
        </w:rPr>
        <w:t>There are i</w:t>
      </w:r>
      <w:r w:rsidR="0016602E">
        <w:rPr>
          <w:rFonts w:cs="Arial"/>
        </w:rPr>
        <w:t xml:space="preserve">nsufficient </w:t>
      </w:r>
      <w:r>
        <w:rPr>
          <w:rFonts w:cs="Arial"/>
        </w:rPr>
        <w:t xml:space="preserve">data </w:t>
      </w:r>
      <w:r w:rsidR="0016602E">
        <w:rPr>
          <w:rFonts w:cs="Arial"/>
        </w:rPr>
        <w:t>to recommend a skin notation.</w:t>
      </w:r>
    </w:p>
    <w:p w14:paraId="7D575C4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B7CDD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04858C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30EF3975" w14:textId="77777777" w:rsidTr="00D41401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2826F29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73980EA" w14:textId="77777777" w:rsidTr="00D4140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47C14DE" w14:textId="61CB380B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F717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F7176">
                  <w:t>TWA: 10 mg/m</w:t>
                </w:r>
                <w:r w:rsidR="00BF7176" w:rsidRPr="00BF717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F8819A1" w14:textId="77777777" w:rsidTr="00D41401">
        <w:trPr>
          <w:gridAfter w:val="1"/>
          <w:wAfter w:w="8" w:type="pct"/>
        </w:trPr>
        <w:tc>
          <w:tcPr>
            <w:tcW w:w="4992" w:type="pct"/>
          </w:tcPr>
          <w:p w14:paraId="44133293" w14:textId="5AF482EE" w:rsidR="00C978F0" w:rsidRPr="00DA352E" w:rsidRDefault="00BD4810" w:rsidP="003365A5">
            <w:pPr>
              <w:pStyle w:val="Tabletextprimarysource"/>
            </w:pPr>
            <w:r>
              <w:t>Adopted from ACGIH in 1991</w:t>
            </w:r>
            <w:r w:rsidR="00C43D2B">
              <w:t>.</w:t>
            </w:r>
          </w:p>
        </w:tc>
      </w:tr>
      <w:tr w:rsidR="00C978F0" w:rsidRPr="00DA352E" w14:paraId="6603918F" w14:textId="77777777" w:rsidTr="00D4140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34C025E" w14:textId="4A4C6F7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F717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F7176">
                  <w:t>TLV-TWA: 2 mg/m</w:t>
                </w:r>
                <w:r w:rsidR="00BF7176" w:rsidRPr="00BF717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A4CF529" w14:textId="77777777" w:rsidTr="00D41401">
        <w:trPr>
          <w:gridAfter w:val="1"/>
          <w:wAfter w:w="8" w:type="pct"/>
        </w:trPr>
        <w:tc>
          <w:tcPr>
            <w:tcW w:w="4992" w:type="pct"/>
          </w:tcPr>
          <w:p w14:paraId="2F877341" w14:textId="73533A58" w:rsidR="00C978F0" w:rsidRDefault="00FC0BAD" w:rsidP="00221070">
            <w:pPr>
              <w:pStyle w:val="Tabletextprimarysource"/>
            </w:pPr>
            <w:r>
              <w:t>TLV-TWA recommended to minimise the potential for development of pneumoconiosis, also known as kaolinosis.</w:t>
            </w:r>
            <w:r w:rsidR="00033107">
              <w:t xml:space="preserve"> </w:t>
            </w:r>
          </w:p>
          <w:p w14:paraId="3BAE3960" w14:textId="77C2FE00" w:rsidR="00FC0BAD" w:rsidRDefault="00FC0BAD" w:rsidP="00221070">
            <w:pPr>
              <w:pStyle w:val="Tabletextprimarysource"/>
            </w:pPr>
            <w:r>
              <w:t>Summary of data:</w:t>
            </w:r>
          </w:p>
          <w:p w14:paraId="0E972DC7" w14:textId="27A38C45" w:rsidR="00355286" w:rsidRDefault="00355286" w:rsidP="00B2196A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Kaolin dust has fibrogenic potential in absence of crystalline silica; pneumoconiosis or kaolinosis exists as a simple or complicated form</w:t>
            </w:r>
          </w:p>
          <w:p w14:paraId="45AD62CC" w14:textId="190ADA31" w:rsidR="00BD4810" w:rsidRDefault="00BD4810" w:rsidP="00B2196A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 xml:space="preserve">No specific derivation of the TWA is </w:t>
            </w:r>
            <w:r w:rsidR="00C43D2B">
              <w:t>explained</w:t>
            </w:r>
            <w:r>
              <w:t>; current TWA recommended during 1992 evaluation</w:t>
            </w:r>
            <w:r w:rsidR="00B2196A">
              <w:t xml:space="preserve"> based on measurements of respirable particulates containing no asbestos and &lt;1% crystalline silica</w:t>
            </w:r>
            <w:r w:rsidR="00C43D2B">
              <w:t>.</w:t>
            </w:r>
            <w:r>
              <w:t xml:space="preserve"> </w:t>
            </w:r>
          </w:p>
          <w:p w14:paraId="0F7FEC47" w14:textId="77777777" w:rsidR="00FC0BAD" w:rsidRDefault="00FC0BAD" w:rsidP="00221070">
            <w:pPr>
              <w:pStyle w:val="Tabletextprimarysource"/>
            </w:pPr>
            <w:r>
              <w:t>Human data:</w:t>
            </w:r>
          </w:p>
          <w:p w14:paraId="62C6B8F8" w14:textId="6554060D" w:rsidR="00033107" w:rsidRPr="00DB05BA" w:rsidRDefault="00033107" w:rsidP="004D3C18">
            <w:pPr>
              <w:pStyle w:val="ListBullet"/>
              <w:spacing w:before="60" w:after="60"/>
              <w:ind w:left="720"/>
              <w:contextualSpacing w:val="0"/>
            </w:pPr>
            <w:r>
              <w:t>A</w:t>
            </w:r>
            <w:r w:rsidR="00DB05BA">
              <w:t xml:space="preserve"> 1960</w:t>
            </w:r>
            <w:r>
              <w:t xml:space="preserve"> study of 1,130 kaolin workers</w:t>
            </w:r>
            <w:r w:rsidR="00DB05BA">
              <w:t xml:space="preserve"> identified 44 cases of pneumoconiosis; overall prevalence rate of 3.7%; estimate exposure prior to 1940 of approximately 310 mg/m</w:t>
            </w:r>
            <w:r w:rsidR="00DB05BA">
              <w:rPr>
                <w:vertAlign w:val="superscript"/>
              </w:rPr>
              <w:t>3</w:t>
            </w:r>
            <w:r w:rsidR="000D4E4A">
              <w:t>; no crystalline silica; no smoking data</w:t>
            </w:r>
          </w:p>
          <w:p w14:paraId="4C7E9729" w14:textId="77777777" w:rsidR="000D4E4A" w:rsidRDefault="000D4E4A" w:rsidP="004D3C18">
            <w:pPr>
              <w:pStyle w:val="ListBullet"/>
              <w:spacing w:before="60" w:after="60"/>
              <w:ind w:left="720"/>
              <w:contextualSpacing w:val="0"/>
            </w:pPr>
            <w:r>
              <w:t>Study in 553 Cornish China clay workers:</w:t>
            </w:r>
          </w:p>
          <w:p w14:paraId="3B59E85B" w14:textId="77777777" w:rsidR="00DB05BA" w:rsidRDefault="000D4E4A" w:rsidP="00D4140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9% exposed &gt;5 yr had pneumoconiosis</w:t>
            </w:r>
          </w:p>
          <w:p w14:paraId="3F00D489" w14:textId="075C3BB4" w:rsidR="000D4E4A" w:rsidRDefault="00AF2928" w:rsidP="00D4140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d</w:t>
            </w:r>
            <w:r w:rsidR="000D4E4A">
              <w:t>ustier occupations 6%</w:t>
            </w:r>
            <w:r>
              <w:t xml:space="preserve"> prevalence</w:t>
            </w:r>
            <w:r w:rsidR="000D4E4A">
              <w:t xml:space="preserve"> 5</w:t>
            </w:r>
            <w:r w:rsidR="00221070">
              <w:t>–</w:t>
            </w:r>
            <w:r w:rsidR="000D4E4A">
              <w:t xml:space="preserve">15 yr exposure; 23% </w:t>
            </w:r>
            <w:r>
              <w:t xml:space="preserve">prevalence </w:t>
            </w:r>
            <w:r w:rsidR="000D4E4A">
              <w:t>&gt;15 y</w:t>
            </w:r>
            <w:r w:rsidR="00221070">
              <w:t>r</w:t>
            </w:r>
            <w:r w:rsidR="00AC1D7B">
              <w:t xml:space="preserve"> </w:t>
            </w:r>
            <w:r w:rsidR="000D4E4A">
              <w:t>exposure</w:t>
            </w:r>
          </w:p>
          <w:p w14:paraId="3116853B" w14:textId="582651B4" w:rsidR="00AF2928" w:rsidRDefault="00AF2928" w:rsidP="00D4140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workers in presumably less dusty roles require 25 yr exposure to reach 17% prevalence</w:t>
            </w:r>
          </w:p>
          <w:p w14:paraId="379A80D1" w14:textId="786B1D5D" w:rsidR="00AF2928" w:rsidRDefault="00AF2928" w:rsidP="00D41401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evidence of effect of exposure and time on pneumoconiosis; no smoking data</w:t>
            </w:r>
          </w:p>
          <w:p w14:paraId="75016318" w14:textId="2BFB4E0F" w:rsidR="00AF2928" w:rsidRDefault="00AF2928" w:rsidP="004D3C18">
            <w:pPr>
              <w:pStyle w:val="ListBullet"/>
              <w:spacing w:before="60" w:after="60"/>
              <w:ind w:left="720"/>
              <w:contextualSpacing w:val="0"/>
            </w:pPr>
            <w:r>
              <w:t>Study of 459 kaolin workers found a 9.2% prevalence rate of pneumoconiosis; current exposure</w:t>
            </w:r>
            <w:r w:rsidR="00A82948">
              <w:t>s</w:t>
            </w:r>
            <w:r>
              <w:t xml:space="preserve"> were &lt;5 mg/m</w:t>
            </w:r>
            <w:r>
              <w:rPr>
                <w:vertAlign w:val="superscript"/>
              </w:rPr>
              <w:t>3</w:t>
            </w:r>
            <w:r>
              <w:t xml:space="preserve">; </w:t>
            </w:r>
            <w:r w:rsidR="00011245">
              <w:t>prior to 1960</w:t>
            </w:r>
            <w:r>
              <w:t xml:space="preserve"> </w:t>
            </w:r>
            <w:r w:rsidR="00011245">
              <w:t>exposures up to 377 mg/m</w:t>
            </w:r>
            <w:r w:rsidR="00011245">
              <w:rPr>
                <w:vertAlign w:val="superscript"/>
              </w:rPr>
              <w:t>3</w:t>
            </w:r>
            <w:r w:rsidR="00011245">
              <w:t>; kaolinosis strongly associated with age and cumulative years of exposure</w:t>
            </w:r>
          </w:p>
          <w:p w14:paraId="56041F02" w14:textId="77777777" w:rsidR="00C43D2B" w:rsidRDefault="001218CB" w:rsidP="004D3C18">
            <w:pPr>
              <w:pStyle w:val="ListBullet"/>
              <w:spacing w:before="60" w:after="60"/>
              <w:ind w:left="720"/>
              <w:contextualSpacing w:val="0"/>
            </w:pPr>
            <w:r>
              <w:t>Study in kaolin workers found</w:t>
            </w:r>
            <w:r w:rsidR="00C43D2B">
              <w:t>:</w:t>
            </w:r>
            <w:r>
              <w:t xml:space="preserve"> </w:t>
            </w:r>
          </w:p>
          <w:p w14:paraId="40580098" w14:textId="55B6516F" w:rsidR="00C43D2B" w:rsidRDefault="001218CB" w:rsidP="00C43D2B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 xml:space="preserve">a 13% prevalence rate of pneumoconiosis in current and 9% in former workers who had greater than 5 years of exposure </w:t>
            </w:r>
          </w:p>
          <w:p w14:paraId="26FF428F" w14:textId="2C208B0A" w:rsidR="00C43D2B" w:rsidRDefault="001218CB" w:rsidP="00C43D2B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 xml:space="preserve">no pneumoconiosis seen in workers with less than 5 years’ experience </w:t>
            </w:r>
          </w:p>
          <w:p w14:paraId="4F94189B" w14:textId="71920D4F" w:rsidR="00C43D2B" w:rsidRDefault="001218CB" w:rsidP="00C43D2B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reduction in forced vital capacity (FVC), forced expiratory volume 1 (FEV</w:t>
            </w:r>
            <w:r w:rsidRPr="00F96831">
              <w:rPr>
                <w:vertAlign w:val="subscript"/>
              </w:rPr>
              <w:t>1</w:t>
            </w:r>
            <w:r>
              <w:t xml:space="preserve">) and peak flow rate </w:t>
            </w:r>
          </w:p>
          <w:p w14:paraId="51CB8EF6" w14:textId="63EE7F3C" w:rsidR="001218CB" w:rsidRDefault="001218CB" w:rsidP="00C43D2B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</w:pPr>
            <w:r>
              <w:t>exposure ranged from 1-2 mg/m</w:t>
            </w:r>
            <w:r w:rsidRPr="00F96831">
              <w:rPr>
                <w:vertAlign w:val="superscript"/>
              </w:rPr>
              <w:t>3</w:t>
            </w:r>
            <w:r>
              <w:t xml:space="preserve"> in the milling and bagging operation and 0.2 mg/m</w:t>
            </w:r>
            <w:r w:rsidRPr="00F96831">
              <w:rPr>
                <w:vertAlign w:val="superscript"/>
              </w:rPr>
              <w:t>3</w:t>
            </w:r>
            <w:r>
              <w:t xml:space="preserve"> in the mining operation</w:t>
            </w:r>
          </w:p>
          <w:p w14:paraId="3EA8A048" w14:textId="232935A0" w:rsidR="00011245" w:rsidRDefault="00011245" w:rsidP="004D3C18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1984 study in kaolin workers found prevalence rate of 7.7%; exposure concentrations </w:t>
            </w:r>
            <w:r w:rsidR="00094B10">
              <w:t xml:space="preserve">(respirable dust) </w:t>
            </w:r>
            <w:r>
              <w:t>ranged from 0.44 mg/m</w:t>
            </w:r>
            <w:r>
              <w:rPr>
                <w:vertAlign w:val="superscript"/>
              </w:rPr>
              <w:t xml:space="preserve">3 </w:t>
            </w:r>
            <w:r>
              <w:t>(mine)</w:t>
            </w:r>
            <w:r w:rsidR="00094B10">
              <w:t xml:space="preserve">, </w:t>
            </w:r>
            <w:r>
              <w:t>1.74</w:t>
            </w:r>
            <w:r w:rsidR="00094B10">
              <w:t xml:space="preserve"> mg/m</w:t>
            </w:r>
            <w:r w:rsidR="00094B10">
              <w:rPr>
                <w:vertAlign w:val="superscript"/>
              </w:rPr>
              <w:t>3</w:t>
            </w:r>
            <w:r>
              <w:t xml:space="preserve"> </w:t>
            </w:r>
            <w:r w:rsidR="00094B10">
              <w:t>(processing area), 5 mg/m</w:t>
            </w:r>
            <w:r w:rsidR="00094B10">
              <w:rPr>
                <w:vertAlign w:val="superscript"/>
              </w:rPr>
              <w:t>3</w:t>
            </w:r>
            <w:r w:rsidR="00094B10">
              <w:t xml:space="preserve"> in 1997 and &lt;2 mg/m</w:t>
            </w:r>
            <w:r w:rsidR="00094B10">
              <w:rPr>
                <w:vertAlign w:val="superscript"/>
              </w:rPr>
              <w:t>3</w:t>
            </w:r>
            <w:r w:rsidR="00094B10">
              <w:t xml:space="preserve"> in </w:t>
            </w:r>
            <w:r w:rsidR="00D5204E">
              <w:t>1981 (pr</w:t>
            </w:r>
            <w:r w:rsidR="00094B10">
              <w:t>oductio</w:t>
            </w:r>
            <w:r w:rsidR="00D5204E">
              <w:t>n area)</w:t>
            </w:r>
            <w:r w:rsidR="002C647D">
              <w:t>:</w:t>
            </w:r>
            <w:r w:rsidR="007B7C1D">
              <w:t xml:space="preserve"> </w:t>
            </w:r>
          </w:p>
          <w:p w14:paraId="7A1E5830" w14:textId="0B917295" w:rsidR="007B7C1D" w:rsidRDefault="007B7C1D" w:rsidP="00D4140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5 workers with pneumoconiosis had worked in processing area at some point</w:t>
            </w:r>
          </w:p>
          <w:p w14:paraId="3AA24D6A" w14:textId="77777777" w:rsidR="007B7C1D" w:rsidRDefault="007B7C1D" w:rsidP="00D4140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1 worked entirely in processing area had complicated pneumoconiosis; 4 others had simple pneumoconiosis </w:t>
            </w:r>
          </w:p>
          <w:p w14:paraId="747ABA1F" w14:textId="405262BC" w:rsidR="007B7C1D" w:rsidRDefault="00CE6109" w:rsidP="00D4140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w</w:t>
            </w:r>
            <w:r w:rsidR="007B7C1D">
              <w:t xml:space="preserve">orker with least exposure of 7 </w:t>
            </w:r>
            <w:r w:rsidR="00221070">
              <w:t xml:space="preserve">yr </w:t>
            </w:r>
            <w:r w:rsidR="007B7C1D">
              <w:t>had smallest radiological change</w:t>
            </w:r>
          </w:p>
          <w:p w14:paraId="0E0F9FE6" w14:textId="6E4EEE56" w:rsidR="007B7C1D" w:rsidRDefault="00CE6109" w:rsidP="00D41401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s</w:t>
            </w:r>
            <w:r w:rsidR="007B7C1D">
              <w:t>moking not considered a factor</w:t>
            </w:r>
            <w:r w:rsidR="00221070">
              <w:t>.</w:t>
            </w:r>
          </w:p>
          <w:p w14:paraId="65B4A7F6" w14:textId="77777777" w:rsidR="007B7C1D" w:rsidRDefault="008C43CB" w:rsidP="00221070">
            <w:pPr>
              <w:pStyle w:val="Tabletextprimarysource"/>
            </w:pPr>
            <w:r>
              <w:t>Animal data:</w:t>
            </w:r>
          </w:p>
          <w:p w14:paraId="105C2B4C" w14:textId="77777777" w:rsidR="008C43CB" w:rsidRDefault="008C43CB" w:rsidP="00D414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Considered non-toxic </w:t>
            </w:r>
            <w:r w:rsidRPr="00AF263B">
              <w:rPr>
                <w:i/>
              </w:rPr>
              <w:t>via</w:t>
            </w:r>
            <w:r>
              <w:t xml:space="preserve"> the oral route</w:t>
            </w:r>
          </w:p>
          <w:p w14:paraId="322994EE" w14:textId="1163E404" w:rsidR="00221452" w:rsidRDefault="00221452" w:rsidP="00D414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Evidence of </w:t>
            </w:r>
            <w:r>
              <w:rPr>
                <w:i/>
              </w:rPr>
              <w:t xml:space="preserve">in vitro </w:t>
            </w:r>
            <w:r>
              <w:t>cytotoxicity in mouse peritoneal macrophages, sheep erythrocytes and rat alveolar macrophages</w:t>
            </w:r>
          </w:p>
          <w:p w14:paraId="08304FDD" w14:textId="7DF04FCC" w:rsidR="00221452" w:rsidRDefault="00221452" w:rsidP="00D414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Lavage of dust into rat lungs showed lung hysteresis decreased as kaolin dose increased</w:t>
            </w:r>
          </w:p>
          <w:p w14:paraId="6CCA3A45" w14:textId="473C2100" w:rsidR="00221452" w:rsidRDefault="004C45BF" w:rsidP="00D4140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G</w:t>
            </w:r>
            <w:r w:rsidR="00221452">
              <w:t xml:space="preserve">uinea pigs and rats </w:t>
            </w:r>
            <w:r>
              <w:t>exposed for 6 h/d</w:t>
            </w:r>
            <w:r w:rsidR="00221452">
              <w:t xml:space="preserve">, 5 </w:t>
            </w:r>
            <w:r>
              <w:t>d/wk for 1 y</w:t>
            </w:r>
            <w:r w:rsidR="00221452">
              <w:t>r</w:t>
            </w:r>
            <w:r w:rsidR="004D3C18">
              <w:t>:</w:t>
            </w:r>
          </w:p>
          <w:p w14:paraId="38F29416" w14:textId="32F40810" w:rsidR="004C45BF" w:rsidRDefault="004C45BF" w:rsidP="00D4140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slight pleural mottling in guinea pigs at 23.4 mg/m</w:t>
            </w:r>
            <w:r>
              <w:rPr>
                <w:vertAlign w:val="superscript"/>
              </w:rPr>
              <w:t>3</w:t>
            </w:r>
          </w:p>
          <w:p w14:paraId="60BC3D59" w14:textId="00003ABD" w:rsidR="004C45BF" w:rsidRDefault="00075810" w:rsidP="00D41401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scattered dust foci; collagenous fibres observed between the cells and the lymph nodes contained large masses of dust in rats exposed at 27.1 mg/m</w:t>
            </w:r>
            <w:r>
              <w:rPr>
                <w:vertAlign w:val="superscript"/>
              </w:rPr>
              <w:t>3</w:t>
            </w:r>
          </w:p>
          <w:p w14:paraId="4A707877" w14:textId="77777777" w:rsidR="00301512" w:rsidRDefault="009667AE" w:rsidP="0030151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exposed to 10 mg/m</w:t>
            </w:r>
            <w:r>
              <w:rPr>
                <w:vertAlign w:val="superscript"/>
              </w:rPr>
              <w:t>3</w:t>
            </w:r>
            <w:r w:rsidR="004D3C18">
              <w:t xml:space="preserve"> for 7 h/d, 5 d/wk </w:t>
            </w:r>
            <w:r>
              <w:t>up to 24 mo; most severe pulmonary change observed was classified as grade 4 fibrosis (minimal); minimal collagen deposit at the level of terminal bronchioles and alveoli; suggestion of glandular pattern in pathology; concluded kaolin exposure would be unlikely to produce severe pulmonary disease</w:t>
            </w:r>
            <w:r w:rsidR="00221070">
              <w:t>.</w:t>
            </w:r>
          </w:p>
          <w:p w14:paraId="321FC2DF" w14:textId="2D78846F" w:rsidR="009F5030" w:rsidRDefault="009F5030" w:rsidP="00301512">
            <w:pPr>
              <w:pStyle w:val="ListBullet"/>
              <w:numPr>
                <w:ilvl w:val="0"/>
                <w:numId w:val="0"/>
              </w:numPr>
              <w:spacing w:before="60" w:after="60"/>
              <w:ind w:left="27" w:hanging="27"/>
              <w:contextualSpacing w:val="0"/>
            </w:pPr>
            <w:r>
              <w:t xml:space="preserve">Classified as A4 (not classified as a human carcinogen); insufficient </w:t>
            </w:r>
            <w:r w:rsidR="00301512">
              <w:t xml:space="preserve">data to recommend skin </w:t>
            </w:r>
            <w:r>
              <w:t>notation.</w:t>
            </w:r>
          </w:p>
          <w:p w14:paraId="31F40ABE" w14:textId="454639AF" w:rsidR="009F5030" w:rsidRPr="00DA352E" w:rsidRDefault="009F5030" w:rsidP="00301512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68049F1B" w14:textId="77777777" w:rsidTr="00D4140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5661370" w14:textId="5AB7D9C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BF7176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BF7176">
                  <w:t>Not assigned</w:t>
                </w:r>
              </w:sdtContent>
            </w:sdt>
          </w:p>
        </w:tc>
      </w:tr>
      <w:tr w:rsidR="00C978F0" w:rsidRPr="00DA352E" w14:paraId="28E03341" w14:textId="77777777" w:rsidTr="00D41401">
        <w:trPr>
          <w:gridAfter w:val="1"/>
          <w:wAfter w:w="8" w:type="pct"/>
        </w:trPr>
        <w:tc>
          <w:tcPr>
            <w:tcW w:w="4992" w:type="pct"/>
          </w:tcPr>
          <w:p w14:paraId="16DDA78E" w14:textId="77777777" w:rsidR="00C978F0" w:rsidRPr="009F5030" w:rsidRDefault="00400E29" w:rsidP="00221070">
            <w:pPr>
              <w:pStyle w:val="Tabletextprimarysource"/>
              <w:rPr>
                <w:color w:val="000000" w:themeColor="text1"/>
              </w:rPr>
            </w:pPr>
            <w:r w:rsidRPr="009F5030">
              <w:rPr>
                <w:color w:val="000000" w:themeColor="text1"/>
              </w:rPr>
              <w:t>Insufficient exposure data to establish a dose-response relationship and therefore derive a MAK.</w:t>
            </w:r>
          </w:p>
          <w:p w14:paraId="57F4D80F" w14:textId="77777777" w:rsidR="00400E29" w:rsidRPr="009F5030" w:rsidRDefault="00400E29" w:rsidP="00221070">
            <w:pPr>
              <w:pStyle w:val="Tabletextprimarysource"/>
              <w:rPr>
                <w:color w:val="000000" w:themeColor="text1"/>
              </w:rPr>
            </w:pPr>
            <w:r w:rsidRPr="009F5030">
              <w:rPr>
                <w:color w:val="000000" w:themeColor="text1"/>
              </w:rPr>
              <w:t>Summary of additional data:</w:t>
            </w:r>
          </w:p>
          <w:p w14:paraId="514AA550" w14:textId="279BEDAF" w:rsidR="00400E29" w:rsidRPr="009F5030" w:rsidRDefault="00400E29" w:rsidP="00D41401">
            <w:pPr>
              <w:pStyle w:val="ListBullet"/>
              <w:spacing w:before="60" w:after="60"/>
              <w:ind w:left="714" w:hanging="357"/>
              <w:contextualSpacing w:val="0"/>
              <w:rPr>
                <w:color w:val="000000" w:themeColor="text1"/>
              </w:rPr>
            </w:pPr>
            <w:r w:rsidRPr="009F5030">
              <w:rPr>
                <w:rFonts w:cs="Arial"/>
                <w:color w:val="000000" w:themeColor="text1"/>
                <w:shd w:val="clear" w:color="auto" w:fill="FFFFFF"/>
              </w:rPr>
              <w:t>Induces lung tumours at high doses in rats via intratracheal administration</w:t>
            </w:r>
          </w:p>
          <w:p w14:paraId="083311CF" w14:textId="77777777" w:rsidR="00400E29" w:rsidRPr="009F5030" w:rsidRDefault="00400E29" w:rsidP="00D41401">
            <w:pPr>
              <w:pStyle w:val="ListBullet"/>
              <w:spacing w:before="60" w:after="60"/>
              <w:ind w:left="714" w:hanging="357"/>
              <w:contextualSpacing w:val="0"/>
              <w:rPr>
                <w:color w:val="000000" w:themeColor="text1"/>
              </w:rPr>
            </w:pPr>
            <w:r w:rsidRPr="009F5030">
              <w:rPr>
                <w:rFonts w:cs="Arial"/>
                <w:color w:val="000000" w:themeColor="text1"/>
                <w:shd w:val="clear" w:color="auto" w:fill="FFFFFF"/>
              </w:rPr>
              <w:t xml:space="preserve">Induces DNA damage and mutations in lung cells </w:t>
            </w:r>
            <w:r w:rsidRPr="009F5030">
              <w:rPr>
                <w:rFonts w:cs="Arial"/>
                <w:i/>
                <w:color w:val="000000" w:themeColor="text1"/>
                <w:shd w:val="clear" w:color="auto" w:fill="FFFFFF"/>
              </w:rPr>
              <w:t>in vivo</w:t>
            </w:r>
            <w:r w:rsidRPr="009F5030">
              <w:rPr>
                <w:rFonts w:cs="Arial"/>
                <w:color w:val="000000" w:themeColor="text1"/>
                <w:shd w:val="clear" w:color="auto" w:fill="FFFFFF"/>
              </w:rPr>
              <w:t>, but only at doses that also cause inflammatory reactions.</w:t>
            </w:r>
          </w:p>
          <w:p w14:paraId="1458AC8C" w14:textId="08E30492" w:rsidR="002C647D" w:rsidRPr="00DA352E" w:rsidRDefault="002C647D" w:rsidP="00D41401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73FC8162" w14:textId="77777777" w:rsidTr="00D4140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C1B0786" w14:textId="7A68479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F717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BF7176">
                  <w:t>NA</w:t>
                </w:r>
              </w:sdtContent>
            </w:sdt>
          </w:p>
        </w:tc>
      </w:tr>
      <w:tr w:rsidR="00C978F0" w:rsidRPr="00DA352E" w14:paraId="4AE395E5" w14:textId="77777777" w:rsidTr="00D41401">
        <w:trPr>
          <w:gridAfter w:val="1"/>
          <w:wAfter w:w="8" w:type="pct"/>
        </w:trPr>
        <w:tc>
          <w:tcPr>
            <w:tcW w:w="4992" w:type="pct"/>
          </w:tcPr>
          <w:p w14:paraId="38FC8769" w14:textId="187956D2" w:rsidR="00C978F0" w:rsidRPr="00DA352E" w:rsidRDefault="00BF7176" w:rsidP="003365A5">
            <w:pPr>
              <w:pStyle w:val="Tabletextprimarysource"/>
            </w:pPr>
            <w:r>
              <w:t>No report</w:t>
            </w:r>
            <w:r w:rsidR="00221070">
              <w:t>.</w:t>
            </w:r>
          </w:p>
        </w:tc>
      </w:tr>
      <w:tr w:rsidR="00DA352E" w:rsidRPr="00DA352E" w14:paraId="77B6C6E9" w14:textId="77777777" w:rsidTr="00D4140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7FA485D" w14:textId="18B7C6C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BF717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BF7176">
                  <w:t>NA</w:t>
                </w:r>
              </w:sdtContent>
            </w:sdt>
          </w:p>
        </w:tc>
      </w:tr>
      <w:tr w:rsidR="00DA352E" w:rsidRPr="00DA352E" w14:paraId="42739DD2" w14:textId="77777777" w:rsidTr="00D41401">
        <w:trPr>
          <w:gridAfter w:val="1"/>
          <w:wAfter w:w="8" w:type="pct"/>
        </w:trPr>
        <w:tc>
          <w:tcPr>
            <w:tcW w:w="4992" w:type="pct"/>
          </w:tcPr>
          <w:p w14:paraId="39F9E283" w14:textId="02048292" w:rsidR="00DA352E" w:rsidRPr="00DA352E" w:rsidRDefault="00BF7176" w:rsidP="003365A5">
            <w:pPr>
              <w:pStyle w:val="Tabletextprimarysource"/>
            </w:pPr>
            <w:r>
              <w:t>No report</w:t>
            </w:r>
            <w:r w:rsidR="00221070">
              <w:t>.</w:t>
            </w:r>
          </w:p>
        </w:tc>
      </w:tr>
      <w:tr w:rsidR="00DA352E" w:rsidRPr="00DA352E" w14:paraId="39C769FF" w14:textId="77777777" w:rsidTr="00D41401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87A6025" w14:textId="7F10C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BF7176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BF7176">
                  <w:t>Not assigned</w:t>
                </w:r>
              </w:sdtContent>
            </w:sdt>
          </w:p>
        </w:tc>
      </w:tr>
      <w:tr w:rsidR="00DA352E" w:rsidRPr="00DA352E" w14:paraId="7CEEC8D4" w14:textId="77777777" w:rsidTr="00D41401">
        <w:trPr>
          <w:gridAfter w:val="1"/>
          <w:wAfter w:w="8" w:type="pct"/>
        </w:trPr>
        <w:tc>
          <w:tcPr>
            <w:tcW w:w="4992" w:type="pct"/>
          </w:tcPr>
          <w:p w14:paraId="657F6FDA" w14:textId="77777777" w:rsidR="00DA352E" w:rsidRPr="009F5030" w:rsidRDefault="00EF67BD" w:rsidP="003365A5">
            <w:pPr>
              <w:pStyle w:val="Tabletextprimarysource"/>
              <w:rPr>
                <w:color w:val="000000" w:themeColor="text1"/>
              </w:rPr>
            </w:pPr>
            <w:r w:rsidRPr="009F5030">
              <w:rPr>
                <w:color w:val="000000" w:themeColor="text1"/>
              </w:rPr>
              <w:t>Insufficient data to derive a health-based OEL.</w:t>
            </w:r>
          </w:p>
          <w:p w14:paraId="65FB5452" w14:textId="77777777" w:rsidR="00EF67BD" w:rsidRPr="009F5030" w:rsidRDefault="00EF67BD" w:rsidP="004D3C18">
            <w:pPr>
              <w:pStyle w:val="ListBullet"/>
              <w:numPr>
                <w:ilvl w:val="0"/>
                <w:numId w:val="0"/>
              </w:numPr>
              <w:ind w:left="22"/>
              <w:rPr>
                <w:color w:val="000000" w:themeColor="text1"/>
              </w:rPr>
            </w:pPr>
            <w:r w:rsidRPr="009F5030">
              <w:rPr>
                <w:color w:val="000000" w:themeColor="text1"/>
              </w:rPr>
              <w:t>Report that WHO have estimated that kaolin is at least an order of magnitude less potent than quartz in inducing pneumoconiosis</w:t>
            </w:r>
            <w:r w:rsidR="00221070" w:rsidRPr="009F5030">
              <w:rPr>
                <w:color w:val="000000" w:themeColor="text1"/>
              </w:rPr>
              <w:t>.</w:t>
            </w:r>
          </w:p>
          <w:p w14:paraId="323A2D76" w14:textId="2AA062CE" w:rsidR="002C647D" w:rsidRPr="00DA352E" w:rsidRDefault="002C647D" w:rsidP="004D3C18">
            <w:pPr>
              <w:pStyle w:val="ListBullet"/>
              <w:numPr>
                <w:ilvl w:val="0"/>
                <w:numId w:val="0"/>
              </w:numPr>
              <w:ind w:left="22"/>
            </w:pPr>
          </w:p>
        </w:tc>
      </w:tr>
    </w:tbl>
    <w:p w14:paraId="6F9B595C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3"/>
        <w:gridCol w:w="423"/>
        <w:gridCol w:w="650"/>
        <w:gridCol w:w="6460"/>
      </w:tblGrid>
      <w:tr w:rsidR="004966BF" w:rsidRPr="00263255" w14:paraId="6737EE95" w14:textId="77777777" w:rsidTr="00DD5E5D">
        <w:trPr>
          <w:cantSplit/>
          <w:trHeight w:val="393"/>
          <w:tblHeader/>
        </w:trPr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35C01170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469C8A3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50" w:type="dxa"/>
            <w:shd w:val="clear" w:color="auto" w:fill="BFBFBF" w:themeFill="background1" w:themeFillShade="BF"/>
            <w:vAlign w:val="center"/>
          </w:tcPr>
          <w:p w14:paraId="0942CB9E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60" w:type="dxa"/>
            <w:shd w:val="clear" w:color="auto" w:fill="BFBFBF" w:themeFill="background1" w:themeFillShade="BF"/>
            <w:vAlign w:val="center"/>
          </w:tcPr>
          <w:p w14:paraId="628A1AED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AAFF66C" w14:textId="77777777" w:rsidTr="00DD5E5D">
        <w:trPr>
          <w:cantSplit/>
        </w:trPr>
        <w:tc>
          <w:tcPr>
            <w:tcW w:w="1493" w:type="dxa"/>
          </w:tcPr>
          <w:p w14:paraId="24D8DBCE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2E7522E3" w14:textId="4D0EC1EE" w:rsidR="004966BF" w:rsidRPr="00CE617F" w:rsidRDefault="0053689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F01D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50" w:type="dxa"/>
          </w:tcPr>
          <w:p w14:paraId="5EC82904" w14:textId="1E9C8A02" w:rsidR="004966BF" w:rsidRPr="004C23F4" w:rsidRDefault="004D3C18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N.D.</w:t>
            </w:r>
          </w:p>
        </w:tc>
        <w:tc>
          <w:tcPr>
            <w:tcW w:w="6460" w:type="dxa"/>
          </w:tcPr>
          <w:p w14:paraId="3FDA7464" w14:textId="7202B2ED" w:rsidR="004966BF" w:rsidRPr="004C23F4" w:rsidRDefault="00DD5E5D" w:rsidP="00D41401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DD5E5D">
              <w:rPr>
                <w:rStyle w:val="checkbox"/>
                <w:rFonts w:ascii="Arial" w:hAnsi="Arial" w:cs="Arial"/>
              </w:rPr>
              <w:t>Human health tier I assessment</w:t>
            </w:r>
            <w:r w:rsidR="004D3C18">
              <w:rPr>
                <w:rStyle w:val="checkbox"/>
                <w:rFonts w:ascii="Arial" w:hAnsi="Arial" w:cs="Arial"/>
              </w:rPr>
              <w:t xml:space="preserve">. </w:t>
            </w:r>
          </w:p>
        </w:tc>
      </w:tr>
    </w:tbl>
    <w:bookmarkEnd w:id="0"/>
    <w:p w14:paraId="29B4F0F3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400BDEA" w14:textId="77777777" w:rsidTr="00AF01D8">
        <w:trPr>
          <w:trHeight w:val="454"/>
          <w:tblHeader/>
        </w:trPr>
        <w:tc>
          <w:tcPr>
            <w:tcW w:w="6603" w:type="dxa"/>
            <w:vAlign w:val="center"/>
          </w:tcPr>
          <w:p w14:paraId="1D8C5E8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D1399D1" w14:textId="0FE48362" w:rsidR="002E0D61" w:rsidRDefault="00AF01D8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1D477577" w14:textId="77777777" w:rsidTr="00AF01D8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12092B0" w14:textId="01F0D52E" w:rsidR="008A36CF" w:rsidRPr="006901A2" w:rsidRDefault="00AF01D8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9A86C17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18CCB1D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8824C19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FCE2F42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23F7E7BF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CD79F71" w14:textId="77777777" w:rsidTr="00812887">
        <w:trPr>
          <w:cantSplit/>
        </w:trPr>
        <w:tc>
          <w:tcPr>
            <w:tcW w:w="3227" w:type="dxa"/>
          </w:tcPr>
          <w:p w14:paraId="39AE406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CE8DF9E" w14:textId="6B1AAA4C" w:rsidR="00687890" w:rsidRPr="00DD2F9B" w:rsidRDefault="00262DD9" w:rsidP="00DD2F9B">
            <w:pPr>
              <w:pStyle w:val="Tablefont"/>
            </w:pPr>
            <w:r w:rsidRPr="00487A62">
              <w:t>—</w:t>
            </w:r>
          </w:p>
        </w:tc>
      </w:tr>
      <w:tr w:rsidR="007925F0" w:rsidRPr="004C23F4" w14:paraId="389313F5" w14:textId="77777777" w:rsidTr="00812887">
        <w:trPr>
          <w:cantSplit/>
        </w:trPr>
        <w:tc>
          <w:tcPr>
            <w:tcW w:w="3227" w:type="dxa"/>
          </w:tcPr>
          <w:p w14:paraId="370C9362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87EEE90" w14:textId="515FA839" w:rsidR="007925F0" w:rsidRPr="00DD2F9B" w:rsidRDefault="00262DD9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39E5739E" w14:textId="77777777" w:rsidTr="00812887">
        <w:trPr>
          <w:cantSplit/>
        </w:trPr>
        <w:tc>
          <w:tcPr>
            <w:tcW w:w="3227" w:type="dxa"/>
          </w:tcPr>
          <w:p w14:paraId="7D716B6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332409D" w14:textId="6A6E72A8" w:rsidR="00AF483F" w:rsidRPr="00DD2F9B" w:rsidRDefault="00262DD9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15D9DCD" w14:textId="77777777" w:rsidTr="00812887">
        <w:trPr>
          <w:cantSplit/>
        </w:trPr>
        <w:tc>
          <w:tcPr>
            <w:tcW w:w="3227" w:type="dxa"/>
          </w:tcPr>
          <w:p w14:paraId="3291512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BE37DCB" w14:textId="5FEB224D" w:rsidR="00687890" w:rsidRPr="00DD2F9B" w:rsidRDefault="00262DD9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842A730" w14:textId="77777777" w:rsidTr="00812887">
        <w:trPr>
          <w:cantSplit/>
        </w:trPr>
        <w:tc>
          <w:tcPr>
            <w:tcW w:w="3227" w:type="dxa"/>
          </w:tcPr>
          <w:p w14:paraId="6F7B9F2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494B723" w14:textId="2BDC9F76" w:rsidR="00E41A26" w:rsidRPr="00DD2F9B" w:rsidRDefault="00262DD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72B8C65" w14:textId="77777777" w:rsidTr="00812887">
        <w:trPr>
          <w:cantSplit/>
        </w:trPr>
        <w:tc>
          <w:tcPr>
            <w:tcW w:w="3227" w:type="dxa"/>
          </w:tcPr>
          <w:p w14:paraId="00149E7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20F7C97" w14:textId="46281716" w:rsidR="002E0D61" w:rsidRPr="00DD2F9B" w:rsidRDefault="00262DD9" w:rsidP="00DD2F9B">
            <w:pPr>
              <w:pStyle w:val="Tablefont"/>
            </w:pPr>
            <w:r w:rsidRPr="00262DD9">
              <w:t>Carcinogenicity – A4</w:t>
            </w:r>
          </w:p>
        </w:tc>
      </w:tr>
      <w:tr w:rsidR="002E0D61" w:rsidRPr="004C23F4" w14:paraId="08AF04AB" w14:textId="77777777" w:rsidTr="00812887">
        <w:trPr>
          <w:cantSplit/>
        </w:trPr>
        <w:tc>
          <w:tcPr>
            <w:tcW w:w="3227" w:type="dxa"/>
          </w:tcPr>
          <w:p w14:paraId="7CB5B02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13350C8" w14:textId="2F442E78" w:rsidR="002E0D61" w:rsidRPr="00DD2F9B" w:rsidRDefault="00361264" w:rsidP="00DD2F9B">
            <w:pPr>
              <w:pStyle w:val="Tablefont"/>
            </w:pPr>
            <w:r w:rsidRPr="00361264">
              <w:t>Carcinogenicity – 3B</w:t>
            </w:r>
          </w:p>
        </w:tc>
      </w:tr>
      <w:tr w:rsidR="002E0D61" w:rsidRPr="004C23F4" w14:paraId="2526BC8B" w14:textId="77777777" w:rsidTr="00812887">
        <w:trPr>
          <w:cantSplit/>
        </w:trPr>
        <w:tc>
          <w:tcPr>
            <w:tcW w:w="3227" w:type="dxa"/>
          </w:tcPr>
          <w:p w14:paraId="3D52B8D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989C3BC" w14:textId="01E0791F" w:rsidR="002E0D61" w:rsidRPr="00DD2F9B" w:rsidRDefault="00262DD9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9DF9D15" w14:textId="77777777" w:rsidTr="00812887">
        <w:trPr>
          <w:cantSplit/>
        </w:trPr>
        <w:tc>
          <w:tcPr>
            <w:tcW w:w="3227" w:type="dxa"/>
          </w:tcPr>
          <w:p w14:paraId="5A1BF1A4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D1215EA" w14:textId="1C560BB4" w:rsidR="002E0D61" w:rsidRPr="00DD2F9B" w:rsidRDefault="00262DD9" w:rsidP="00DD2F9B">
            <w:pPr>
              <w:pStyle w:val="Tablefont"/>
            </w:pPr>
            <w:r w:rsidRPr="00487A62">
              <w:t>—</w:t>
            </w:r>
          </w:p>
        </w:tc>
      </w:tr>
      <w:tr w:rsidR="00386093" w:rsidRPr="004C23F4" w14:paraId="717DF75D" w14:textId="77777777" w:rsidTr="00812887">
        <w:trPr>
          <w:cantSplit/>
        </w:trPr>
        <w:tc>
          <w:tcPr>
            <w:tcW w:w="3227" w:type="dxa"/>
          </w:tcPr>
          <w:p w14:paraId="5299F7D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7C591F9" w14:textId="769951B9" w:rsidR="00386093" w:rsidRPr="00DD2F9B" w:rsidRDefault="00262DD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35930A1" w14:textId="77777777" w:rsidTr="00812887">
        <w:trPr>
          <w:cantSplit/>
        </w:trPr>
        <w:tc>
          <w:tcPr>
            <w:tcW w:w="3227" w:type="dxa"/>
          </w:tcPr>
          <w:p w14:paraId="08879902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5059CB2" w14:textId="5A65F66F" w:rsidR="00386093" w:rsidRPr="00DD2F9B" w:rsidRDefault="00262DD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FAB73C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F8519E5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26368C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03F2B0E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C90115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0AB7E9C6" w14:textId="7AD5379A" w:rsidR="00932DCE" w:rsidRPr="004C23F4" w:rsidRDefault="00A179EA" w:rsidP="00F9496B">
            <w:pPr>
              <w:pStyle w:val="Tablefont"/>
            </w:pPr>
            <w:r>
              <w:t>Insufficient data</w:t>
            </w:r>
            <w:r w:rsidR="00221070">
              <w:t xml:space="preserve"> to assign a skin notation</w:t>
            </w:r>
          </w:p>
        </w:tc>
      </w:tr>
    </w:tbl>
    <w:bookmarkEnd w:id="3"/>
    <w:p w14:paraId="4DF66D1D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6948AF12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1C4BF2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3E668A0" w14:textId="5CDDAD66" w:rsidR="00EB3D1B" w:rsidRDefault="00262DD9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4713A8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FC309E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6DE2F19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4C18974" w14:textId="032EA690" w:rsidR="001B79E5" w:rsidRDefault="00262DD9" w:rsidP="001B79E5">
                <w:pPr>
                  <w:pStyle w:val="Tablefont"/>
                </w:pPr>
                <w:r w:rsidRPr="00262DD9">
                  <w:t>258.16</w:t>
                </w:r>
              </w:p>
            </w:tc>
          </w:sdtContent>
        </w:sdt>
      </w:tr>
      <w:tr w:rsidR="00A31D99" w:rsidRPr="004C23F4" w14:paraId="491D8094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85F7F76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02A9DA04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116030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BDA7F4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8521C5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726972A" w14:textId="77777777" w:rsidTr="00EA6243">
        <w:trPr>
          <w:cantSplit/>
        </w:trPr>
        <w:tc>
          <w:tcPr>
            <w:tcW w:w="4077" w:type="dxa"/>
            <w:vAlign w:val="center"/>
          </w:tcPr>
          <w:p w14:paraId="247E2F8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7F32D8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24C90BE" w14:textId="77777777" w:rsidTr="00EA6243">
        <w:trPr>
          <w:cantSplit/>
        </w:trPr>
        <w:tc>
          <w:tcPr>
            <w:tcW w:w="4077" w:type="dxa"/>
            <w:vAlign w:val="center"/>
          </w:tcPr>
          <w:p w14:paraId="4E82218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14C971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7E356275" w14:textId="77777777" w:rsidTr="00EA6243">
        <w:trPr>
          <w:cantSplit/>
        </w:trPr>
        <w:tc>
          <w:tcPr>
            <w:tcW w:w="4077" w:type="dxa"/>
            <w:vAlign w:val="center"/>
          </w:tcPr>
          <w:p w14:paraId="6E597E9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A5A888C" w14:textId="77777777" w:rsidR="00E06F40" w:rsidRPr="00A006A0" w:rsidRDefault="0053689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610F2F9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B519DE7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EA1B542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CB3730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0E0D965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5237B2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D37CDD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D00D02F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633F6267" w14:textId="3F352F00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7658D695" w14:textId="5A73B458" w:rsidR="00262DD9" w:rsidRDefault="00361264" w:rsidP="00084859">
      <w:r w:rsidRPr="002022B6">
        <w:t>Deutsche Forschungsgemeinschaft (DFG)</w:t>
      </w:r>
      <w:r>
        <w:t xml:space="preserve"> (2011) </w:t>
      </w:r>
      <w:r w:rsidRPr="00361264">
        <w:t>Kaolinit</w:t>
      </w:r>
      <w:r>
        <w:t xml:space="preserve"> – MAK value documentation.</w:t>
      </w:r>
    </w:p>
    <w:p w14:paraId="11C36A39" w14:textId="6E81396A" w:rsidR="00361264" w:rsidRDefault="00361264" w:rsidP="00084859">
      <w:r w:rsidRPr="002022B6">
        <w:t>Health Council of the Netherlands</w:t>
      </w:r>
      <w:r>
        <w:t xml:space="preserve"> (HCOTN) (2007) </w:t>
      </w:r>
      <w:r w:rsidRPr="00361264">
        <w:t>Kaolin</w:t>
      </w:r>
      <w:r w:rsidRPr="005F7416">
        <w:t xml:space="preserve">. Health-based calculated occupational cancer risk values. The Hague: Health Council of the Netherlands; publication no. </w:t>
      </w:r>
      <w:r w:rsidRPr="00361264">
        <w:t>2007/12OSH</w:t>
      </w:r>
      <w:r>
        <w:t>.</w:t>
      </w:r>
    </w:p>
    <w:p w14:paraId="32F8A52B" w14:textId="7F2FA8DA" w:rsidR="004D3C18" w:rsidRDefault="004D3C18" w:rsidP="004D3C18">
      <w:r>
        <w:t>National Industrial Chemicals Notification and Assessment Scheme (NICNAS) (N.D.) Kaolin: Human health tier I assessment – IMAP report.</w:t>
      </w:r>
    </w:p>
    <w:p w14:paraId="6E8492FD" w14:textId="77777777" w:rsidR="004D3C18" w:rsidRPr="00351FE0" w:rsidRDefault="004D3C18" w:rsidP="00084859"/>
    <w:sectPr w:rsidR="004D3C18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140A0" w14:textId="77777777" w:rsidR="00B225BE" w:rsidRDefault="00B225BE" w:rsidP="00F43AD5">
      <w:pPr>
        <w:spacing w:after="0" w:line="240" w:lineRule="auto"/>
      </w:pPr>
      <w:r>
        <w:separator/>
      </w:r>
    </w:p>
  </w:endnote>
  <w:endnote w:type="continuationSeparator" w:id="0">
    <w:p w14:paraId="0139C6C1" w14:textId="77777777" w:rsidR="00B225BE" w:rsidRDefault="00B225B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A421C" w14:textId="77777777" w:rsidR="0053689E" w:rsidRDefault="00536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B2BBF2B" w14:textId="26465BAF" w:rsidR="008A36CF" w:rsidRDefault="00FF456A" w:rsidP="0034744C">
        <w:pPr>
          <w:pStyle w:val="Footer"/>
          <w:rPr>
            <w:sz w:val="18"/>
            <w:szCs w:val="18"/>
          </w:rPr>
        </w:pPr>
        <w:r w:rsidRPr="00FF456A">
          <w:rPr>
            <w:b/>
            <w:sz w:val="18"/>
            <w:szCs w:val="18"/>
          </w:rPr>
          <w:t>Kaolin</w:t>
        </w:r>
        <w:r w:rsidR="008A36CF">
          <w:rPr>
            <w:b/>
            <w:sz w:val="18"/>
            <w:szCs w:val="18"/>
          </w:rPr>
          <w:t xml:space="preserve"> (</w:t>
        </w:r>
        <w:r w:rsidRPr="00FF456A">
          <w:rPr>
            <w:b/>
            <w:sz w:val="18"/>
            <w:szCs w:val="18"/>
          </w:rPr>
          <w:t>1332-58-7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8519895" w14:textId="2BAA33B1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3689E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71798" w14:textId="77777777" w:rsidR="0053689E" w:rsidRDefault="0053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7984" w14:textId="77777777" w:rsidR="00B225BE" w:rsidRDefault="00B225BE" w:rsidP="00F43AD5">
      <w:pPr>
        <w:spacing w:after="0" w:line="240" w:lineRule="auto"/>
      </w:pPr>
      <w:r>
        <w:separator/>
      </w:r>
    </w:p>
  </w:footnote>
  <w:footnote w:type="continuationSeparator" w:id="0">
    <w:p w14:paraId="51806763" w14:textId="77777777" w:rsidR="00B225BE" w:rsidRDefault="00B225B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9F7E9" w14:textId="77777777" w:rsidR="0053689E" w:rsidRDefault="00536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406CD" w14:textId="72161C52" w:rsidR="0053689E" w:rsidRDefault="0053689E" w:rsidP="0053689E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Content>
        <w:r>
          <w:pict w14:anchorId="4786BC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70077E3" wp14:editId="0D6B8D3D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BA983" w14:textId="39F001ED" w:rsidR="008A36CF" w:rsidRPr="0053689E" w:rsidRDefault="008A36CF" w:rsidP="00536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C009D" w14:textId="77777777" w:rsidR="0053689E" w:rsidRDefault="005368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6BC7" w14:textId="1862364A" w:rsidR="0053689E" w:rsidRDefault="0053689E" w:rsidP="0053689E">
    <w:pPr>
      <w:pStyle w:val="Header"/>
      <w:jc w:val="right"/>
    </w:pPr>
    <w:sdt>
      <w:sdtPr>
        <w:id w:val="854615760"/>
        <w:docPartObj>
          <w:docPartGallery w:val="Watermarks"/>
          <w:docPartUnique/>
        </w:docPartObj>
      </w:sdtPr>
      <w:sdtContent>
        <w:r>
          <w:pict w14:anchorId="4B3B9D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91BAA44" wp14:editId="390F3B49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DEF9C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04266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E2F32"/>
    <w:multiLevelType w:val="hybridMultilevel"/>
    <w:tmpl w:val="860CF7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60C81"/>
    <w:multiLevelType w:val="hybridMultilevel"/>
    <w:tmpl w:val="85EE6548"/>
    <w:lvl w:ilvl="0" w:tplc="2286C56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6D5D"/>
    <w:multiLevelType w:val="hybridMultilevel"/>
    <w:tmpl w:val="C228F41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4F64DC"/>
    <w:multiLevelType w:val="hybridMultilevel"/>
    <w:tmpl w:val="0D66466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E48C7"/>
    <w:multiLevelType w:val="hybridMultilevel"/>
    <w:tmpl w:val="5B542208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75593B78"/>
    <w:multiLevelType w:val="hybridMultilevel"/>
    <w:tmpl w:val="432EC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5A4C"/>
    <w:rsid w:val="00007B80"/>
    <w:rsid w:val="00011245"/>
    <w:rsid w:val="00013A22"/>
    <w:rsid w:val="00014C3F"/>
    <w:rsid w:val="00014E72"/>
    <w:rsid w:val="00017C82"/>
    <w:rsid w:val="00032B88"/>
    <w:rsid w:val="00033107"/>
    <w:rsid w:val="00046DF5"/>
    <w:rsid w:val="00052060"/>
    <w:rsid w:val="0005574A"/>
    <w:rsid w:val="00055FE1"/>
    <w:rsid w:val="00056EC2"/>
    <w:rsid w:val="00060B48"/>
    <w:rsid w:val="00067F32"/>
    <w:rsid w:val="00071807"/>
    <w:rsid w:val="00075810"/>
    <w:rsid w:val="000803E1"/>
    <w:rsid w:val="00084513"/>
    <w:rsid w:val="00084859"/>
    <w:rsid w:val="00092D94"/>
    <w:rsid w:val="00094B10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4E4A"/>
    <w:rsid w:val="000E5A54"/>
    <w:rsid w:val="000E63D3"/>
    <w:rsid w:val="000E67CF"/>
    <w:rsid w:val="0010461E"/>
    <w:rsid w:val="00106FAA"/>
    <w:rsid w:val="00113443"/>
    <w:rsid w:val="001218CB"/>
    <w:rsid w:val="001269A7"/>
    <w:rsid w:val="00131092"/>
    <w:rsid w:val="0014040C"/>
    <w:rsid w:val="00140E6A"/>
    <w:rsid w:val="00146545"/>
    <w:rsid w:val="00146B75"/>
    <w:rsid w:val="0015266D"/>
    <w:rsid w:val="0015288A"/>
    <w:rsid w:val="00160F47"/>
    <w:rsid w:val="0016602E"/>
    <w:rsid w:val="00177CA1"/>
    <w:rsid w:val="00183823"/>
    <w:rsid w:val="00183942"/>
    <w:rsid w:val="001A009E"/>
    <w:rsid w:val="001A1287"/>
    <w:rsid w:val="001A3859"/>
    <w:rsid w:val="001A3C9D"/>
    <w:rsid w:val="001A43F8"/>
    <w:rsid w:val="001A712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0184"/>
    <w:rsid w:val="002046A6"/>
    <w:rsid w:val="00204956"/>
    <w:rsid w:val="00213640"/>
    <w:rsid w:val="002139A5"/>
    <w:rsid w:val="00221070"/>
    <w:rsid w:val="00221452"/>
    <w:rsid w:val="00221547"/>
    <w:rsid w:val="002216FC"/>
    <w:rsid w:val="00222533"/>
    <w:rsid w:val="00222F30"/>
    <w:rsid w:val="00224EE2"/>
    <w:rsid w:val="00227EC7"/>
    <w:rsid w:val="00230C3F"/>
    <w:rsid w:val="00244AD1"/>
    <w:rsid w:val="002463BC"/>
    <w:rsid w:val="002465CE"/>
    <w:rsid w:val="0025734A"/>
    <w:rsid w:val="00262DD9"/>
    <w:rsid w:val="00263255"/>
    <w:rsid w:val="00276494"/>
    <w:rsid w:val="00277B0C"/>
    <w:rsid w:val="002B1A2C"/>
    <w:rsid w:val="002C34F2"/>
    <w:rsid w:val="002C58FF"/>
    <w:rsid w:val="002C647D"/>
    <w:rsid w:val="002C7AFE"/>
    <w:rsid w:val="002D05D2"/>
    <w:rsid w:val="002E0D61"/>
    <w:rsid w:val="002E4151"/>
    <w:rsid w:val="002E4C7B"/>
    <w:rsid w:val="002F512E"/>
    <w:rsid w:val="00301512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5286"/>
    <w:rsid w:val="003567A8"/>
    <w:rsid w:val="003579C7"/>
    <w:rsid w:val="00361264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0E29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87A62"/>
    <w:rsid w:val="00490D4C"/>
    <w:rsid w:val="00493A35"/>
    <w:rsid w:val="0049527A"/>
    <w:rsid w:val="004966BF"/>
    <w:rsid w:val="00497984"/>
    <w:rsid w:val="004A5088"/>
    <w:rsid w:val="004B374E"/>
    <w:rsid w:val="004B791E"/>
    <w:rsid w:val="004C1E3F"/>
    <w:rsid w:val="004C23F4"/>
    <w:rsid w:val="004C3475"/>
    <w:rsid w:val="004C45BF"/>
    <w:rsid w:val="004C58B6"/>
    <w:rsid w:val="004D16A3"/>
    <w:rsid w:val="004D3C18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3689E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12B2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27647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32B6"/>
    <w:rsid w:val="006E5D05"/>
    <w:rsid w:val="00701053"/>
    <w:rsid w:val="00701507"/>
    <w:rsid w:val="00714021"/>
    <w:rsid w:val="00716A0F"/>
    <w:rsid w:val="00717D45"/>
    <w:rsid w:val="007208F7"/>
    <w:rsid w:val="007218AF"/>
    <w:rsid w:val="007316F7"/>
    <w:rsid w:val="007365D1"/>
    <w:rsid w:val="00740E0E"/>
    <w:rsid w:val="00750212"/>
    <w:rsid w:val="00751130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497E"/>
    <w:rsid w:val="0079509C"/>
    <w:rsid w:val="00796708"/>
    <w:rsid w:val="007B1B42"/>
    <w:rsid w:val="007B7C1D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C43CB"/>
    <w:rsid w:val="008D026D"/>
    <w:rsid w:val="008D23AB"/>
    <w:rsid w:val="008D4B8B"/>
    <w:rsid w:val="008D5A78"/>
    <w:rsid w:val="008E7B64"/>
    <w:rsid w:val="008F4356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5D2"/>
    <w:rsid w:val="0094660B"/>
    <w:rsid w:val="00946A33"/>
    <w:rsid w:val="0095260E"/>
    <w:rsid w:val="009578DD"/>
    <w:rsid w:val="00961124"/>
    <w:rsid w:val="009621B6"/>
    <w:rsid w:val="009667AE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5030"/>
    <w:rsid w:val="00A01D0C"/>
    <w:rsid w:val="00A0643F"/>
    <w:rsid w:val="00A067EE"/>
    <w:rsid w:val="00A10FCE"/>
    <w:rsid w:val="00A16D91"/>
    <w:rsid w:val="00A174CC"/>
    <w:rsid w:val="00A179EA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2948"/>
    <w:rsid w:val="00A84504"/>
    <w:rsid w:val="00A8672F"/>
    <w:rsid w:val="00A93057"/>
    <w:rsid w:val="00A968B0"/>
    <w:rsid w:val="00AB2672"/>
    <w:rsid w:val="00AB2817"/>
    <w:rsid w:val="00AB43C4"/>
    <w:rsid w:val="00AC1D7B"/>
    <w:rsid w:val="00AC32E7"/>
    <w:rsid w:val="00AC3A9F"/>
    <w:rsid w:val="00AC6D2F"/>
    <w:rsid w:val="00AE2745"/>
    <w:rsid w:val="00AE2F64"/>
    <w:rsid w:val="00AF01D8"/>
    <w:rsid w:val="00AF263B"/>
    <w:rsid w:val="00AF2928"/>
    <w:rsid w:val="00AF42CB"/>
    <w:rsid w:val="00AF483F"/>
    <w:rsid w:val="00AF5E07"/>
    <w:rsid w:val="00AF5F06"/>
    <w:rsid w:val="00B00A25"/>
    <w:rsid w:val="00B1422A"/>
    <w:rsid w:val="00B1765C"/>
    <w:rsid w:val="00B213C4"/>
    <w:rsid w:val="00B2196A"/>
    <w:rsid w:val="00B225BE"/>
    <w:rsid w:val="00B40C60"/>
    <w:rsid w:val="00B479A9"/>
    <w:rsid w:val="00B47B56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810"/>
    <w:rsid w:val="00BD499F"/>
    <w:rsid w:val="00BD56DE"/>
    <w:rsid w:val="00BF2406"/>
    <w:rsid w:val="00BF7176"/>
    <w:rsid w:val="00C03792"/>
    <w:rsid w:val="00C06E43"/>
    <w:rsid w:val="00C16315"/>
    <w:rsid w:val="00C3091E"/>
    <w:rsid w:val="00C40FF1"/>
    <w:rsid w:val="00C419E2"/>
    <w:rsid w:val="00C43D2B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09"/>
    <w:rsid w:val="00CE617F"/>
    <w:rsid w:val="00CE78EF"/>
    <w:rsid w:val="00D03DB1"/>
    <w:rsid w:val="00D048F7"/>
    <w:rsid w:val="00D0517E"/>
    <w:rsid w:val="00D0611F"/>
    <w:rsid w:val="00D140FC"/>
    <w:rsid w:val="00D21D8C"/>
    <w:rsid w:val="00D31357"/>
    <w:rsid w:val="00D33220"/>
    <w:rsid w:val="00D334D1"/>
    <w:rsid w:val="00D41401"/>
    <w:rsid w:val="00D44C89"/>
    <w:rsid w:val="00D516CD"/>
    <w:rsid w:val="00D5204E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05BA"/>
    <w:rsid w:val="00DC7694"/>
    <w:rsid w:val="00DD1BF6"/>
    <w:rsid w:val="00DD2F9B"/>
    <w:rsid w:val="00DD5E5D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67BD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6831"/>
    <w:rsid w:val="00F970C9"/>
    <w:rsid w:val="00FA06A8"/>
    <w:rsid w:val="00FA3DF5"/>
    <w:rsid w:val="00FA741F"/>
    <w:rsid w:val="00FB4E07"/>
    <w:rsid w:val="00FB755A"/>
    <w:rsid w:val="00FC0BAD"/>
    <w:rsid w:val="00FC60A2"/>
    <w:rsid w:val="00FD1871"/>
    <w:rsid w:val="00FD3110"/>
    <w:rsid w:val="00FE4E5F"/>
    <w:rsid w:val="00FF456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FC0BAD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4D3C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6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47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47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47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9C2C649D226141CEA8E8A0C376EA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9FAC-B763-4613-9A2E-2269A4408B9B}"/>
      </w:docPartPr>
      <w:docPartBody>
        <w:p w:rsidR="003E2F1B" w:rsidRDefault="00143E0B" w:rsidP="00143E0B">
          <w:pPr>
            <w:pStyle w:val="9C2C649D226141CEA8E8A0C376EAC9AD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143E0B"/>
    <w:rsid w:val="003E2F1B"/>
    <w:rsid w:val="008A7BFE"/>
    <w:rsid w:val="009D09A8"/>
    <w:rsid w:val="00AA2DC5"/>
    <w:rsid w:val="00D21A9F"/>
    <w:rsid w:val="00F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E0B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4D41033A9CF44CD8371707DB5B0F623">
    <w:name w:val="D4D41033A9CF44CD8371707DB5B0F623"/>
    <w:rsid w:val="009D09A8"/>
  </w:style>
  <w:style w:type="paragraph" w:customStyle="1" w:styleId="8E289D0271DF4047B3421A429402CC84">
    <w:name w:val="8E289D0271DF4047B3421A429402CC84"/>
    <w:rsid w:val="009D09A8"/>
  </w:style>
  <w:style w:type="paragraph" w:customStyle="1" w:styleId="FD9B23D6F3FF4F619C376AC2E8863C7E">
    <w:name w:val="FD9B23D6F3FF4F619C376AC2E8863C7E"/>
    <w:rsid w:val="009D09A8"/>
  </w:style>
  <w:style w:type="paragraph" w:customStyle="1" w:styleId="CA59E431908846ACAD51EDF91327A722">
    <w:name w:val="CA59E431908846ACAD51EDF91327A722"/>
    <w:rsid w:val="009D09A8"/>
  </w:style>
  <w:style w:type="paragraph" w:customStyle="1" w:styleId="20E25F06A1B54A64839697D4A037EA88">
    <w:name w:val="20E25F06A1B54A64839697D4A037EA88"/>
    <w:rsid w:val="009D09A8"/>
  </w:style>
  <w:style w:type="paragraph" w:customStyle="1" w:styleId="9C2C649D226141CEA8E8A0C376EAC9AD">
    <w:name w:val="9C2C649D226141CEA8E8A0C376EAC9AD"/>
    <w:rsid w:val="00143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2D9D-CFAB-4F4E-9CAE-2D099ECEC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9B566F-6761-4431-9539-CD6EBA89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BCFE32C4.dotm</Template>
  <TotalTime>845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32</cp:revision>
  <cp:lastPrinted>2018-10-22T22:41:00Z</cp:lastPrinted>
  <dcterms:created xsi:type="dcterms:W3CDTF">2019-09-05T03:23:00Z</dcterms:created>
  <dcterms:modified xsi:type="dcterms:W3CDTF">2020-01-30T01:43:00Z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