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</w:sdtPr>
      <w:sdtEndPr/>
      <w:sdtContent>
        <w:p w14:paraId="4A3A6963" w14:textId="687403F9" w:rsidR="00BD499F" w:rsidRPr="004C23F4" w:rsidRDefault="00D04732" w:rsidP="00B40C60">
          <w:pPr>
            <w:pStyle w:val="Heading1"/>
            <w:jc w:val="center"/>
            <w:rPr>
              <w:rFonts w:ascii="Arial" w:hAnsi="Arial" w:cs="Arial"/>
            </w:rPr>
          </w:pPr>
          <w:r w:rsidRPr="00D04732">
            <w:rPr>
              <w:rFonts w:ascii="Arial" w:hAnsi="Arial" w:cs="Arial"/>
            </w:rPr>
            <w:t>Methyl acetate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7"/>
        <w:gridCol w:w="5039"/>
      </w:tblGrid>
      <w:tr w:rsidR="00F43AD5" w:rsidRPr="004C23F4" w14:paraId="52CB5F10" w14:textId="77777777" w:rsidTr="00B76A41">
        <w:trPr>
          <w:cantSplit/>
          <w:tblHeader/>
        </w:trPr>
        <w:tc>
          <w:tcPr>
            <w:tcW w:w="4077" w:type="dxa"/>
          </w:tcPr>
          <w:p w14:paraId="3DE9C6CB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C7C2CB1" w14:textId="58828A6C" w:rsidR="00F43AD5" w:rsidRPr="00717D45" w:rsidRDefault="00EA16B7" w:rsidP="00B76A41">
            <w:pPr>
              <w:pStyle w:val="Tablefont"/>
            </w:pPr>
            <w:r w:rsidRPr="00EA16B7">
              <w:t>79-20-9</w:t>
            </w:r>
          </w:p>
        </w:tc>
      </w:tr>
      <w:tr w:rsidR="00F43AD5" w:rsidRPr="004C23F4" w14:paraId="766E6035" w14:textId="77777777" w:rsidTr="00B76A41">
        <w:trPr>
          <w:cantSplit/>
        </w:trPr>
        <w:tc>
          <w:tcPr>
            <w:tcW w:w="4077" w:type="dxa"/>
          </w:tcPr>
          <w:p w14:paraId="5F0ABDB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A1C9AE0" w14:textId="50C24936" w:rsidR="00F43AD5" w:rsidRPr="00717D45" w:rsidRDefault="00DA72E3" w:rsidP="00B76A41">
            <w:pPr>
              <w:pStyle w:val="Tablefont"/>
            </w:pPr>
            <w:r>
              <w:t>Methyl ethanoate, a</w:t>
            </w:r>
            <w:r w:rsidR="00EA16B7">
              <w:t>cet</w:t>
            </w:r>
            <w:r w:rsidR="005A2267">
              <w:t xml:space="preserve">ic acid methyl ester, </w:t>
            </w:r>
            <w:r w:rsidR="005A2267">
              <w:br/>
            </w:r>
            <w:r w:rsidR="00EA16B7">
              <w:t xml:space="preserve">ethyl ester of </w:t>
            </w:r>
            <w:proofErr w:type="spellStart"/>
            <w:r w:rsidR="00EA16B7">
              <w:t>monoacetic</w:t>
            </w:r>
            <w:proofErr w:type="spellEnd"/>
            <w:r w:rsidR="00EA16B7">
              <w:t xml:space="preserve"> acid, </w:t>
            </w:r>
            <w:r w:rsidR="005A2267">
              <w:br/>
            </w:r>
            <w:r w:rsidR="00EA16B7">
              <w:t xml:space="preserve">methyl acetate (natural), methyl acetic ester, </w:t>
            </w:r>
            <w:proofErr w:type="spellStart"/>
            <w:r w:rsidR="00EA16B7">
              <w:t>tereton</w:t>
            </w:r>
            <w:proofErr w:type="spellEnd"/>
            <w:r>
              <w:t xml:space="preserve">. </w:t>
            </w:r>
          </w:p>
        </w:tc>
      </w:tr>
      <w:tr w:rsidR="00F43AD5" w:rsidRPr="004C23F4" w14:paraId="4B6F4D87" w14:textId="77777777" w:rsidTr="00B76A41">
        <w:trPr>
          <w:cantSplit/>
        </w:trPr>
        <w:tc>
          <w:tcPr>
            <w:tcW w:w="4077" w:type="dxa"/>
          </w:tcPr>
          <w:p w14:paraId="036DD37C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2756E3D6" w14:textId="7042B5AB" w:rsidR="00F43AD5" w:rsidRPr="00717D45" w:rsidRDefault="00EA16B7" w:rsidP="00B76A41">
            <w:pPr>
              <w:pStyle w:val="Tablefont"/>
            </w:pPr>
            <w:r>
              <w:t>C</w:t>
            </w:r>
            <w:r w:rsidRPr="00EA16B7">
              <w:rPr>
                <w:vertAlign w:val="subscript"/>
              </w:rPr>
              <w:t>3</w:t>
            </w:r>
            <w:r>
              <w:t>H</w:t>
            </w:r>
            <w:r w:rsidRPr="00EA16B7">
              <w:rPr>
                <w:vertAlign w:val="subscript"/>
              </w:rPr>
              <w:t>6</w:t>
            </w:r>
            <w:r>
              <w:t>O</w:t>
            </w:r>
            <w:r w:rsidRPr="00EA16B7">
              <w:rPr>
                <w:vertAlign w:val="subscript"/>
              </w:rPr>
              <w:t>2</w:t>
            </w:r>
          </w:p>
        </w:tc>
      </w:tr>
      <w:tr w:rsidR="00F43AD5" w:rsidRPr="004C23F4" w14:paraId="72698788" w14:textId="77777777" w:rsidTr="00B76A41">
        <w:trPr>
          <w:cantSplit/>
        </w:trPr>
        <w:tc>
          <w:tcPr>
            <w:tcW w:w="4077" w:type="dxa"/>
          </w:tcPr>
          <w:p w14:paraId="07FE0425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36F1B996" w14:textId="165983D7" w:rsidR="00F43AD5" w:rsidRPr="00EA16B7" w:rsidRDefault="00EA16B7" w:rsidP="00B76A41">
            <w:pPr>
              <w:pStyle w:val="Tablerowheading"/>
              <w:rPr>
                <w:b w:val="0"/>
              </w:rPr>
            </w:pPr>
            <w:r w:rsidRPr="00EA16B7">
              <w:rPr>
                <w:b w:val="0"/>
              </w:rPr>
              <w:t>—</w:t>
            </w:r>
          </w:p>
        </w:tc>
      </w:tr>
    </w:tbl>
    <w:p w14:paraId="558156A7" w14:textId="7D85ADE5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9A71C5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09574305" w14:textId="77777777" w:rsidTr="009A71C5">
        <w:trPr>
          <w:cantSplit/>
          <w:tblHeader/>
        </w:trPr>
        <w:tc>
          <w:tcPr>
            <w:tcW w:w="4005" w:type="dxa"/>
            <w:vAlign w:val="center"/>
          </w:tcPr>
          <w:p w14:paraId="5DE63462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63748D22" w14:textId="7F80B8C2" w:rsidR="002C7AFE" w:rsidRPr="009A71C5" w:rsidRDefault="009A71C5" w:rsidP="00017C82">
            <w:pPr>
              <w:pStyle w:val="Tablefont"/>
              <w:rPr>
                <w:b/>
              </w:rPr>
            </w:pPr>
            <w:r w:rsidRPr="009A71C5">
              <w:rPr>
                <w:b/>
              </w:rPr>
              <w:t>200 ppm (606 mg/m</w:t>
            </w:r>
            <w:r w:rsidRPr="009A71C5">
              <w:rPr>
                <w:b/>
                <w:vertAlign w:val="superscript"/>
              </w:rPr>
              <w:t>3</w:t>
            </w:r>
            <w:r w:rsidRPr="009A71C5">
              <w:rPr>
                <w:b/>
              </w:rPr>
              <w:t>)</w:t>
            </w:r>
          </w:p>
        </w:tc>
      </w:tr>
      <w:tr w:rsidR="002C7AFE" w:rsidRPr="004C23F4" w14:paraId="1CCDFC1D" w14:textId="77777777" w:rsidTr="009A71C5">
        <w:trPr>
          <w:cantSplit/>
        </w:trPr>
        <w:tc>
          <w:tcPr>
            <w:tcW w:w="4005" w:type="dxa"/>
            <w:vAlign w:val="center"/>
          </w:tcPr>
          <w:p w14:paraId="73B2DF58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302F2C94" w14:textId="49E5AB65" w:rsidR="002C7AFE" w:rsidRPr="00EB3D1B" w:rsidRDefault="009A71C5" w:rsidP="00017C82">
            <w:pPr>
              <w:pStyle w:val="Tablefont"/>
              <w:rPr>
                <w:b/>
              </w:rPr>
            </w:pPr>
            <w:r w:rsidRPr="009A71C5">
              <w:rPr>
                <w:b/>
              </w:rPr>
              <w:t>250 ppm (757 mg/m</w:t>
            </w:r>
            <w:r w:rsidRPr="009A71C5">
              <w:rPr>
                <w:b/>
                <w:vertAlign w:val="superscript"/>
              </w:rPr>
              <w:t>3</w:t>
            </w:r>
            <w:r w:rsidRPr="009A71C5">
              <w:rPr>
                <w:b/>
              </w:rPr>
              <w:t>)</w:t>
            </w:r>
          </w:p>
        </w:tc>
      </w:tr>
      <w:tr w:rsidR="002C7AFE" w:rsidRPr="004C23F4" w14:paraId="4BF6115A" w14:textId="77777777" w:rsidTr="009A71C5">
        <w:trPr>
          <w:cantSplit/>
        </w:trPr>
        <w:tc>
          <w:tcPr>
            <w:tcW w:w="4005" w:type="dxa"/>
            <w:vAlign w:val="center"/>
          </w:tcPr>
          <w:p w14:paraId="254DAFEA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30627382" w14:textId="470731D2" w:rsidR="002C7AFE" w:rsidRPr="009A71C5" w:rsidRDefault="009A71C5" w:rsidP="00017C82">
            <w:pPr>
              <w:pStyle w:val="Tablefont"/>
              <w:rPr>
                <w:b/>
              </w:rPr>
            </w:pPr>
            <w:r w:rsidRPr="009A71C5">
              <w:rPr>
                <w:b/>
              </w:rPr>
              <w:t>—</w:t>
            </w:r>
          </w:p>
        </w:tc>
      </w:tr>
      <w:tr w:rsidR="002C7AFE" w:rsidRPr="004C23F4" w14:paraId="2E4B42F0" w14:textId="77777777" w:rsidTr="009A71C5">
        <w:trPr>
          <w:cantSplit/>
        </w:trPr>
        <w:tc>
          <w:tcPr>
            <w:tcW w:w="4005" w:type="dxa"/>
          </w:tcPr>
          <w:p w14:paraId="3A047C58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922FCDB" w14:textId="3753EDE5" w:rsidR="002C7AFE" w:rsidRPr="00EB3D1B" w:rsidRDefault="009A71C5" w:rsidP="008A36CF">
            <w:pPr>
              <w:pStyle w:val="Tablefont"/>
              <w:rPr>
                <w:b/>
              </w:rPr>
            </w:pPr>
            <w:r w:rsidRPr="009A71C5">
              <w:rPr>
                <w:b/>
              </w:rPr>
              <w:t>—</w:t>
            </w:r>
          </w:p>
        </w:tc>
      </w:tr>
      <w:tr w:rsidR="002C7AFE" w:rsidRPr="004C23F4" w14:paraId="6DE73FD1" w14:textId="77777777" w:rsidTr="009A71C5">
        <w:trPr>
          <w:cantSplit/>
        </w:trPr>
        <w:tc>
          <w:tcPr>
            <w:tcW w:w="4005" w:type="dxa"/>
            <w:vAlign w:val="center"/>
          </w:tcPr>
          <w:p w14:paraId="1853C1D0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603F0D1F" w14:textId="74C72A35" w:rsidR="002C7AFE" w:rsidRPr="00EB3D1B" w:rsidRDefault="00EA16B7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3</w:t>
            </w:r>
            <w:r w:rsidR="008F2051">
              <w:rPr>
                <w:b/>
              </w:rPr>
              <w:t>,</w:t>
            </w:r>
            <w:r>
              <w:rPr>
                <w:b/>
              </w:rPr>
              <w:t>100 ppm</w:t>
            </w:r>
          </w:p>
        </w:tc>
      </w:tr>
      <w:tr w:rsidR="009A71C5" w14:paraId="5113730F" w14:textId="77777777" w:rsidTr="009A71C5">
        <w:trPr>
          <w:cantSplit/>
        </w:trPr>
        <w:tc>
          <w:tcPr>
            <w:tcW w:w="9026" w:type="dxa"/>
            <w:gridSpan w:val="2"/>
            <w:vAlign w:val="center"/>
          </w:tcPr>
          <w:p w14:paraId="74EA06CA" w14:textId="5FDE26C1" w:rsidR="009A71C5" w:rsidRDefault="009A71C5" w:rsidP="00C13D4D">
            <w:pPr>
              <w:pStyle w:val="Tablefont"/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1350BD8ED1F546C6A670D1D1B11C6D71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7AE8A2D1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9BB38A4" w14:textId="4D882330" w:rsidR="006639B4" w:rsidRDefault="001C7841" w:rsidP="000C139A">
      <w:pPr>
        <w:rPr>
          <w:rFonts w:cs="Arial"/>
        </w:rPr>
      </w:pPr>
      <w:r>
        <w:rPr>
          <w:rFonts w:cs="Arial"/>
        </w:rPr>
        <w:t xml:space="preserve">A TWA of </w:t>
      </w:r>
      <w:r w:rsidR="009A71C5" w:rsidRPr="009A71C5">
        <w:t>200 ppm (606 mg/m</w:t>
      </w:r>
      <w:r w:rsidR="009A71C5" w:rsidRPr="009A71C5">
        <w:rPr>
          <w:vertAlign w:val="superscript"/>
        </w:rPr>
        <w:t>3</w:t>
      </w:r>
      <w:r w:rsidR="009A71C5" w:rsidRPr="009A71C5">
        <w:t>)</w:t>
      </w:r>
      <w:r w:rsidR="009A71C5">
        <w:rPr>
          <w:rFonts w:cs="Arial"/>
        </w:rPr>
        <w:t xml:space="preserve"> </w:t>
      </w:r>
      <w:r w:rsidRPr="001C7841">
        <w:rPr>
          <w:rFonts w:cs="Arial"/>
        </w:rPr>
        <w:t>is recommended to protect for</w:t>
      </w:r>
      <w:r>
        <w:rPr>
          <w:rFonts w:cs="Arial"/>
        </w:rPr>
        <w:t xml:space="preserve"> </w:t>
      </w:r>
      <w:r w:rsidRPr="001C7841">
        <w:rPr>
          <w:rFonts w:cs="Arial"/>
        </w:rPr>
        <w:t>upper respiratory tract and sensory irritation, headaches</w:t>
      </w:r>
      <w:r w:rsidR="005A2267">
        <w:rPr>
          <w:rFonts w:cs="Arial"/>
        </w:rPr>
        <w:t xml:space="preserve"> and</w:t>
      </w:r>
      <w:r w:rsidRPr="001C7841">
        <w:rPr>
          <w:rFonts w:cs="Arial"/>
        </w:rPr>
        <w:t xml:space="preserve"> nausea </w:t>
      </w:r>
      <w:r w:rsidR="00260971">
        <w:rPr>
          <w:rFonts w:cs="Arial"/>
        </w:rPr>
        <w:t>in exposed workers.</w:t>
      </w:r>
    </w:p>
    <w:p w14:paraId="5D63958C" w14:textId="6D2B87E3" w:rsidR="00DA72E3" w:rsidRPr="004C23F4" w:rsidRDefault="00DA72E3" w:rsidP="000C139A">
      <w:pPr>
        <w:rPr>
          <w:rFonts w:cs="Arial"/>
        </w:rPr>
      </w:pPr>
      <w:r>
        <w:rPr>
          <w:rFonts w:cs="Arial"/>
        </w:rPr>
        <w:t xml:space="preserve">A STEL of </w:t>
      </w:r>
      <w:r w:rsidRPr="009A71C5">
        <w:t>250 ppm (757 mg/m</w:t>
      </w:r>
      <w:r w:rsidRPr="009A71C5">
        <w:rPr>
          <w:vertAlign w:val="superscript"/>
        </w:rPr>
        <w:t>3</w:t>
      </w:r>
      <w:r w:rsidRPr="009A71C5">
        <w:t>)</w:t>
      </w:r>
      <w:r>
        <w:rPr>
          <w:rFonts w:cs="Arial"/>
        </w:rPr>
        <w:t xml:space="preserve"> </w:t>
      </w:r>
      <w:r w:rsidRPr="001C7841">
        <w:rPr>
          <w:rFonts w:cs="Arial"/>
        </w:rPr>
        <w:t>is recommended to protect for</w:t>
      </w:r>
      <w:r w:rsidR="005A2267">
        <w:rPr>
          <w:rFonts w:cs="Arial"/>
        </w:rPr>
        <w:t xml:space="preserve"> acute</w:t>
      </w:r>
      <w:r>
        <w:rPr>
          <w:rFonts w:cs="Arial"/>
        </w:rPr>
        <w:t xml:space="preserve"> </w:t>
      </w:r>
      <w:r w:rsidRPr="001C7841">
        <w:rPr>
          <w:rFonts w:cs="Arial"/>
        </w:rPr>
        <w:t>upper respiratory tract and sensory irritation, headaches</w:t>
      </w:r>
      <w:r w:rsidR="005A2267">
        <w:rPr>
          <w:rFonts w:cs="Arial"/>
        </w:rPr>
        <w:t xml:space="preserve"> and</w:t>
      </w:r>
      <w:r w:rsidRPr="001C7841">
        <w:rPr>
          <w:rFonts w:cs="Arial"/>
        </w:rPr>
        <w:t xml:space="preserve"> nausea </w:t>
      </w:r>
      <w:r>
        <w:rPr>
          <w:rFonts w:cs="Arial"/>
        </w:rPr>
        <w:t xml:space="preserve">in </w:t>
      </w:r>
      <w:r w:rsidR="005A2267">
        <w:rPr>
          <w:rFonts w:cs="Arial"/>
        </w:rPr>
        <w:t>exposed workers</w:t>
      </w:r>
      <w:r>
        <w:rPr>
          <w:rFonts w:cs="Arial"/>
        </w:rPr>
        <w:t>.</w:t>
      </w:r>
    </w:p>
    <w:p w14:paraId="2E78CA37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86211B3" w14:textId="77777777" w:rsidR="005A2267" w:rsidRDefault="00260971" w:rsidP="006639B4">
      <w:pPr>
        <w:rPr>
          <w:rFonts w:cs="Arial"/>
        </w:rPr>
      </w:pPr>
      <w:r w:rsidRPr="00260971">
        <w:rPr>
          <w:rFonts w:cs="Arial"/>
        </w:rPr>
        <w:t>Methyl acetate</w:t>
      </w:r>
      <w:r w:rsidR="009A71C5">
        <w:rPr>
          <w:rFonts w:cs="Arial"/>
        </w:rPr>
        <w:t xml:space="preserve"> is used </w:t>
      </w:r>
      <w:r w:rsidR="009A71C5" w:rsidRPr="008F50A2">
        <w:rPr>
          <w:rFonts w:cs="Arial"/>
        </w:rPr>
        <w:t xml:space="preserve">as </w:t>
      </w:r>
      <w:r w:rsidR="009A71C5">
        <w:rPr>
          <w:rFonts w:cs="Arial"/>
        </w:rPr>
        <w:t xml:space="preserve">a solvent, flavouring, </w:t>
      </w:r>
      <w:proofErr w:type="gramStart"/>
      <w:r w:rsidR="009A71C5">
        <w:rPr>
          <w:rFonts w:cs="Arial"/>
        </w:rPr>
        <w:t>biodegradation</w:t>
      </w:r>
      <w:proofErr w:type="gramEnd"/>
      <w:r w:rsidR="009A71C5">
        <w:rPr>
          <w:rFonts w:cs="Arial"/>
        </w:rPr>
        <w:t xml:space="preserve"> catalyst and in the manufacture of perfume, dyes, lacquers, plastics and artificial leather. </w:t>
      </w:r>
    </w:p>
    <w:p w14:paraId="67290955" w14:textId="57C0FA08" w:rsidR="009A71C5" w:rsidRDefault="009D5557" w:rsidP="006639B4">
      <w:r>
        <w:rPr>
          <w:rFonts w:cs="Arial"/>
        </w:rPr>
        <w:t>C</w:t>
      </w:r>
      <w:r w:rsidR="009A71C5" w:rsidRPr="009A71C5">
        <w:rPr>
          <w:rFonts w:cs="Arial"/>
        </w:rPr>
        <w:t xml:space="preserve">ritical effects </w:t>
      </w:r>
      <w:r>
        <w:rPr>
          <w:rFonts w:cs="Arial"/>
        </w:rPr>
        <w:t>include</w:t>
      </w:r>
      <w:r w:rsidRPr="009A71C5">
        <w:rPr>
          <w:rFonts w:cs="Arial"/>
        </w:rPr>
        <w:t xml:space="preserve"> </w:t>
      </w:r>
      <w:r w:rsidR="009A71C5" w:rsidRPr="001C7841">
        <w:rPr>
          <w:rFonts w:cs="Arial"/>
        </w:rPr>
        <w:t>upper respiratory tract and sensory irritation, headaches, nausea and visual disturbances</w:t>
      </w:r>
      <w:r w:rsidR="009A71C5">
        <w:rPr>
          <w:rFonts w:cs="Arial"/>
        </w:rPr>
        <w:t>.</w:t>
      </w:r>
      <w:r w:rsidR="005A2267">
        <w:rPr>
          <w:iCs/>
        </w:rPr>
        <w:t xml:space="preserve"> </w:t>
      </w:r>
      <w:r w:rsidR="00F43319">
        <w:rPr>
          <w:iCs/>
        </w:rPr>
        <w:t xml:space="preserve">In humans, short term inhalational exposure at </w:t>
      </w:r>
      <w:r w:rsidR="00F43319">
        <w:t>165 to 290 ppm over two two-hour exposures on four separate days produced no ill effects.</w:t>
      </w:r>
      <w:r w:rsidR="00F43319" w:rsidRPr="009A71C5">
        <w:rPr>
          <w:iCs/>
        </w:rPr>
        <w:t xml:space="preserve"> </w:t>
      </w:r>
      <w:r w:rsidR="00904A07" w:rsidRPr="009A71C5">
        <w:rPr>
          <w:iCs/>
        </w:rPr>
        <w:t>NOAE</w:t>
      </w:r>
      <w:r w:rsidR="00904A07">
        <w:rPr>
          <w:iCs/>
        </w:rPr>
        <w:t>C</w:t>
      </w:r>
      <w:r w:rsidR="00904A07" w:rsidRPr="009A71C5">
        <w:rPr>
          <w:iCs/>
        </w:rPr>
        <w:t xml:space="preserve"> </w:t>
      </w:r>
      <w:r w:rsidR="009A71C5" w:rsidRPr="009A71C5">
        <w:rPr>
          <w:iCs/>
        </w:rPr>
        <w:t xml:space="preserve">of </w:t>
      </w:r>
      <w:r w:rsidR="00CD5DF3">
        <w:rPr>
          <w:iCs/>
        </w:rPr>
        <w:t>3</w:t>
      </w:r>
      <w:r w:rsidR="009A71C5" w:rsidRPr="009A71C5">
        <w:rPr>
          <w:iCs/>
        </w:rPr>
        <w:t>5</w:t>
      </w:r>
      <w:r w:rsidR="009A71C5">
        <w:rPr>
          <w:iCs/>
        </w:rPr>
        <w:t>0</w:t>
      </w:r>
      <w:r w:rsidR="009A71C5" w:rsidRPr="009A71C5">
        <w:rPr>
          <w:iCs/>
        </w:rPr>
        <w:t xml:space="preserve"> ppm </w:t>
      </w:r>
      <w:r w:rsidR="005A2267">
        <w:rPr>
          <w:iCs/>
        </w:rPr>
        <w:t>i</w:t>
      </w:r>
      <w:r w:rsidR="009A71C5" w:rsidRPr="009A71C5">
        <w:rPr>
          <w:iCs/>
        </w:rPr>
        <w:t xml:space="preserve">s </w:t>
      </w:r>
      <w:r w:rsidR="00100059">
        <w:rPr>
          <w:iCs/>
        </w:rPr>
        <w:t>reported</w:t>
      </w:r>
      <w:r w:rsidR="00100059" w:rsidRPr="009A71C5">
        <w:rPr>
          <w:iCs/>
        </w:rPr>
        <w:t xml:space="preserve"> </w:t>
      </w:r>
      <w:r w:rsidR="009A71C5" w:rsidRPr="009A71C5">
        <w:rPr>
          <w:iCs/>
        </w:rPr>
        <w:t xml:space="preserve">in a </w:t>
      </w:r>
      <w:r w:rsidR="00100059">
        <w:rPr>
          <w:iCs/>
        </w:rPr>
        <w:t>28-day</w:t>
      </w:r>
      <w:r w:rsidR="005A2267">
        <w:rPr>
          <w:iCs/>
        </w:rPr>
        <w:t xml:space="preserve"> </w:t>
      </w:r>
      <w:r w:rsidR="00607D20">
        <w:rPr>
          <w:iCs/>
        </w:rPr>
        <w:t xml:space="preserve">nose-only </w:t>
      </w:r>
      <w:r w:rsidR="005A2267">
        <w:rPr>
          <w:iCs/>
        </w:rPr>
        <w:t>study</w:t>
      </w:r>
      <w:r w:rsidR="009A71C5" w:rsidRPr="009A71C5">
        <w:rPr>
          <w:iCs/>
        </w:rPr>
        <w:t xml:space="preserve"> in rats for</w:t>
      </w:r>
      <w:r w:rsidR="009A71C5">
        <w:rPr>
          <w:iCs/>
        </w:rPr>
        <w:t xml:space="preserve"> respiratory tract irritation and minor systemic effects </w:t>
      </w:r>
      <w:r w:rsidR="009A71C5">
        <w:t>(ACGIH 2018).</w:t>
      </w:r>
    </w:p>
    <w:p w14:paraId="38FC070D" w14:textId="55F81887" w:rsidR="009A71C5" w:rsidRDefault="009A71C5" w:rsidP="006639B4">
      <w:pPr>
        <w:rPr>
          <w:rFonts w:cs="Arial"/>
        </w:rPr>
      </w:pPr>
      <w:r w:rsidRPr="00ED5E5F">
        <w:rPr>
          <w:rFonts w:cs="Arial"/>
        </w:rPr>
        <w:t xml:space="preserve">Based on the evidence presented in humans </w:t>
      </w:r>
      <w:r w:rsidR="005A2267">
        <w:rPr>
          <w:rFonts w:cs="Arial"/>
        </w:rPr>
        <w:t xml:space="preserve">and </w:t>
      </w:r>
      <w:r>
        <w:rPr>
          <w:rFonts w:cs="Arial"/>
        </w:rPr>
        <w:t xml:space="preserve">supported by </w:t>
      </w:r>
      <w:r w:rsidR="005A2267">
        <w:rPr>
          <w:rFonts w:cs="Arial"/>
        </w:rPr>
        <w:t xml:space="preserve">NOAEC reported in </w:t>
      </w:r>
      <w:r w:rsidRPr="00ED5E5F">
        <w:rPr>
          <w:rFonts w:cs="Arial"/>
        </w:rPr>
        <w:t>rat</w:t>
      </w:r>
      <w:r>
        <w:rPr>
          <w:rFonts w:cs="Arial"/>
        </w:rPr>
        <w:t xml:space="preserve"> </w:t>
      </w:r>
      <w:r w:rsidRPr="00ED5E5F">
        <w:rPr>
          <w:rFonts w:cs="Arial"/>
        </w:rPr>
        <w:t>s</w:t>
      </w:r>
      <w:r>
        <w:rPr>
          <w:rFonts w:cs="Arial"/>
        </w:rPr>
        <w:t xml:space="preserve">tudies </w:t>
      </w:r>
      <w:r w:rsidRPr="00ED5E5F">
        <w:rPr>
          <w:rFonts w:cs="Arial"/>
        </w:rPr>
        <w:t>the TWA</w:t>
      </w:r>
      <w:r>
        <w:rPr>
          <w:rFonts w:cs="Arial"/>
        </w:rPr>
        <w:t xml:space="preserve"> </w:t>
      </w:r>
      <w:r w:rsidR="00A76ADE">
        <w:rPr>
          <w:rFonts w:cs="Arial"/>
        </w:rPr>
        <w:t xml:space="preserve">of </w:t>
      </w:r>
      <w:r w:rsidR="00A76ADE" w:rsidRPr="009A71C5">
        <w:t>200 ppm (606 mg/m</w:t>
      </w:r>
      <w:r w:rsidR="00A76ADE" w:rsidRPr="009A71C5">
        <w:rPr>
          <w:vertAlign w:val="superscript"/>
        </w:rPr>
        <w:t>3</w:t>
      </w:r>
      <w:r w:rsidR="00A76ADE" w:rsidRPr="009A71C5">
        <w:t>)</w:t>
      </w:r>
      <w:r w:rsidR="00A76ADE">
        <w:rPr>
          <w:rFonts w:cs="Arial"/>
        </w:rPr>
        <w:t xml:space="preserve"> </w:t>
      </w:r>
      <w:r>
        <w:rPr>
          <w:rFonts w:cs="Arial"/>
        </w:rPr>
        <w:t>and STEL</w:t>
      </w:r>
      <w:r w:rsidR="00A76ADE">
        <w:rPr>
          <w:rFonts w:cs="Arial"/>
        </w:rPr>
        <w:t xml:space="preserve"> of </w:t>
      </w:r>
      <w:r w:rsidR="00A76ADE" w:rsidRPr="009A71C5">
        <w:t>250 ppm (757 mg/m</w:t>
      </w:r>
      <w:r w:rsidR="00A76ADE" w:rsidRPr="009A71C5">
        <w:rPr>
          <w:vertAlign w:val="superscript"/>
        </w:rPr>
        <w:t>3</w:t>
      </w:r>
      <w:r w:rsidR="00A76ADE" w:rsidRPr="009A71C5">
        <w:t>)</w:t>
      </w:r>
      <w:r w:rsidRPr="00ED5E5F">
        <w:rPr>
          <w:rFonts w:cs="Arial"/>
        </w:rPr>
        <w:t xml:space="preserve"> </w:t>
      </w:r>
      <w:r>
        <w:rPr>
          <w:rFonts w:cs="Arial"/>
        </w:rPr>
        <w:t>are</w:t>
      </w:r>
      <w:r w:rsidRPr="00ED5E5F">
        <w:rPr>
          <w:rFonts w:cs="Arial"/>
        </w:rPr>
        <w:t xml:space="preserve"> </w:t>
      </w:r>
      <w:r w:rsidR="00100059">
        <w:rPr>
          <w:rFonts w:cs="Arial"/>
        </w:rPr>
        <w:t xml:space="preserve">recommended to be retained and </w:t>
      </w:r>
      <w:r w:rsidRPr="00ED5E5F">
        <w:rPr>
          <w:rFonts w:cs="Arial"/>
        </w:rPr>
        <w:t>considered protective of</w:t>
      </w:r>
      <w:r w:rsidRPr="00D20616">
        <w:t xml:space="preserve"> </w:t>
      </w:r>
      <w:r w:rsidRPr="001C7841">
        <w:rPr>
          <w:rFonts w:cs="Arial"/>
        </w:rPr>
        <w:t xml:space="preserve">upper respiratory tract and sensory irritation, headaches, nausea </w:t>
      </w:r>
      <w:r>
        <w:rPr>
          <w:rFonts w:cs="Arial"/>
        </w:rPr>
        <w:t>in exposed workers.</w:t>
      </w:r>
    </w:p>
    <w:p w14:paraId="6FD705E3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5AFDCA3" w14:textId="51848FB3" w:rsidR="00D04732" w:rsidRDefault="00D04732" w:rsidP="00D04732">
      <w:pPr>
        <w:rPr>
          <w:rFonts w:cs="Arial"/>
        </w:rPr>
      </w:pPr>
      <w:r>
        <w:rPr>
          <w:rFonts w:cs="Arial"/>
        </w:rPr>
        <w:t xml:space="preserve">Not classified as a carcinogen according to the Globally Harmonized System of Classification and Labelling </w:t>
      </w:r>
      <w:r w:rsidR="008F2051">
        <w:rPr>
          <w:rFonts w:cs="Arial"/>
        </w:rPr>
        <w:t xml:space="preserve">of </w:t>
      </w:r>
      <w:r>
        <w:rPr>
          <w:rFonts w:cs="Arial"/>
        </w:rPr>
        <w:t xml:space="preserve">Chemicals (GHS). </w:t>
      </w:r>
    </w:p>
    <w:p w14:paraId="56B047A8" w14:textId="60A9F917" w:rsidR="00D04732" w:rsidRDefault="00D04732" w:rsidP="00D04732">
      <w:pPr>
        <w:rPr>
          <w:rFonts w:cs="Arial"/>
        </w:rPr>
      </w:pPr>
      <w:r>
        <w:rPr>
          <w:rFonts w:cs="Arial"/>
        </w:rPr>
        <w:t xml:space="preserve">Not classified as a skin </w:t>
      </w:r>
      <w:r w:rsidR="008F2051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43B9EE31" w14:textId="3711D32D" w:rsidR="00D04732" w:rsidRDefault="00296B86" w:rsidP="00D04732">
      <w:pPr>
        <w:rPr>
          <w:rFonts w:cs="Arial"/>
        </w:rPr>
      </w:pPr>
      <w:r w:rsidRPr="00296B86">
        <w:rPr>
          <w:rFonts w:cs="Arial"/>
        </w:rPr>
        <w:lastRenderedPageBreak/>
        <w:t xml:space="preserve">A skin notation is not </w:t>
      </w:r>
      <w:r w:rsidR="005A2267">
        <w:rPr>
          <w:rFonts w:cs="Arial"/>
        </w:rPr>
        <w:t>recommend</w:t>
      </w:r>
      <w:r w:rsidR="00A76ADE">
        <w:rPr>
          <w:rFonts w:cs="Arial"/>
        </w:rPr>
        <w:t>ed</w:t>
      </w:r>
      <w:r w:rsidRPr="00296B86">
        <w:rPr>
          <w:rFonts w:cs="Arial"/>
        </w:rPr>
        <w:t xml:space="preserve"> based on the available evidence</w:t>
      </w:r>
      <w:r w:rsidR="00D04732">
        <w:rPr>
          <w:rFonts w:cs="Arial"/>
        </w:rPr>
        <w:t>.</w:t>
      </w:r>
    </w:p>
    <w:p w14:paraId="5A5FD265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9175B36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012FD6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31A5438" w14:textId="77777777" w:rsidTr="2AFB9E0F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38F7F7A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8752B4C" w14:textId="77777777" w:rsidTr="2AFB9E0F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41DDB5D" w14:textId="5D7FBA41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8621B9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8621B9">
                  <w:t>TWA: 200 ppm (606 mg/m</w:t>
                </w:r>
                <w:r w:rsidR="008621B9" w:rsidRPr="008621B9">
                  <w:rPr>
                    <w:vertAlign w:val="superscript"/>
                  </w:rPr>
                  <w:t>3</w:t>
                </w:r>
                <w:r w:rsidR="008621B9">
                  <w:t>); STEL: 250 ppm (757 mg/m</w:t>
                </w:r>
                <w:r w:rsidR="008621B9" w:rsidRPr="008621B9">
                  <w:rPr>
                    <w:vertAlign w:val="superscript"/>
                  </w:rPr>
                  <w:t>3</w:t>
                </w:r>
                <w:r w:rsidR="008621B9">
                  <w:t>)</w:t>
                </w:r>
              </w:sdtContent>
            </w:sdt>
          </w:p>
        </w:tc>
      </w:tr>
      <w:tr w:rsidR="00C978F0" w:rsidRPr="00DA352E" w14:paraId="3F5D02A6" w14:textId="77777777" w:rsidTr="2AFB9E0F">
        <w:trPr>
          <w:gridAfter w:val="1"/>
          <w:wAfter w:w="8" w:type="pct"/>
          <w:cantSplit/>
        </w:trPr>
        <w:tc>
          <w:tcPr>
            <w:tcW w:w="4992" w:type="pct"/>
          </w:tcPr>
          <w:p w14:paraId="120AB20B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8AD0F14" w14:textId="77777777" w:rsidTr="2AFB9E0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E3B6C0D" w14:textId="69A06136" w:rsidR="00C978F0" w:rsidRPr="00DA352E" w:rsidRDefault="00DA352E" w:rsidP="008621B9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8621B9">
                  <w:t>2013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8621B9">
                  <w:t>TLV-TWA: 200 ppm</w:t>
                </w:r>
                <w:r w:rsidR="00E31C89">
                  <w:t xml:space="preserve"> </w:t>
                </w:r>
                <w:r w:rsidR="008621B9">
                  <w:t>(606 mg/m</w:t>
                </w:r>
                <w:r w:rsidR="008621B9" w:rsidRPr="008621B9">
                  <w:rPr>
                    <w:vertAlign w:val="superscript"/>
                  </w:rPr>
                  <w:t>3</w:t>
                </w:r>
                <w:r w:rsidR="008621B9">
                  <w:t>); TLV-STEL: 250 ppm (757 mg/m</w:t>
                </w:r>
                <w:r w:rsidR="008621B9" w:rsidRPr="008621B9">
                  <w:rPr>
                    <w:vertAlign w:val="superscript"/>
                  </w:rPr>
                  <w:t>3</w:t>
                </w:r>
                <w:r w:rsidR="008621B9">
                  <w:t>)</w:t>
                </w:r>
              </w:sdtContent>
            </w:sdt>
          </w:p>
        </w:tc>
      </w:tr>
      <w:tr w:rsidR="00C978F0" w:rsidRPr="00DA352E" w14:paraId="0266523F" w14:textId="77777777" w:rsidTr="2AFB9E0F">
        <w:trPr>
          <w:gridAfter w:val="1"/>
          <w:wAfter w:w="8" w:type="pct"/>
          <w:cantSplit/>
        </w:trPr>
        <w:tc>
          <w:tcPr>
            <w:tcW w:w="4992" w:type="pct"/>
          </w:tcPr>
          <w:p w14:paraId="3FA855DE" w14:textId="6BE7B114" w:rsidR="00014BBF" w:rsidRDefault="00014BBF" w:rsidP="008F2051">
            <w:pPr>
              <w:pStyle w:val="Tabletextprimarysource"/>
            </w:pPr>
            <w:r>
              <w:t>TLV-TWA</w:t>
            </w:r>
            <w:r w:rsidR="00F75B89">
              <w:t xml:space="preserve"> and STEL</w:t>
            </w:r>
            <w:r>
              <w:t xml:space="preserve"> recommended to minimise the risk of </w:t>
            </w:r>
            <w:r w:rsidR="00F840BD">
              <w:t xml:space="preserve">upper respiratory tract and </w:t>
            </w:r>
            <w:r w:rsidR="009220E8">
              <w:t>sensory irritation, headaches, nausea and visual disturbances</w:t>
            </w:r>
            <w:r>
              <w:t xml:space="preserve"> </w:t>
            </w:r>
            <w:r w:rsidR="009220E8">
              <w:t>in exposed workers and at higher concentrations optic neuropathy, metabolic acidosis, narcosis and respiratory depression.</w:t>
            </w:r>
          </w:p>
          <w:p w14:paraId="37F30016" w14:textId="77777777" w:rsidR="00014BBF" w:rsidRDefault="00014BBF" w:rsidP="008F2051">
            <w:pPr>
              <w:pStyle w:val="Tabletextprimarysource"/>
            </w:pPr>
            <w:r>
              <w:t>Summary of data:</w:t>
            </w:r>
          </w:p>
          <w:p w14:paraId="425BC7FA" w14:textId="6259044A" w:rsidR="00014BBF" w:rsidRPr="008F50A2" w:rsidRDefault="009220E8" w:rsidP="008F2051">
            <w:pPr>
              <w:pStyle w:val="Tabletextprimarysource"/>
            </w:pPr>
            <w:r>
              <w:t>TLV</w:t>
            </w:r>
            <w:r w:rsidR="00F75B89">
              <w:t>-TWA and STEL</w:t>
            </w:r>
            <w:r>
              <w:t xml:space="preserve"> </w:t>
            </w:r>
            <w:r w:rsidR="00100059">
              <w:t xml:space="preserve">are </w:t>
            </w:r>
            <w:r>
              <w:t xml:space="preserve">largely by analogy to </w:t>
            </w:r>
            <w:r w:rsidR="00A470E1">
              <w:t>m</w:t>
            </w:r>
            <w:r>
              <w:t xml:space="preserve">ethanol because </w:t>
            </w:r>
            <w:r w:rsidR="00A470E1">
              <w:t>m</w:t>
            </w:r>
            <w:r w:rsidRPr="009220E8">
              <w:t>ethyl acetate</w:t>
            </w:r>
            <w:r>
              <w:t xml:space="preserve"> rapidly metaboli</w:t>
            </w:r>
            <w:r w:rsidR="00A470E1">
              <w:t>s</w:t>
            </w:r>
            <w:r>
              <w:t xml:space="preserve">es to </w:t>
            </w:r>
            <w:r w:rsidR="00A470E1">
              <w:t>m</w:t>
            </w:r>
            <w:r>
              <w:t>ethanol in the human body</w:t>
            </w:r>
            <w:r w:rsidR="008F2051">
              <w:t>.</w:t>
            </w:r>
          </w:p>
          <w:p w14:paraId="2BB4BE25" w14:textId="77777777" w:rsidR="00014BBF" w:rsidRDefault="00014BBF" w:rsidP="009D555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63203BE6" w14:textId="66877DEA" w:rsidR="00014BBF" w:rsidRDefault="00F75B89" w:rsidP="009D5557">
            <w:pPr>
              <w:pStyle w:val="ListBullet"/>
              <w:spacing w:before="60" w:after="60"/>
              <w:ind w:left="720"/>
              <w:contextualSpacing w:val="0"/>
            </w:pPr>
            <w:r>
              <w:t>Negative for sensitisation in maximi</w:t>
            </w:r>
            <w:r w:rsidR="009D5557">
              <w:t>s</w:t>
            </w:r>
            <w:r>
              <w:t>ation test of 25 volunteers</w:t>
            </w:r>
          </w:p>
          <w:p w14:paraId="2848703D" w14:textId="512E3928" w:rsidR="00014BBF" w:rsidRDefault="00AA0746" w:rsidP="009D555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Exposure </w:t>
            </w:r>
            <w:r w:rsidR="005A2267">
              <w:t>at</w:t>
            </w:r>
            <w:r>
              <w:t xml:space="preserve"> </w:t>
            </w:r>
            <w:r w:rsidR="0009587C">
              <w:t>165</w:t>
            </w:r>
            <w:r w:rsidR="008F2051">
              <w:t>–</w:t>
            </w:r>
            <w:r w:rsidR="0009587C">
              <w:t xml:space="preserve">290 ppm (2 h, </w:t>
            </w:r>
            <w:r w:rsidR="008F2051">
              <w:t>twice</w:t>
            </w:r>
            <w:r w:rsidR="005A2267">
              <w:t>/</w:t>
            </w:r>
            <w:r w:rsidR="008F2051">
              <w:t>d</w:t>
            </w:r>
            <w:r w:rsidR="0009587C">
              <w:t xml:space="preserve">, </w:t>
            </w:r>
            <w:r w:rsidR="008F2051">
              <w:t xml:space="preserve">for </w:t>
            </w:r>
            <w:r w:rsidR="0009587C">
              <w:t xml:space="preserve">4 d, inhalation) produced an increase in urinary methanol which </w:t>
            </w:r>
            <w:r w:rsidR="00100059">
              <w:t>was</w:t>
            </w:r>
            <w:r w:rsidR="0009587C">
              <w:t xml:space="preserve"> normal each morning</w:t>
            </w:r>
            <w:r w:rsidR="00607D20">
              <w:t xml:space="preserve"> with no ill effects noted</w:t>
            </w:r>
          </w:p>
          <w:p w14:paraId="4EE84828" w14:textId="759A4ED0" w:rsidR="00014BBF" w:rsidRDefault="0009587C" w:rsidP="009D5557">
            <w:pPr>
              <w:pStyle w:val="ListBullet"/>
              <w:spacing w:before="60" w:after="60"/>
              <w:ind w:left="720"/>
              <w:contextualSpacing w:val="0"/>
            </w:pPr>
            <w:r>
              <w:t>Reported lowest toxic concentration: 15,000 mg/m</w:t>
            </w:r>
            <w:r w:rsidRPr="0009587C">
              <w:rPr>
                <w:vertAlign w:val="superscript"/>
              </w:rPr>
              <w:t>3</w:t>
            </w:r>
          </w:p>
          <w:p w14:paraId="4A4078D2" w14:textId="34918CF4" w:rsidR="00014BBF" w:rsidRDefault="0009587C" w:rsidP="009D555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Occupational exposure symptoms include headache, somnolence, corneal irritation, intoxication, temporary blindness, </w:t>
            </w:r>
            <w:r w:rsidRPr="0009587C">
              <w:t>bilateral optic nerve atrophy</w:t>
            </w:r>
            <w:r>
              <w:t>, field of vision changes</w:t>
            </w:r>
            <w:r w:rsidR="008F2051">
              <w:t>.</w:t>
            </w:r>
          </w:p>
          <w:p w14:paraId="46424626" w14:textId="77777777" w:rsidR="00014BBF" w:rsidRDefault="00014BBF" w:rsidP="009D5557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Animal data:</w:t>
            </w:r>
          </w:p>
          <w:p w14:paraId="05B8A6A9" w14:textId="7C5E5AB1" w:rsidR="00014BBF" w:rsidRDefault="00C32ACD" w:rsidP="009D5557">
            <w:pPr>
              <w:pStyle w:val="ListBullet"/>
              <w:spacing w:before="60" w:after="60"/>
              <w:ind w:left="720"/>
              <w:contextualSpacing w:val="0"/>
            </w:pPr>
            <w:proofErr w:type="spellStart"/>
            <w:r>
              <w:t>LD</w:t>
            </w:r>
            <w:r w:rsidRPr="00C32ACD">
              <w:rPr>
                <w:vertAlign w:val="subscript"/>
              </w:rPr>
              <w:t>lo</w:t>
            </w:r>
            <w:proofErr w:type="spellEnd"/>
            <w:r>
              <w:t>: 22,000 ppm (cats, 2</w:t>
            </w:r>
            <w:r w:rsidR="008F2051">
              <w:t>–</w:t>
            </w:r>
            <w:r>
              <w:t>3 h)</w:t>
            </w:r>
            <w:r w:rsidR="00621030">
              <w:t>, 11,220 ppm (mice</w:t>
            </w:r>
            <w:r w:rsidR="00BD4259">
              <w:t>, 3.5</w:t>
            </w:r>
            <w:r w:rsidR="008F2051">
              <w:t>–</w:t>
            </w:r>
            <w:r w:rsidR="00BD4259">
              <w:t>5 h</w:t>
            </w:r>
            <w:r w:rsidR="00621030">
              <w:t>)</w:t>
            </w:r>
            <w:r w:rsidR="00BD4259">
              <w:t>, 32,000 ppm (rats)</w:t>
            </w:r>
          </w:p>
          <w:p w14:paraId="72919FBE" w14:textId="6E0022C4" w:rsidR="00BD4259" w:rsidRDefault="00BD4259" w:rsidP="009D5557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BD4259">
              <w:rPr>
                <w:vertAlign w:val="subscript"/>
              </w:rPr>
              <w:t>50</w:t>
            </w:r>
            <w:r>
              <w:t>: 4,800 mg/kg (rats, oral), 3,700 mg/kg (rabbits, oral)</w:t>
            </w:r>
          </w:p>
          <w:p w14:paraId="082B77C6" w14:textId="5386A90A" w:rsidR="00BD4259" w:rsidRDefault="00BD4259" w:rsidP="009D5557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BD4259">
              <w:rPr>
                <w:vertAlign w:val="subscript"/>
              </w:rPr>
              <w:t>50</w:t>
            </w:r>
            <w:r>
              <w:t xml:space="preserve">: </w:t>
            </w:r>
            <w:r w:rsidR="00A45832">
              <w:t>&gt;5,0</w:t>
            </w:r>
            <w:r>
              <w:t>00 mg/kg (ra</w:t>
            </w:r>
            <w:r w:rsidR="00A45832">
              <w:t>bbits</w:t>
            </w:r>
            <w:r>
              <w:t xml:space="preserve">, </w:t>
            </w:r>
            <w:r w:rsidR="00A45832">
              <w:t>dermal</w:t>
            </w:r>
            <w:r>
              <w:t>)</w:t>
            </w:r>
          </w:p>
          <w:p w14:paraId="6FAF3132" w14:textId="1D562634" w:rsidR="00C32ACD" w:rsidRDefault="00100059" w:rsidP="009D5557">
            <w:pPr>
              <w:pStyle w:val="ListBullet"/>
              <w:spacing w:before="60" w:after="60"/>
              <w:ind w:left="720"/>
              <w:contextualSpacing w:val="0"/>
            </w:pPr>
            <w:r>
              <w:t>A NOAEC of 350 ppm was reported in a rat study e</w:t>
            </w:r>
            <w:r w:rsidR="00A45832">
              <w:t xml:space="preserve">xposure </w:t>
            </w:r>
            <w:r w:rsidR="005A2267">
              <w:t>at</w:t>
            </w:r>
            <w:r w:rsidR="00A45832">
              <w:t xml:space="preserve"> 0, 75, 350 and 2,000</w:t>
            </w:r>
            <w:r w:rsidR="00095075">
              <w:t xml:space="preserve"> ppm</w:t>
            </w:r>
            <w:r w:rsidR="00A45832">
              <w:t xml:space="preserve"> (6</w:t>
            </w:r>
            <w:r>
              <w:t> </w:t>
            </w:r>
            <w:r w:rsidR="00A45832">
              <w:t>h/d, 5 d/</w:t>
            </w:r>
            <w:proofErr w:type="spellStart"/>
            <w:r w:rsidR="00A45832">
              <w:t>wk</w:t>
            </w:r>
            <w:proofErr w:type="spellEnd"/>
            <w:r w:rsidR="00A45832">
              <w:t>, 28 d, nose inhalation</w:t>
            </w:r>
            <w:r w:rsidR="00F840BD">
              <w:t xml:space="preserve">, symptoms included degradation and necrosis of the olfactory epithelium, reduced </w:t>
            </w:r>
            <w:r w:rsidR="009D5557">
              <w:t>b</w:t>
            </w:r>
            <w:r w:rsidR="00F43319">
              <w:t xml:space="preserve">ody </w:t>
            </w:r>
            <w:r w:rsidR="009D5557">
              <w:t>w</w:t>
            </w:r>
            <w:r w:rsidR="00F43319">
              <w:t>eight</w:t>
            </w:r>
            <w:r w:rsidR="00F840BD">
              <w:t xml:space="preserve"> and food intake</w:t>
            </w:r>
            <w:r>
              <w:t xml:space="preserve"> at higher concentrations.</w:t>
            </w:r>
          </w:p>
          <w:p w14:paraId="4AA8FED4" w14:textId="4464FFB6" w:rsidR="0035700A" w:rsidRDefault="0035700A" w:rsidP="009D555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Negative result in </w:t>
            </w:r>
            <w:r w:rsidRPr="009D5557">
              <w:rPr>
                <w:i/>
              </w:rPr>
              <w:t>Salmonella</w:t>
            </w:r>
            <w:r>
              <w:t xml:space="preserve"> mutagenicity test</w:t>
            </w:r>
          </w:p>
          <w:p w14:paraId="5B68C095" w14:textId="68D3F832" w:rsidR="00014BBF" w:rsidRDefault="0035700A" w:rsidP="009D555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Caused </w:t>
            </w:r>
            <w:r w:rsidRPr="0035700A">
              <w:t>aneuploidy</w:t>
            </w:r>
            <w:r>
              <w:t xml:space="preserve"> in yeast cell assay, suspected due to </w:t>
            </w:r>
            <w:r w:rsidRPr="0035700A">
              <w:t>tubulin</w:t>
            </w:r>
            <w:r>
              <w:t xml:space="preserve"> </w:t>
            </w:r>
            <w:r w:rsidR="00F840BD">
              <w:t>interference</w:t>
            </w:r>
          </w:p>
          <w:p w14:paraId="2810AE82" w14:textId="25B2BE40" w:rsidR="00014BBF" w:rsidRPr="0035700A" w:rsidRDefault="0035700A" w:rsidP="009D555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Negative result in </w:t>
            </w:r>
            <w:r w:rsidR="00A470E1">
              <w:rPr>
                <w:i/>
              </w:rPr>
              <w:t>i</w:t>
            </w:r>
            <w:r w:rsidRPr="0035700A">
              <w:rPr>
                <w:i/>
              </w:rPr>
              <w:t>n vivo</w:t>
            </w:r>
            <w:r>
              <w:rPr>
                <w:i/>
              </w:rPr>
              <w:t xml:space="preserve"> </w:t>
            </w:r>
            <w:proofErr w:type="spellStart"/>
            <w:r w:rsidRPr="0035700A">
              <w:t>erythromicronucleus</w:t>
            </w:r>
            <w:proofErr w:type="spellEnd"/>
            <w:r>
              <w:t xml:space="preserve"> assay in rats</w:t>
            </w:r>
            <w:r w:rsidR="008F2051">
              <w:t>.</w:t>
            </w:r>
          </w:p>
          <w:p w14:paraId="3E384C04" w14:textId="77777777" w:rsidR="005A2267" w:rsidRDefault="005A2267" w:rsidP="009D5557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  <w:p w14:paraId="41205EF2" w14:textId="77777777" w:rsidR="00C978F0" w:rsidRDefault="00F840BD" w:rsidP="009D5557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Insufficient data to recommend skin, sensitiser or carcinogenicity notations</w:t>
            </w:r>
            <w:r w:rsidR="008F2051">
              <w:t>.</w:t>
            </w:r>
          </w:p>
          <w:p w14:paraId="222862E3" w14:textId="139E75F8" w:rsidR="005A2267" w:rsidRPr="00DA352E" w:rsidRDefault="005A2267" w:rsidP="009D5557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</w:tc>
      </w:tr>
      <w:tr w:rsidR="00C978F0" w:rsidRPr="00DA352E" w14:paraId="539277A9" w14:textId="77777777" w:rsidTr="2AFB9E0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A6DDBB5" w14:textId="431F0335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8621B9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8621B9">
                  <w:t>MAK: 100 ppm (310 mg/m</w:t>
                </w:r>
                <w:r w:rsidR="008621B9" w:rsidRPr="008621B9">
                  <w:rPr>
                    <w:vertAlign w:val="superscript"/>
                  </w:rPr>
                  <w:t>3</w:t>
                </w:r>
                <w:r w:rsidR="008621B9">
                  <w:t>)</w:t>
                </w:r>
              </w:sdtContent>
            </w:sdt>
          </w:p>
        </w:tc>
      </w:tr>
      <w:tr w:rsidR="00C978F0" w:rsidRPr="00DA352E" w14:paraId="2D6B013A" w14:textId="77777777" w:rsidTr="2AFB9E0F">
        <w:trPr>
          <w:gridAfter w:val="1"/>
          <w:wAfter w:w="8" w:type="pct"/>
          <w:cantSplit/>
        </w:trPr>
        <w:tc>
          <w:tcPr>
            <w:tcW w:w="4992" w:type="pct"/>
          </w:tcPr>
          <w:p w14:paraId="08FDFCEB" w14:textId="1B40D718" w:rsidR="00C978F0" w:rsidRDefault="00B31AC8" w:rsidP="009D5557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Summary of additional data:</w:t>
            </w:r>
          </w:p>
          <w:p w14:paraId="388BCB83" w14:textId="7EE32508" w:rsidR="00B31AC8" w:rsidRDefault="00B31AC8" w:rsidP="009D5557">
            <w:pPr>
              <w:pStyle w:val="ListBullet"/>
              <w:spacing w:before="60" w:after="60"/>
              <w:ind w:left="720"/>
              <w:contextualSpacing w:val="0"/>
            </w:pPr>
            <w:r w:rsidRPr="00B31AC8">
              <w:t xml:space="preserve">The calculated NAEC for long-term exposure is in the range of 125 to 167 </w:t>
            </w:r>
            <w:r>
              <w:t>ppm</w:t>
            </w:r>
            <w:r w:rsidR="00296B86">
              <w:t xml:space="preserve"> based on </w:t>
            </w:r>
            <w:r w:rsidR="00296B86" w:rsidRPr="00095075">
              <w:t>28</w:t>
            </w:r>
            <w:r w:rsidR="008F2051">
              <w:t xml:space="preserve"> </w:t>
            </w:r>
            <w:r w:rsidR="00296B86" w:rsidRPr="00095075">
              <w:t>d inhalation study in rats with a NOAE</w:t>
            </w:r>
            <w:r w:rsidR="005A2267">
              <w:t>C</w:t>
            </w:r>
            <w:r w:rsidR="00296B86">
              <w:t xml:space="preserve"> of 350 ppm</w:t>
            </w:r>
            <w:r w:rsidR="00100059">
              <w:t xml:space="preserve"> (same study as ACGIH)</w:t>
            </w:r>
            <w:r w:rsidR="008F2051">
              <w:t>.</w:t>
            </w:r>
          </w:p>
          <w:p w14:paraId="3505751F" w14:textId="0CEE99B7" w:rsidR="005A2267" w:rsidRPr="00DA352E" w:rsidRDefault="005A2267" w:rsidP="005A226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097107A7" w14:textId="77777777" w:rsidTr="2AFB9E0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D1AD52D" w14:textId="43BE7A3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8621B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8621B9">
                  <w:t>NA</w:t>
                </w:r>
                <w:proofErr w:type="spellEnd"/>
              </w:sdtContent>
            </w:sdt>
          </w:p>
        </w:tc>
      </w:tr>
      <w:tr w:rsidR="00C978F0" w:rsidRPr="00DA352E" w14:paraId="25667876" w14:textId="77777777" w:rsidTr="2AFB9E0F">
        <w:trPr>
          <w:gridAfter w:val="1"/>
          <w:wAfter w:w="8" w:type="pct"/>
          <w:cantSplit/>
          <w:trHeight w:val="135"/>
        </w:trPr>
        <w:tc>
          <w:tcPr>
            <w:tcW w:w="4992" w:type="pct"/>
          </w:tcPr>
          <w:p w14:paraId="503F3F26" w14:textId="7C53D549" w:rsidR="00C978F0" w:rsidRPr="00DA352E" w:rsidRDefault="008621B9" w:rsidP="009D555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No report</w:t>
            </w:r>
            <w:r w:rsidR="008F2051">
              <w:t>.</w:t>
            </w:r>
          </w:p>
        </w:tc>
      </w:tr>
      <w:tr w:rsidR="00DA352E" w:rsidRPr="00DA352E" w14:paraId="07146D1B" w14:textId="77777777" w:rsidTr="2AFB9E0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72810AB" w14:textId="232B145D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8621B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8621B9">
                  <w:t>NA</w:t>
                </w:r>
                <w:proofErr w:type="spellEnd"/>
              </w:sdtContent>
            </w:sdt>
          </w:p>
        </w:tc>
      </w:tr>
      <w:tr w:rsidR="00DA352E" w:rsidRPr="00DA352E" w14:paraId="62E73BBE" w14:textId="77777777" w:rsidTr="2AFB9E0F">
        <w:trPr>
          <w:gridAfter w:val="1"/>
          <w:wAfter w:w="8" w:type="pct"/>
          <w:cantSplit/>
        </w:trPr>
        <w:tc>
          <w:tcPr>
            <w:tcW w:w="4992" w:type="pct"/>
          </w:tcPr>
          <w:p w14:paraId="35AA5763" w14:textId="372A5937" w:rsidR="00DA352E" w:rsidRPr="00DA352E" w:rsidRDefault="008621B9" w:rsidP="009D5557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No report</w:t>
            </w:r>
            <w:r w:rsidR="008F2051">
              <w:t>.</w:t>
            </w:r>
          </w:p>
        </w:tc>
      </w:tr>
      <w:tr w:rsidR="00DA352E" w:rsidRPr="00DA352E" w14:paraId="00113A99" w14:textId="77777777" w:rsidTr="2AFB9E0F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BEBCC80" w14:textId="50665DDC" w:rsidR="00DA352E" w:rsidRPr="00DA352E" w:rsidRDefault="00DA352E" w:rsidP="00904A07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  <w:ind w:left="357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8621B9">
                  <w:t>2004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8621B9" w:rsidRPr="008621B9">
                  <w:t>TWA</w:t>
                </w:r>
                <w:r w:rsidR="008621B9">
                  <w:t>: 200 ppm (610 mg/m</w:t>
                </w:r>
                <w:r w:rsidR="008621B9" w:rsidRPr="008621B9">
                  <w:rPr>
                    <w:vertAlign w:val="superscript"/>
                  </w:rPr>
                  <w:t>3</w:t>
                </w:r>
                <w:r w:rsidR="008621B9">
                  <w:t>)</w:t>
                </w:r>
              </w:sdtContent>
            </w:sdt>
          </w:p>
        </w:tc>
      </w:tr>
      <w:tr w:rsidR="00DA352E" w:rsidRPr="00DA352E" w14:paraId="4AB829B6" w14:textId="77777777" w:rsidTr="2AFB9E0F">
        <w:trPr>
          <w:gridAfter w:val="1"/>
          <w:wAfter w:w="8" w:type="pct"/>
          <w:cantSplit/>
        </w:trPr>
        <w:tc>
          <w:tcPr>
            <w:tcW w:w="4992" w:type="pct"/>
          </w:tcPr>
          <w:p w14:paraId="2E975CE5" w14:textId="6B94CCA1" w:rsidR="00DA352E" w:rsidRDefault="2AFB9E0F" w:rsidP="009D5557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A health-based OEL (HBROEL) of 100 mg/m</w:t>
            </w:r>
            <w:r w:rsidRPr="2AFB9E0F">
              <w:rPr>
                <w:vertAlign w:val="superscript"/>
              </w:rPr>
              <w:t>3</w:t>
            </w:r>
            <w:r w:rsidR="002664EB">
              <w:t xml:space="preserve"> </w:t>
            </w:r>
            <w:r w:rsidR="00100059">
              <w:t xml:space="preserve">was recommended </w:t>
            </w:r>
            <w:r>
              <w:t xml:space="preserve">as an 8 h TWA </w:t>
            </w:r>
            <w:r w:rsidR="00100059">
              <w:t xml:space="preserve">by </w:t>
            </w:r>
            <w:r>
              <w:t xml:space="preserve">applying an overall </w:t>
            </w:r>
            <w:r w:rsidR="00100059">
              <w:t xml:space="preserve">uncertainty </w:t>
            </w:r>
            <w:r>
              <w:t>factor of 12 to the</w:t>
            </w:r>
            <w:r w:rsidR="00100059">
              <w:t xml:space="preserve"> NOAEC of 335 ppm</w:t>
            </w:r>
            <w:r w:rsidR="002664EB">
              <w:t xml:space="preserve"> (1035 mg/m</w:t>
            </w:r>
            <w:r w:rsidR="002664EB" w:rsidRPr="2AFB9E0F">
              <w:rPr>
                <w:vertAlign w:val="superscript"/>
              </w:rPr>
              <w:t>3</w:t>
            </w:r>
            <w:r w:rsidR="002664EB">
              <w:t>)</w:t>
            </w:r>
            <w:r>
              <w:t xml:space="preserve"> </w:t>
            </w:r>
            <w:r w:rsidR="00100059">
              <w:t xml:space="preserve">reported in the </w:t>
            </w:r>
            <w:r>
              <w:t>28 d inhalation study in rats</w:t>
            </w:r>
            <w:r w:rsidR="000F31BC">
              <w:t xml:space="preserve"> </w:t>
            </w:r>
            <w:r w:rsidR="004C3259">
              <w:t xml:space="preserve">(same study as ACGIH) </w:t>
            </w:r>
            <w:r w:rsidR="000F31BC">
              <w:t>and rounded according to HCOTN methodology</w:t>
            </w:r>
            <w:r>
              <w:t>.</w:t>
            </w:r>
          </w:p>
          <w:p w14:paraId="5EB3F41C" w14:textId="77777777" w:rsidR="00095075" w:rsidRDefault="00095075" w:rsidP="009D5557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Summary of additional data:</w:t>
            </w:r>
          </w:p>
          <w:p w14:paraId="45244A2D" w14:textId="6379E0C6" w:rsidR="00095075" w:rsidRDefault="00095075" w:rsidP="009D5557">
            <w:pPr>
              <w:pStyle w:val="ListBullet"/>
              <w:spacing w:before="60" w:after="60"/>
              <w:ind w:left="720"/>
              <w:contextualSpacing w:val="0"/>
            </w:pPr>
            <w:r w:rsidRPr="00095075">
              <w:rPr>
                <w:i/>
              </w:rPr>
              <w:t>I</w:t>
            </w:r>
            <w:r w:rsidR="00B31AC8" w:rsidRPr="00095075">
              <w:rPr>
                <w:i/>
              </w:rPr>
              <w:t>n vitro</w:t>
            </w:r>
            <w:r w:rsidR="00B31AC8" w:rsidRPr="00B31AC8">
              <w:t xml:space="preserve"> experiment using developing chicken </w:t>
            </w:r>
            <w:r>
              <w:t>embryos, no teratogenic effects</w:t>
            </w:r>
            <w:r w:rsidR="008F2051">
              <w:t>.</w:t>
            </w:r>
          </w:p>
          <w:p w14:paraId="3001A8DE" w14:textId="3E0446FE" w:rsidR="005A2267" w:rsidRPr="00DA352E" w:rsidRDefault="005A2267" w:rsidP="005A226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16250329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57353224" w14:textId="77777777" w:rsidTr="005F3C1E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24F6FFC8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32BF64DD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38D3784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0B97BCDD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46B08C9" w14:textId="77777777" w:rsidTr="005F3C1E">
        <w:trPr>
          <w:cantSplit/>
        </w:trPr>
        <w:tc>
          <w:tcPr>
            <w:tcW w:w="1497" w:type="dxa"/>
          </w:tcPr>
          <w:p w14:paraId="1E2802F0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00058530" w14:textId="22F98AFC" w:rsidR="004966BF" w:rsidRPr="00CE617F" w:rsidRDefault="001656D5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400E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ED3274D" w14:textId="602E2A57" w:rsidR="004966BF" w:rsidRPr="004C23F4" w:rsidRDefault="007400E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2011</w:t>
            </w:r>
          </w:p>
        </w:tc>
        <w:tc>
          <w:tcPr>
            <w:tcW w:w="6444" w:type="dxa"/>
          </w:tcPr>
          <w:p w14:paraId="744BD744" w14:textId="5C892D38" w:rsidR="004966BF" w:rsidRDefault="007400ED" w:rsidP="009D5557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LC</w:t>
            </w:r>
            <w:r w:rsidRPr="007400ED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49,200 mg/m</w:t>
            </w:r>
            <w:r w:rsidRPr="007400ED">
              <w:rPr>
                <w:rStyle w:val="checkbox"/>
                <w:rFonts w:ascii="Arial" w:hAnsi="Arial" w:cs="Arial"/>
                <w:vertAlign w:val="superscript"/>
              </w:rPr>
              <w:t>3</w:t>
            </w:r>
            <w:r>
              <w:rPr>
                <w:rStyle w:val="checkbox"/>
                <w:rFonts w:ascii="Arial" w:hAnsi="Arial" w:cs="Arial"/>
              </w:rPr>
              <w:t xml:space="preserve"> (rats, 4 h)</w:t>
            </w:r>
          </w:p>
          <w:p w14:paraId="35979CE7" w14:textId="480E4691" w:rsidR="005F3C1E" w:rsidRPr="005F3C1E" w:rsidRDefault="005F3C1E" w:rsidP="009D5557">
            <w:pPr>
              <w:pStyle w:val="ListBullet"/>
              <w:spacing w:before="60" w:after="60"/>
              <w:ind w:left="720"/>
              <w:contextualSpacing w:val="0"/>
              <w:rPr>
                <w:rStyle w:val="checkbox"/>
                <w:rFonts w:ascii="Arial" w:hAnsi="Arial"/>
              </w:rPr>
            </w:pPr>
            <w:r>
              <w:t>LD</w:t>
            </w:r>
            <w:r w:rsidRPr="00BD4259">
              <w:rPr>
                <w:vertAlign w:val="subscript"/>
              </w:rPr>
              <w:t>50</w:t>
            </w:r>
            <w:r>
              <w:t>: &gt;2,000 mg/</w:t>
            </w:r>
            <w:r w:rsidRPr="009D5557">
              <w:rPr>
                <w:i/>
              </w:rPr>
              <w:t>kg</w:t>
            </w:r>
            <w:r>
              <w:t xml:space="preserve"> (rats, dermal)</w:t>
            </w:r>
            <w:r w:rsidR="008F2051">
              <w:t>.</w:t>
            </w:r>
          </w:p>
        </w:tc>
      </w:tr>
    </w:tbl>
    <w:bookmarkEnd w:id="0"/>
    <w:p w14:paraId="58BDD050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16C27822" w14:textId="77777777" w:rsidTr="00296B86">
        <w:trPr>
          <w:trHeight w:val="454"/>
          <w:tblHeader/>
        </w:trPr>
        <w:tc>
          <w:tcPr>
            <w:tcW w:w="6597" w:type="dxa"/>
            <w:vAlign w:val="center"/>
          </w:tcPr>
          <w:p w14:paraId="04ED797D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55A5D85" w14:textId="2A7DE9B7" w:rsidR="002E0D61" w:rsidRDefault="00296B86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7FC8ADA7" w14:textId="77777777" w:rsidTr="00296B86">
        <w:trPr>
          <w:trHeight w:val="454"/>
        </w:trPr>
        <w:tc>
          <w:tcPr>
            <w:tcW w:w="6597" w:type="dxa"/>
            <w:vAlign w:val="center"/>
          </w:tcPr>
          <w:p w14:paraId="3D876866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EBCE5CD" w14:textId="04718CAE" w:rsidR="008A36CF" w:rsidRDefault="00296B86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5A2267" w14:paraId="2F7BE16F" w14:textId="77777777" w:rsidTr="00495E9C">
        <w:trPr>
          <w:trHeight w:val="454"/>
        </w:trPr>
        <w:sdt>
          <w:sdtPr>
            <w:rPr>
              <w:b/>
            </w:rPr>
            <w:id w:val="1830936485"/>
            <w:placeholder>
              <w:docPart w:val="FD1A2CD40D054FF6BB77320152423FF5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2DDA6C5C" w14:textId="1758EBC2" w:rsidR="005A2267" w:rsidRDefault="005A2267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4C0C4BA6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5C049DA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EBF0429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10F5F1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1FE3382" w14:textId="77777777" w:rsidTr="00812887">
        <w:trPr>
          <w:cantSplit/>
        </w:trPr>
        <w:tc>
          <w:tcPr>
            <w:tcW w:w="3227" w:type="dxa"/>
          </w:tcPr>
          <w:p w14:paraId="4CDE0F21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7DF74425" w14:textId="06198F83" w:rsidR="00687890" w:rsidRPr="00DD2F9B" w:rsidRDefault="00DF260A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5AD80ADD" w14:textId="77777777" w:rsidTr="00812887">
        <w:trPr>
          <w:cantSplit/>
        </w:trPr>
        <w:tc>
          <w:tcPr>
            <w:tcW w:w="3227" w:type="dxa"/>
          </w:tcPr>
          <w:p w14:paraId="600AC3A3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8003403" w14:textId="43D6F952" w:rsidR="007925F0" w:rsidRPr="00DD2F9B" w:rsidRDefault="00DF260A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735AF93E" w14:textId="77777777" w:rsidTr="00812887">
        <w:trPr>
          <w:cantSplit/>
        </w:trPr>
        <w:tc>
          <w:tcPr>
            <w:tcW w:w="3227" w:type="dxa"/>
          </w:tcPr>
          <w:p w14:paraId="2D25ADD5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198A8D49" w14:textId="0452B6EC" w:rsidR="00AF483F" w:rsidRPr="00DD2F9B" w:rsidRDefault="00DF260A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92CC0E6" w14:textId="77777777" w:rsidTr="00812887">
        <w:trPr>
          <w:cantSplit/>
        </w:trPr>
        <w:tc>
          <w:tcPr>
            <w:tcW w:w="3227" w:type="dxa"/>
          </w:tcPr>
          <w:p w14:paraId="0418A38F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04744F2" w14:textId="4FDFC3FF" w:rsidR="00687890" w:rsidRPr="00DD2F9B" w:rsidRDefault="00E753C5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FEC9EC0" w14:textId="77777777" w:rsidTr="00812887">
        <w:trPr>
          <w:cantSplit/>
        </w:trPr>
        <w:tc>
          <w:tcPr>
            <w:tcW w:w="3227" w:type="dxa"/>
          </w:tcPr>
          <w:p w14:paraId="14F0E7E3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8FCA902" w14:textId="3E4F99A7" w:rsidR="00E41A26" w:rsidRPr="00DD2F9B" w:rsidRDefault="00E753C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1EEDB3C" w14:textId="77777777" w:rsidTr="00812887">
        <w:trPr>
          <w:cantSplit/>
        </w:trPr>
        <w:tc>
          <w:tcPr>
            <w:tcW w:w="3227" w:type="dxa"/>
          </w:tcPr>
          <w:p w14:paraId="0392EA52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633F29A" w14:textId="312B63ED" w:rsidR="002E0D61" w:rsidRPr="00DD2F9B" w:rsidRDefault="00E753C5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6CDFADB" w14:textId="77777777" w:rsidTr="00812887">
        <w:trPr>
          <w:cantSplit/>
        </w:trPr>
        <w:tc>
          <w:tcPr>
            <w:tcW w:w="3227" w:type="dxa"/>
          </w:tcPr>
          <w:p w14:paraId="435D45BE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C4965A9" w14:textId="2AD6A866" w:rsidR="002E0D61" w:rsidRPr="00DD2F9B" w:rsidRDefault="00570579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336B8A1F" w14:textId="77777777" w:rsidTr="00812887">
        <w:trPr>
          <w:cantSplit/>
        </w:trPr>
        <w:tc>
          <w:tcPr>
            <w:tcW w:w="3227" w:type="dxa"/>
          </w:tcPr>
          <w:p w14:paraId="371D8424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2633817" w14:textId="0FC0D9F2" w:rsidR="002E0D61" w:rsidRPr="00DD2F9B" w:rsidRDefault="0057057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479F250" w14:textId="77777777" w:rsidTr="00812887">
        <w:trPr>
          <w:cantSplit/>
        </w:trPr>
        <w:tc>
          <w:tcPr>
            <w:tcW w:w="3227" w:type="dxa"/>
          </w:tcPr>
          <w:p w14:paraId="3F9E90D8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127872F" w14:textId="1B9E179F" w:rsidR="002E0D61" w:rsidRPr="00DD2F9B" w:rsidRDefault="00570579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6F65C1BB" w14:textId="77777777" w:rsidTr="00812887">
        <w:trPr>
          <w:cantSplit/>
        </w:trPr>
        <w:tc>
          <w:tcPr>
            <w:tcW w:w="3227" w:type="dxa"/>
          </w:tcPr>
          <w:p w14:paraId="7551B18A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A14EA1A" w14:textId="7557CE73" w:rsidR="00386093" w:rsidRPr="00DD2F9B" w:rsidRDefault="0057057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11FEB3E" w14:textId="77777777" w:rsidTr="00812887">
        <w:trPr>
          <w:cantSplit/>
        </w:trPr>
        <w:tc>
          <w:tcPr>
            <w:tcW w:w="3227" w:type="dxa"/>
          </w:tcPr>
          <w:p w14:paraId="2DC61E6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489AF89" w14:textId="742AC046" w:rsidR="00386093" w:rsidRPr="00DD2F9B" w:rsidRDefault="00570579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50908682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3851306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BCC9CE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337B94D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A9AD83F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01" w:type="dxa"/>
              <w:tblLook w:val="04A0" w:firstRow="1" w:lastRow="0" w:firstColumn="1" w:lastColumn="0" w:noHBand="0" w:noVBand="1"/>
            </w:tblPr>
            <w:tblGrid>
              <w:gridCol w:w="3851"/>
              <w:gridCol w:w="900"/>
              <w:gridCol w:w="990"/>
              <w:gridCol w:w="3060"/>
            </w:tblGrid>
            <w:tr w:rsidR="00296B86" w:rsidRPr="00296B86" w14:paraId="083EB9B2" w14:textId="77777777" w:rsidTr="00296B86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18BBA6" w14:textId="77777777" w:rsidR="00296B86" w:rsidRPr="00296B86" w:rsidRDefault="00296B86" w:rsidP="00296B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E3A65E" w14:textId="33509D2A" w:rsidR="00296B86" w:rsidRPr="00296B86" w:rsidRDefault="00607D20" w:rsidP="00296B8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</w:t>
                  </w:r>
                  <w:r w:rsidR="00296B86"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7266E6" w14:textId="77777777" w:rsidR="00296B86" w:rsidRPr="00296B86" w:rsidRDefault="00296B86" w:rsidP="00296B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E25E0B" w14:textId="77777777" w:rsidR="00296B86" w:rsidRPr="00296B86" w:rsidRDefault="00296B86" w:rsidP="00296B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296B86" w:rsidRPr="00296B86" w14:paraId="0073E655" w14:textId="77777777" w:rsidTr="00296B86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669224" w14:textId="77777777" w:rsidR="00296B86" w:rsidRPr="00296B86" w:rsidRDefault="00296B86" w:rsidP="00296B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015CED" w14:textId="25748E43" w:rsidR="00296B86" w:rsidRPr="00296B86" w:rsidRDefault="00607D20" w:rsidP="00296B8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</w:t>
                  </w:r>
                  <w:r w:rsidR="00296B86"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56AE84" w14:textId="77777777" w:rsidR="00296B86" w:rsidRPr="00296B86" w:rsidRDefault="00296B86" w:rsidP="00296B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71BD32" w14:textId="77777777" w:rsidR="00296B86" w:rsidRPr="00296B86" w:rsidRDefault="00296B86" w:rsidP="00296B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296B86" w:rsidRPr="00296B86" w14:paraId="7F98B149" w14:textId="77777777" w:rsidTr="00296B86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580312" w14:textId="77777777" w:rsidR="00296B86" w:rsidRPr="00296B86" w:rsidRDefault="00296B86" w:rsidP="00296B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7AD296" w14:textId="77777777" w:rsidR="00296B86" w:rsidRPr="00296B86" w:rsidRDefault="00296B86" w:rsidP="00296B8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ED8C0D" w14:textId="77777777" w:rsidR="00296B86" w:rsidRPr="00296B86" w:rsidRDefault="00296B86" w:rsidP="00296B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22941C" w14:textId="77777777" w:rsidR="00296B86" w:rsidRPr="00296B86" w:rsidRDefault="00296B86" w:rsidP="00296B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296B86" w:rsidRPr="00296B86" w14:paraId="67DF53E1" w14:textId="77777777" w:rsidTr="00296B86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D649CA" w14:textId="77777777" w:rsidR="00296B86" w:rsidRPr="00296B86" w:rsidRDefault="00296B86" w:rsidP="00296B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D97F0E" w14:textId="77777777" w:rsidR="00296B86" w:rsidRPr="00296B86" w:rsidRDefault="00296B86" w:rsidP="00296B8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EC3087" w14:textId="77777777" w:rsidR="00296B86" w:rsidRPr="00296B86" w:rsidRDefault="00296B86" w:rsidP="00296B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0E6901" w14:textId="77777777" w:rsidR="00296B86" w:rsidRPr="00296B86" w:rsidRDefault="00296B86" w:rsidP="00296B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296B86" w:rsidRPr="00296B86" w14:paraId="7E46EB60" w14:textId="77777777" w:rsidTr="00296B86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A1DD24" w14:textId="77777777" w:rsidR="00296B86" w:rsidRPr="00296B86" w:rsidRDefault="00296B86" w:rsidP="00296B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AD9854" w14:textId="77777777" w:rsidR="00296B86" w:rsidRPr="00296B86" w:rsidRDefault="00296B86" w:rsidP="00296B8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B997DF" w14:textId="77777777" w:rsidR="00296B86" w:rsidRPr="00296B86" w:rsidRDefault="00296B86" w:rsidP="00296B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04192E" w14:textId="77777777" w:rsidR="00296B86" w:rsidRPr="00296B86" w:rsidRDefault="00296B86" w:rsidP="00296B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296B86" w:rsidRPr="00296B86" w14:paraId="5B8616A8" w14:textId="77777777" w:rsidTr="00296B86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C0B0D9" w14:textId="77777777" w:rsidR="00296B86" w:rsidRPr="00296B86" w:rsidRDefault="00296B86" w:rsidP="00296B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4D28C2" w14:textId="77777777" w:rsidR="00296B86" w:rsidRPr="00296B86" w:rsidRDefault="00296B86" w:rsidP="00296B8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216F99" w14:textId="77777777" w:rsidR="00296B86" w:rsidRPr="00296B86" w:rsidRDefault="00296B86" w:rsidP="00296B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C3183F" w14:textId="77777777" w:rsidR="00296B86" w:rsidRPr="00296B86" w:rsidRDefault="00296B86" w:rsidP="00296B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296B86" w:rsidRPr="00296B86" w14:paraId="511A9850" w14:textId="77777777" w:rsidTr="00296B86">
              <w:trPr>
                <w:trHeight w:val="342"/>
              </w:trPr>
              <w:tc>
                <w:tcPr>
                  <w:tcW w:w="3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2008D7" w14:textId="77777777" w:rsidR="00296B86" w:rsidRPr="00296B86" w:rsidRDefault="00296B86" w:rsidP="00296B86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0009D4" w14:textId="77777777" w:rsidR="00296B86" w:rsidRPr="00296B86" w:rsidRDefault="00296B86" w:rsidP="00296B86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85EF2B" w14:textId="77777777" w:rsidR="00296B86" w:rsidRPr="00296B86" w:rsidRDefault="00296B86" w:rsidP="00296B86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3526B4" w14:textId="77777777" w:rsidR="00296B86" w:rsidRPr="00296B86" w:rsidRDefault="00296B86" w:rsidP="00296B86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296B86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</w:tc>
            </w:tr>
          </w:tbl>
          <w:p w14:paraId="73AD4E1E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0166D2C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6"/>
        <w:gridCol w:w="4760"/>
      </w:tblGrid>
      <w:tr w:rsidR="00EB3D1B" w14:paraId="1E697017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0B04F91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6E94784" w14:textId="05443014" w:rsidR="00EB3D1B" w:rsidRDefault="00EA16B7" w:rsidP="00EB3D1B">
                <w:pPr>
                  <w:pStyle w:val="Tablefont"/>
                </w:pPr>
                <w:r>
                  <w:t>Yes, based on LEL</w:t>
                </w:r>
              </w:p>
            </w:tc>
          </w:sdtContent>
        </w:sdt>
      </w:tr>
    </w:tbl>
    <w:p w14:paraId="4DFDF3B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09B0D1A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27C0A74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BA9BC7D" w14:textId="0F6D9ADB" w:rsidR="001B79E5" w:rsidRDefault="00570579" w:rsidP="001B79E5">
                <w:pPr>
                  <w:pStyle w:val="Tablefont"/>
                </w:pPr>
                <w:r w:rsidRPr="00570579">
                  <w:t>74.08</w:t>
                </w:r>
              </w:p>
            </w:tc>
          </w:sdtContent>
        </w:sdt>
      </w:tr>
      <w:tr w:rsidR="00A31D99" w:rsidRPr="004C23F4" w14:paraId="305A77AD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F6840D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3D8B9EDE" w14:textId="2250AE1B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570579">
                  <w:t>3.03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570579">
                  <w:t>0.33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A80E75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9ADF733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1F120B7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A642E0B" w14:textId="77777777" w:rsidTr="00EA6243">
        <w:trPr>
          <w:cantSplit/>
        </w:trPr>
        <w:tc>
          <w:tcPr>
            <w:tcW w:w="4077" w:type="dxa"/>
            <w:vAlign w:val="center"/>
          </w:tcPr>
          <w:p w14:paraId="1E38E7A7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81BB7BB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948A86A" w14:textId="77777777" w:rsidTr="00EA6243">
        <w:trPr>
          <w:cantSplit/>
        </w:trPr>
        <w:tc>
          <w:tcPr>
            <w:tcW w:w="4077" w:type="dxa"/>
            <w:vAlign w:val="center"/>
          </w:tcPr>
          <w:p w14:paraId="60471CCF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3290F9C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2E06930" w14:textId="77777777" w:rsidTr="00EA6243">
        <w:trPr>
          <w:cantSplit/>
        </w:trPr>
        <w:tc>
          <w:tcPr>
            <w:tcW w:w="4077" w:type="dxa"/>
            <w:vAlign w:val="center"/>
          </w:tcPr>
          <w:p w14:paraId="7371D50E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1075F50" w14:textId="77777777" w:rsidR="00E06F40" w:rsidRPr="00A006A0" w:rsidRDefault="001656D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36302A4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18194D8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0D2EFC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746C85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374B30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337DC05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1004C1D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3F04F0C1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B94F474" w14:textId="7A0724CA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F1B49D9" w14:textId="77D61820" w:rsidR="00570579" w:rsidRDefault="00570579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4C5FC8">
        <w:t>2018</w:t>
      </w:r>
      <w:r>
        <w:t xml:space="preserve">) </w:t>
      </w:r>
      <w:r w:rsidRPr="00570579">
        <w:t>Methyl acetate</w:t>
      </w:r>
      <w:r>
        <w:t xml:space="preserve"> – MAK value documentation.</w:t>
      </w:r>
    </w:p>
    <w:p w14:paraId="7E0D503C" w14:textId="77777777" w:rsidR="009D5557" w:rsidRDefault="00563A4C" w:rsidP="00084859">
      <w:r w:rsidRPr="00563A4C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3319FDD0" w14:textId="14683D88" w:rsidR="00570579" w:rsidRDefault="00570579" w:rsidP="00084859">
      <w:r w:rsidRPr="002022B6">
        <w:t>Health Council of the Netherlands</w:t>
      </w:r>
      <w:r>
        <w:t xml:space="preserve"> (HCOTN) (</w:t>
      </w:r>
      <w:r w:rsidRPr="00570579">
        <w:t>2004</w:t>
      </w:r>
      <w:r>
        <w:t xml:space="preserve">) </w:t>
      </w:r>
      <w:r w:rsidRPr="00570579">
        <w:t>Methyl acetate</w:t>
      </w:r>
      <w:r w:rsidRPr="005F7416">
        <w:t xml:space="preserve">. </w:t>
      </w:r>
      <w:r w:rsidR="00563A4C" w:rsidRPr="00563A4C">
        <w:t>Health-based Reassessment of Administrative Occupational Exposure Limits</w:t>
      </w:r>
      <w:r w:rsidRPr="005F7416">
        <w:t xml:space="preserve">. The Hague: Health Council of the Netherlands; publication no. </w:t>
      </w:r>
      <w:r w:rsidRPr="00570579">
        <w:t>2000/15OSH/103</w:t>
      </w:r>
      <w:r>
        <w:t>.</w:t>
      </w:r>
    </w:p>
    <w:p w14:paraId="2781D8EF" w14:textId="1492C7EC" w:rsidR="00296B86" w:rsidRPr="00351FE0" w:rsidRDefault="00570579" w:rsidP="00084859">
      <w:r w:rsidRPr="00D86E03">
        <w:t>US National Institute for Occupational Safety and Health (NIOSH)</w:t>
      </w:r>
      <w:r>
        <w:t xml:space="preserve"> (</w:t>
      </w:r>
      <w:r w:rsidRPr="00570579">
        <w:t>1994</w:t>
      </w:r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Pr="00570579">
        <w:t>Methyl acetate</w:t>
      </w:r>
      <w:r>
        <w:t>.</w:t>
      </w:r>
    </w:p>
    <w:sectPr w:rsidR="00296B86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0F30C7" w16cid:durableId="21D2F195"/>
  <w16cid:commentId w16cid:paraId="6B109E7D" w16cid:durableId="21D2F3C6"/>
  <w16cid:commentId w16cid:paraId="47A10DBB" w16cid:durableId="21D2F475"/>
  <w16cid:commentId w16cid:paraId="3EA9D0F6" w16cid:durableId="21D2F3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F4E23" w14:textId="77777777" w:rsidR="00955B25" w:rsidRDefault="00955B25" w:rsidP="00F43AD5">
      <w:pPr>
        <w:spacing w:after="0" w:line="240" w:lineRule="auto"/>
      </w:pPr>
      <w:r>
        <w:separator/>
      </w:r>
    </w:p>
  </w:endnote>
  <w:endnote w:type="continuationSeparator" w:id="0">
    <w:p w14:paraId="3B18F87F" w14:textId="77777777" w:rsidR="00955B25" w:rsidRDefault="00955B2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D3EDB" w14:textId="77777777" w:rsidR="001656D5" w:rsidRDefault="00165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C07A1EE" w14:textId="6AD0A698" w:rsidR="008A36CF" w:rsidRDefault="00D04732" w:rsidP="0034744C">
        <w:pPr>
          <w:pStyle w:val="Footer"/>
          <w:rPr>
            <w:sz w:val="18"/>
            <w:szCs w:val="18"/>
          </w:rPr>
        </w:pPr>
        <w:r w:rsidRPr="00D04732">
          <w:rPr>
            <w:b/>
            <w:sz w:val="18"/>
            <w:szCs w:val="18"/>
          </w:rPr>
          <w:t xml:space="preserve">Methyl acetate </w:t>
        </w:r>
        <w:r w:rsidR="008A36CF">
          <w:rPr>
            <w:b/>
            <w:sz w:val="18"/>
            <w:szCs w:val="18"/>
          </w:rPr>
          <w:t>(</w:t>
        </w:r>
        <w:r w:rsidRPr="00D04732">
          <w:rPr>
            <w:b/>
            <w:sz w:val="18"/>
            <w:szCs w:val="18"/>
          </w:rPr>
          <w:t>79-20-9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BDBCD4D" w14:textId="5044EBF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1656D5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E10C4" w14:textId="77777777" w:rsidR="001656D5" w:rsidRDefault="0016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327DD" w14:textId="77777777" w:rsidR="00955B25" w:rsidRDefault="00955B25" w:rsidP="00F43AD5">
      <w:pPr>
        <w:spacing w:after="0" w:line="240" w:lineRule="auto"/>
      </w:pPr>
      <w:r>
        <w:separator/>
      </w:r>
    </w:p>
  </w:footnote>
  <w:footnote w:type="continuationSeparator" w:id="0">
    <w:p w14:paraId="27EDE99F" w14:textId="77777777" w:rsidR="00955B25" w:rsidRDefault="00955B2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43112" w14:textId="77777777" w:rsidR="001656D5" w:rsidRDefault="00165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3ED25" w14:textId="40FF518A" w:rsidR="001656D5" w:rsidRDefault="001656D5" w:rsidP="001656D5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Content>
        <w:r>
          <w:pict w14:anchorId="3B68C1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4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CDDB41F" wp14:editId="1DA0E85F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5F03AC" w14:textId="214A5342" w:rsidR="008A36CF" w:rsidRPr="001656D5" w:rsidRDefault="008A36CF" w:rsidP="001656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708E4" w14:textId="77777777" w:rsidR="001656D5" w:rsidRDefault="001656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8F58E" w14:textId="710AA529" w:rsidR="001656D5" w:rsidRDefault="001656D5" w:rsidP="001656D5">
    <w:pPr>
      <w:pStyle w:val="Header"/>
      <w:jc w:val="right"/>
    </w:pPr>
    <w:sdt>
      <w:sdtPr>
        <w:id w:val="-40677137"/>
        <w:docPartObj>
          <w:docPartGallery w:val="Watermarks"/>
          <w:docPartUnique/>
        </w:docPartObj>
      </w:sdtPr>
      <w:sdtContent>
        <w:r>
          <w:pict w14:anchorId="04E892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5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937050F" wp14:editId="46276997">
          <wp:extent cx="2941955" cy="588645"/>
          <wp:effectExtent l="0" t="0" r="0" b="1905"/>
          <wp:docPr id="4" name="Picture 4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EA87A4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3A69A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BBF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95075"/>
    <w:rsid w:val="0009587C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31BC"/>
    <w:rsid w:val="00100059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656D5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3522"/>
    <w:rsid w:val="001C7841"/>
    <w:rsid w:val="001D093E"/>
    <w:rsid w:val="001D56F0"/>
    <w:rsid w:val="001D663B"/>
    <w:rsid w:val="001D7B41"/>
    <w:rsid w:val="001E46DA"/>
    <w:rsid w:val="001E57CF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0971"/>
    <w:rsid w:val="00263255"/>
    <w:rsid w:val="002664EB"/>
    <w:rsid w:val="00276494"/>
    <w:rsid w:val="00277B0C"/>
    <w:rsid w:val="00296B86"/>
    <w:rsid w:val="002B1A2C"/>
    <w:rsid w:val="002B6551"/>
    <w:rsid w:val="002C34F2"/>
    <w:rsid w:val="002C58FF"/>
    <w:rsid w:val="002C763A"/>
    <w:rsid w:val="002C7AFE"/>
    <w:rsid w:val="002D05D2"/>
    <w:rsid w:val="002E0D61"/>
    <w:rsid w:val="002E4C7B"/>
    <w:rsid w:val="0030740C"/>
    <w:rsid w:val="00310A8E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5700A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0DAD"/>
    <w:rsid w:val="004030BC"/>
    <w:rsid w:val="00403F7D"/>
    <w:rsid w:val="00406785"/>
    <w:rsid w:val="004079B4"/>
    <w:rsid w:val="00417A56"/>
    <w:rsid w:val="00420957"/>
    <w:rsid w:val="00422A10"/>
    <w:rsid w:val="00430179"/>
    <w:rsid w:val="00437747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259"/>
    <w:rsid w:val="004C3475"/>
    <w:rsid w:val="004C58B6"/>
    <w:rsid w:val="004C5FC8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246F"/>
    <w:rsid w:val="005272E2"/>
    <w:rsid w:val="0053108F"/>
    <w:rsid w:val="00532B56"/>
    <w:rsid w:val="00534B10"/>
    <w:rsid w:val="005446A2"/>
    <w:rsid w:val="00544D2F"/>
    <w:rsid w:val="00551BD8"/>
    <w:rsid w:val="00563A4C"/>
    <w:rsid w:val="00570579"/>
    <w:rsid w:val="00581055"/>
    <w:rsid w:val="00591E38"/>
    <w:rsid w:val="005A19C5"/>
    <w:rsid w:val="005A2267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3C1E"/>
    <w:rsid w:val="006013C1"/>
    <w:rsid w:val="0060669E"/>
    <w:rsid w:val="00607D20"/>
    <w:rsid w:val="00610F2E"/>
    <w:rsid w:val="00611399"/>
    <w:rsid w:val="00621030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0ED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21B9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36FD"/>
    <w:rsid w:val="008B403C"/>
    <w:rsid w:val="008B7983"/>
    <w:rsid w:val="008C2511"/>
    <w:rsid w:val="008D026D"/>
    <w:rsid w:val="008D23AB"/>
    <w:rsid w:val="008D4B8B"/>
    <w:rsid w:val="008D5A78"/>
    <w:rsid w:val="008E7B64"/>
    <w:rsid w:val="008F2051"/>
    <w:rsid w:val="008F5DCD"/>
    <w:rsid w:val="00900951"/>
    <w:rsid w:val="00904A07"/>
    <w:rsid w:val="009118A6"/>
    <w:rsid w:val="00916909"/>
    <w:rsid w:val="00916EC0"/>
    <w:rsid w:val="00920467"/>
    <w:rsid w:val="00921DE7"/>
    <w:rsid w:val="009220E8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405F"/>
    <w:rsid w:val="00955B25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A71C5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D5557"/>
    <w:rsid w:val="009E0C05"/>
    <w:rsid w:val="009E0D1C"/>
    <w:rsid w:val="009E2214"/>
    <w:rsid w:val="009E355A"/>
    <w:rsid w:val="009E63E2"/>
    <w:rsid w:val="009F04D2"/>
    <w:rsid w:val="009F05CF"/>
    <w:rsid w:val="009F0F3A"/>
    <w:rsid w:val="009F1100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5832"/>
    <w:rsid w:val="00A470E1"/>
    <w:rsid w:val="00A53681"/>
    <w:rsid w:val="00A633D4"/>
    <w:rsid w:val="00A6461A"/>
    <w:rsid w:val="00A76ADE"/>
    <w:rsid w:val="00A84504"/>
    <w:rsid w:val="00A8672F"/>
    <w:rsid w:val="00A93057"/>
    <w:rsid w:val="00A968B0"/>
    <w:rsid w:val="00AA0746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31AC8"/>
    <w:rsid w:val="00B40C60"/>
    <w:rsid w:val="00B479A9"/>
    <w:rsid w:val="00B52EDF"/>
    <w:rsid w:val="00B625A1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259"/>
    <w:rsid w:val="00BD499F"/>
    <w:rsid w:val="00BD56DE"/>
    <w:rsid w:val="00BE29D1"/>
    <w:rsid w:val="00BF2406"/>
    <w:rsid w:val="00C06E43"/>
    <w:rsid w:val="00C16315"/>
    <w:rsid w:val="00C3091E"/>
    <w:rsid w:val="00C32ACD"/>
    <w:rsid w:val="00C40FF1"/>
    <w:rsid w:val="00C419E2"/>
    <w:rsid w:val="00C5020E"/>
    <w:rsid w:val="00C57452"/>
    <w:rsid w:val="00C61EDF"/>
    <w:rsid w:val="00C6239D"/>
    <w:rsid w:val="00C6594B"/>
    <w:rsid w:val="00C65E86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D5DF3"/>
    <w:rsid w:val="00CE5AD6"/>
    <w:rsid w:val="00CE617F"/>
    <w:rsid w:val="00CE78EF"/>
    <w:rsid w:val="00D04732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A72E3"/>
    <w:rsid w:val="00DC7694"/>
    <w:rsid w:val="00DD1BF6"/>
    <w:rsid w:val="00DD2F9B"/>
    <w:rsid w:val="00DE2513"/>
    <w:rsid w:val="00DE26E8"/>
    <w:rsid w:val="00DF260A"/>
    <w:rsid w:val="00DF6F36"/>
    <w:rsid w:val="00E0084C"/>
    <w:rsid w:val="00E025AB"/>
    <w:rsid w:val="00E02B23"/>
    <w:rsid w:val="00E06F40"/>
    <w:rsid w:val="00E07CE8"/>
    <w:rsid w:val="00E26A07"/>
    <w:rsid w:val="00E31C89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53C5"/>
    <w:rsid w:val="00E804EA"/>
    <w:rsid w:val="00E80A71"/>
    <w:rsid w:val="00E82337"/>
    <w:rsid w:val="00E92499"/>
    <w:rsid w:val="00E949AF"/>
    <w:rsid w:val="00E96077"/>
    <w:rsid w:val="00EA0A06"/>
    <w:rsid w:val="00EA16B7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319"/>
    <w:rsid w:val="00F43AD5"/>
    <w:rsid w:val="00F4402E"/>
    <w:rsid w:val="00F56DD0"/>
    <w:rsid w:val="00F6491C"/>
    <w:rsid w:val="00F67BBB"/>
    <w:rsid w:val="00F75B89"/>
    <w:rsid w:val="00F840BD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  <w:rsid w:val="2AFB9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014BBF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26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26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26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1350BD8ED1F546C6A670D1D1B11C6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64FFC-E36B-49C8-B7A2-1BFDB50E709F}"/>
      </w:docPartPr>
      <w:docPartBody>
        <w:p w:rsidR="00DD7033" w:rsidRDefault="000022C6" w:rsidP="000022C6">
          <w:pPr>
            <w:pStyle w:val="1350BD8ED1F546C6A670D1D1B11C6D71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FD1A2CD40D054FF6BB77320152423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5AFEA-10F5-4CD8-BC73-5E707C412CB1}"/>
      </w:docPartPr>
      <w:docPartBody>
        <w:p w:rsidR="00EC6A38" w:rsidRDefault="00352FE6" w:rsidP="00352FE6">
          <w:pPr>
            <w:pStyle w:val="FD1A2CD40D054FF6BB77320152423FF5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022C6"/>
    <w:rsid w:val="00352FE6"/>
    <w:rsid w:val="00585002"/>
    <w:rsid w:val="0071041A"/>
    <w:rsid w:val="00D21A9F"/>
    <w:rsid w:val="00DD7033"/>
    <w:rsid w:val="00EC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FE6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AF3DCC456EE44592ABB17BDBA3D517D3">
    <w:name w:val="AF3DCC456EE44592ABB17BDBA3D517D3"/>
    <w:rsid w:val="0071041A"/>
  </w:style>
  <w:style w:type="paragraph" w:customStyle="1" w:styleId="3700815EF3B74B3BB1F6CEAC65E03E29">
    <w:name w:val="3700815EF3B74B3BB1F6CEAC65E03E29"/>
    <w:rsid w:val="0071041A"/>
  </w:style>
  <w:style w:type="paragraph" w:customStyle="1" w:styleId="347A6ADC929648D7B1D67D7D4B4C5C08">
    <w:name w:val="347A6ADC929648D7B1D67D7D4B4C5C08"/>
    <w:rsid w:val="0071041A"/>
  </w:style>
  <w:style w:type="paragraph" w:customStyle="1" w:styleId="9EADB06CB4834B788D41291A08023295">
    <w:name w:val="9EADB06CB4834B788D41291A08023295"/>
    <w:rsid w:val="0071041A"/>
  </w:style>
  <w:style w:type="paragraph" w:customStyle="1" w:styleId="CD45456E0561479CAB5A81C6F94D2641">
    <w:name w:val="CD45456E0561479CAB5A81C6F94D2641"/>
    <w:rsid w:val="0071041A"/>
  </w:style>
  <w:style w:type="paragraph" w:customStyle="1" w:styleId="7E855F8F6A2F42A8BC2FB50B3CDDA39A">
    <w:name w:val="7E855F8F6A2F42A8BC2FB50B3CDDA39A"/>
    <w:rsid w:val="0071041A"/>
  </w:style>
  <w:style w:type="paragraph" w:customStyle="1" w:styleId="7FA2F559BE2F484F9FB6FD43FADDBA38">
    <w:name w:val="7FA2F559BE2F484F9FB6FD43FADDBA38"/>
    <w:rsid w:val="0071041A"/>
  </w:style>
  <w:style w:type="paragraph" w:customStyle="1" w:styleId="A20EC99098EA48B188F9A1BE278240E2">
    <w:name w:val="A20EC99098EA48B188F9A1BE278240E2"/>
    <w:rsid w:val="000022C6"/>
    <w:rPr>
      <w:lang w:val="en-US" w:eastAsia="en-US"/>
    </w:rPr>
  </w:style>
  <w:style w:type="paragraph" w:customStyle="1" w:styleId="7C02831662F2417684D22E1D03EEE6EA">
    <w:name w:val="7C02831662F2417684D22E1D03EEE6EA"/>
    <w:rsid w:val="000022C6"/>
    <w:rPr>
      <w:lang w:val="en-US" w:eastAsia="en-US"/>
    </w:rPr>
  </w:style>
  <w:style w:type="paragraph" w:customStyle="1" w:styleId="1350BD8ED1F546C6A670D1D1B11C6D71">
    <w:name w:val="1350BD8ED1F546C6A670D1D1B11C6D71"/>
    <w:rsid w:val="000022C6"/>
    <w:rPr>
      <w:lang w:val="en-US" w:eastAsia="en-US"/>
    </w:rPr>
  </w:style>
  <w:style w:type="paragraph" w:customStyle="1" w:styleId="FD1A2CD40D054FF6BB77320152423FF5">
    <w:name w:val="FD1A2CD40D054FF6BB77320152423FF5"/>
    <w:rsid w:val="00352F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724FC-A8BC-4E37-8AE4-13E4C2927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681A2B-8DC0-4556-BD77-B0C96083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9C793B44.dotm</Template>
  <TotalTime>114</TotalTime>
  <Pages>6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30</cp:revision>
  <cp:lastPrinted>2018-10-22T22:41:00Z</cp:lastPrinted>
  <dcterms:created xsi:type="dcterms:W3CDTF">2019-09-09T05:24:00Z</dcterms:created>
  <dcterms:modified xsi:type="dcterms:W3CDTF">2020-01-30T01:45:00Z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